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93863" w14:textId="77777777" w:rsidR="007B4FB5" w:rsidRPr="000649A4" w:rsidRDefault="00640959" w:rsidP="00ED5139">
      <w:pPr>
        <w:pStyle w:val="CoversheetStaticText"/>
      </w:pPr>
      <w:r w:rsidRPr="00055ABA">
        <w:rPr>
          <w:noProof/>
        </w:rPr>
        <w:drawing>
          <wp:inline distT="0" distB="0" distL="0" distR="0" wp14:anchorId="7D3ED451" wp14:editId="6E64236E">
            <wp:extent cx="3433451" cy="847725"/>
            <wp:effectExtent l="0" t="0" r="0" b="0"/>
            <wp:docPr id="20033071" name="Picture 1" descr="Genuit Group P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uit Group PLC 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48098" cy="851341"/>
                    </a:xfrm>
                    <a:prstGeom prst="rect">
                      <a:avLst/>
                    </a:prstGeom>
                    <a:noFill/>
                    <a:ln>
                      <a:noFill/>
                    </a:ln>
                  </pic:spPr>
                </pic:pic>
              </a:graphicData>
            </a:graphic>
          </wp:inline>
        </w:drawing>
      </w:r>
    </w:p>
    <w:p w14:paraId="17852015" w14:textId="77777777" w:rsidR="00640959" w:rsidRPr="000649A4" w:rsidRDefault="00640959" w:rsidP="00ED5139">
      <w:pPr>
        <w:pStyle w:val="CoversheetTitle"/>
      </w:pPr>
    </w:p>
    <w:p w14:paraId="692C919B" w14:textId="2C607F70" w:rsidR="00640959" w:rsidRPr="00F97360" w:rsidRDefault="00ED5139" w:rsidP="00ED5139">
      <w:pPr>
        <w:jc w:val="center"/>
        <w:rPr>
          <w:rFonts w:ascii="Arial" w:hAnsi="Arial" w:cs="Arial"/>
          <w:sz w:val="32"/>
          <w:szCs w:val="32"/>
        </w:rPr>
      </w:pPr>
      <w:r w:rsidRPr="00F97360">
        <w:rPr>
          <w:rFonts w:ascii="Arial" w:hAnsi="Arial" w:cs="Arial"/>
          <w:sz w:val="32"/>
          <w:szCs w:val="32"/>
        </w:rPr>
        <w:t xml:space="preserve">RULES </w:t>
      </w:r>
    </w:p>
    <w:p w14:paraId="71B99CA1" w14:textId="77777777" w:rsidR="00ED5139" w:rsidRPr="00F97360" w:rsidRDefault="00ED5139" w:rsidP="00ED5139">
      <w:pPr>
        <w:jc w:val="center"/>
        <w:rPr>
          <w:rFonts w:ascii="Arial" w:hAnsi="Arial" w:cs="Arial"/>
          <w:sz w:val="32"/>
          <w:szCs w:val="32"/>
        </w:rPr>
      </w:pPr>
    </w:p>
    <w:p w14:paraId="7CA5CC36" w14:textId="04C4A510" w:rsidR="00ED5139" w:rsidRPr="00F97360" w:rsidRDefault="00ED5139" w:rsidP="00ED5139">
      <w:pPr>
        <w:jc w:val="center"/>
        <w:rPr>
          <w:rFonts w:ascii="Arial" w:hAnsi="Arial" w:cs="Arial"/>
          <w:sz w:val="32"/>
          <w:szCs w:val="32"/>
        </w:rPr>
      </w:pPr>
      <w:r w:rsidRPr="00F97360">
        <w:rPr>
          <w:rFonts w:ascii="Arial" w:hAnsi="Arial" w:cs="Arial"/>
          <w:sz w:val="32"/>
          <w:szCs w:val="32"/>
        </w:rPr>
        <w:t>OF</w:t>
      </w:r>
    </w:p>
    <w:p w14:paraId="547FB9ED" w14:textId="77777777" w:rsidR="00ED5139" w:rsidRPr="00F97360" w:rsidRDefault="00ED5139" w:rsidP="00F97360">
      <w:pPr>
        <w:jc w:val="center"/>
        <w:rPr>
          <w:sz w:val="32"/>
          <w:szCs w:val="32"/>
        </w:rPr>
      </w:pPr>
    </w:p>
    <w:p w14:paraId="646A06F7" w14:textId="77777777" w:rsidR="00ED5139" w:rsidRDefault="00ED5139" w:rsidP="00ED5139">
      <w:pPr>
        <w:jc w:val="center"/>
        <w:rPr>
          <w:rFonts w:ascii="Arial" w:hAnsi="Arial" w:cs="Arial"/>
          <w:sz w:val="32"/>
          <w:szCs w:val="32"/>
        </w:rPr>
      </w:pPr>
      <w:r w:rsidRPr="00F97360">
        <w:rPr>
          <w:rFonts w:ascii="Arial" w:hAnsi="Arial" w:cs="Arial"/>
          <w:sz w:val="32"/>
          <w:szCs w:val="32"/>
        </w:rPr>
        <w:t>GENUIT GROUP PLC LONG-TERM INCENTIVE PLAN</w:t>
      </w:r>
    </w:p>
    <w:p w14:paraId="56712D5C" w14:textId="285B6EDB" w:rsidR="007B4FB5" w:rsidRPr="00055ABA" w:rsidRDefault="007B4FB5" w:rsidP="00F97360">
      <w:pPr>
        <w:jc w:val="center"/>
      </w:pPr>
    </w:p>
    <w:tbl>
      <w:tblPr>
        <w:tblStyle w:val="TableGrid"/>
        <w:tblpPr w:leftFromText="180" w:rightFromText="180" w:vertAnchor="text" w:horzAnchor="page" w:tblpX="4181" w:tblpY="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1985"/>
      </w:tblGrid>
      <w:tr w:rsidR="00ED5139" w:rsidDel="00FD1492" w14:paraId="5B77D65F" w14:textId="77777777" w:rsidTr="009C1F88">
        <w:tc>
          <w:tcPr>
            <w:tcW w:w="2376" w:type="dxa"/>
          </w:tcPr>
          <w:p w14:paraId="37F0F84A" w14:textId="77777777" w:rsidR="00ED5139" w:rsidRPr="00F97360" w:rsidDel="00FD1492" w:rsidRDefault="00ED5139" w:rsidP="009C1F88">
            <w:pPr>
              <w:pStyle w:val="CP-Table-TC"/>
              <w:spacing w:before="120" w:after="120"/>
              <w:ind w:left="562" w:hanging="562"/>
              <w:rPr>
                <w:rFonts w:ascii="Arial" w:hAnsi="Arial" w:cs="Arial"/>
                <w:caps w:val="0"/>
              </w:rPr>
            </w:pPr>
            <w:r w:rsidRPr="00F97360">
              <w:rPr>
                <w:rFonts w:ascii="Arial" w:hAnsi="Arial" w:cs="Arial"/>
                <w:caps w:val="0"/>
              </w:rPr>
              <w:t>Board adoption:</w:t>
            </w:r>
          </w:p>
        </w:tc>
        <w:tc>
          <w:tcPr>
            <w:tcW w:w="1985" w:type="dxa"/>
          </w:tcPr>
          <w:p w14:paraId="327206B3" w14:textId="77777777" w:rsidR="00ED5139" w:rsidRPr="00F97360" w:rsidDel="00FD1492" w:rsidRDefault="00ED5139" w:rsidP="009C1F88">
            <w:pPr>
              <w:pStyle w:val="CP-Table-TC"/>
              <w:spacing w:before="120" w:after="120"/>
              <w:ind w:left="562" w:hanging="562"/>
              <w:rPr>
                <w:rFonts w:ascii="Arial" w:hAnsi="Arial" w:cs="Arial"/>
              </w:rPr>
            </w:pPr>
            <w:r w:rsidRPr="00F97360">
              <w:rPr>
                <w:rFonts w:ascii="Arial" w:hAnsi="Arial" w:cs="Arial"/>
              </w:rPr>
              <w:t>[date 2024]</w:t>
            </w:r>
          </w:p>
        </w:tc>
      </w:tr>
      <w:tr w:rsidR="00ED5139" w:rsidDel="00FD1492" w14:paraId="499925C5" w14:textId="77777777" w:rsidTr="009C1F88">
        <w:tc>
          <w:tcPr>
            <w:tcW w:w="2376" w:type="dxa"/>
          </w:tcPr>
          <w:p w14:paraId="1F67D015" w14:textId="77777777" w:rsidR="00ED5139" w:rsidRPr="00F97360" w:rsidDel="00FD1492" w:rsidRDefault="00ED5139" w:rsidP="009C1F88">
            <w:pPr>
              <w:pStyle w:val="CP-Table-TC"/>
              <w:spacing w:before="120" w:after="120"/>
              <w:ind w:left="562" w:hanging="562"/>
              <w:rPr>
                <w:rFonts w:ascii="Arial" w:hAnsi="Arial" w:cs="Arial"/>
                <w:caps w:val="0"/>
              </w:rPr>
            </w:pPr>
            <w:r w:rsidRPr="00F97360" w:rsidDel="00FD1492">
              <w:rPr>
                <w:rFonts w:ascii="Arial" w:hAnsi="Arial" w:cs="Arial"/>
                <w:caps w:val="0"/>
              </w:rPr>
              <w:t xml:space="preserve">Shareholders’ </w:t>
            </w:r>
            <w:r w:rsidRPr="00F97360">
              <w:rPr>
                <w:rFonts w:ascii="Arial" w:hAnsi="Arial" w:cs="Arial"/>
                <w:caps w:val="0"/>
              </w:rPr>
              <w:t>a</w:t>
            </w:r>
            <w:r w:rsidRPr="00F97360" w:rsidDel="00FD1492">
              <w:rPr>
                <w:rFonts w:ascii="Arial" w:hAnsi="Arial" w:cs="Arial"/>
                <w:caps w:val="0"/>
              </w:rPr>
              <w:t>pproval:</w:t>
            </w:r>
          </w:p>
        </w:tc>
        <w:tc>
          <w:tcPr>
            <w:tcW w:w="1985" w:type="dxa"/>
          </w:tcPr>
          <w:p w14:paraId="6CA679BC" w14:textId="77777777" w:rsidR="00ED5139" w:rsidRPr="00F97360" w:rsidDel="00FD1492" w:rsidRDefault="00ED5139" w:rsidP="009C1F88">
            <w:pPr>
              <w:pStyle w:val="CP-Table-TC"/>
              <w:tabs>
                <w:tab w:val="left" w:pos="1055"/>
              </w:tabs>
              <w:spacing w:before="120" w:after="120"/>
              <w:ind w:left="562" w:hanging="562"/>
              <w:rPr>
                <w:rFonts w:ascii="Arial" w:hAnsi="Arial" w:cs="Arial"/>
              </w:rPr>
            </w:pPr>
            <w:r w:rsidRPr="00F97360" w:rsidDel="00FD1492">
              <w:rPr>
                <w:rFonts w:ascii="Arial" w:hAnsi="Arial" w:cs="Arial"/>
              </w:rPr>
              <w:t>[date</w:t>
            </w:r>
            <w:r w:rsidRPr="00F97360">
              <w:rPr>
                <w:rFonts w:ascii="Arial" w:hAnsi="Arial" w:cs="Arial"/>
              </w:rPr>
              <w:t xml:space="preserve"> 2024</w:t>
            </w:r>
            <w:r w:rsidRPr="00F97360" w:rsidDel="00FD1492">
              <w:rPr>
                <w:rFonts w:ascii="Arial" w:hAnsi="Arial" w:cs="Arial"/>
              </w:rPr>
              <w:t>]</w:t>
            </w:r>
            <w:r w:rsidRPr="00F97360">
              <w:rPr>
                <w:rFonts w:ascii="Arial" w:hAnsi="Arial" w:cs="Arial"/>
              </w:rPr>
              <w:tab/>
            </w:r>
          </w:p>
        </w:tc>
      </w:tr>
      <w:tr w:rsidR="00ED5139" w:rsidDel="00FD1492" w14:paraId="40D4BEA8" w14:textId="77777777" w:rsidTr="009C1F88">
        <w:tc>
          <w:tcPr>
            <w:tcW w:w="2376" w:type="dxa"/>
          </w:tcPr>
          <w:p w14:paraId="134AD5CE" w14:textId="77777777" w:rsidR="00ED5139" w:rsidRPr="00F97360" w:rsidDel="00FD1492" w:rsidRDefault="00ED5139" w:rsidP="009C1F88">
            <w:pPr>
              <w:pStyle w:val="CP-Table-TC"/>
              <w:spacing w:before="120" w:after="120"/>
              <w:ind w:left="562" w:hanging="562"/>
              <w:rPr>
                <w:rFonts w:ascii="Arial" w:hAnsi="Arial" w:cs="Arial"/>
                <w:caps w:val="0"/>
              </w:rPr>
            </w:pPr>
            <w:r w:rsidRPr="00F97360">
              <w:rPr>
                <w:rFonts w:ascii="Arial" w:hAnsi="Arial" w:cs="Arial"/>
                <w:caps w:val="0"/>
              </w:rPr>
              <w:t>Expiry d</w:t>
            </w:r>
            <w:r w:rsidRPr="00F97360" w:rsidDel="00FD1492">
              <w:rPr>
                <w:rFonts w:ascii="Arial" w:hAnsi="Arial" w:cs="Arial"/>
                <w:caps w:val="0"/>
              </w:rPr>
              <w:t>ate:</w:t>
            </w:r>
          </w:p>
        </w:tc>
        <w:tc>
          <w:tcPr>
            <w:tcW w:w="1985" w:type="dxa"/>
          </w:tcPr>
          <w:p w14:paraId="38F8EE24" w14:textId="77777777" w:rsidR="00ED5139" w:rsidRPr="00F97360" w:rsidDel="00FD1492" w:rsidRDefault="00ED5139" w:rsidP="009C1F88">
            <w:pPr>
              <w:pStyle w:val="CP-Table-TC"/>
              <w:spacing w:before="120" w:after="120"/>
              <w:ind w:left="562" w:hanging="562"/>
              <w:rPr>
                <w:rFonts w:ascii="Arial" w:hAnsi="Arial" w:cs="Arial"/>
              </w:rPr>
            </w:pPr>
            <w:r w:rsidRPr="00F97360" w:rsidDel="00FD1492">
              <w:rPr>
                <w:rFonts w:ascii="Arial" w:hAnsi="Arial" w:cs="Arial"/>
              </w:rPr>
              <w:t>[date</w:t>
            </w:r>
            <w:r w:rsidRPr="00F97360">
              <w:rPr>
                <w:rFonts w:ascii="Arial" w:hAnsi="Arial" w:cs="Arial"/>
              </w:rPr>
              <w:t xml:space="preserve"> 2034</w:t>
            </w:r>
            <w:r w:rsidRPr="00F97360" w:rsidDel="00FD1492">
              <w:rPr>
                <w:rFonts w:ascii="Arial" w:hAnsi="Arial" w:cs="Arial"/>
              </w:rPr>
              <w:t>]</w:t>
            </w:r>
          </w:p>
        </w:tc>
      </w:tr>
    </w:tbl>
    <w:p w14:paraId="56712D5D" w14:textId="77777777" w:rsidR="0012130D" w:rsidRPr="000649A4" w:rsidRDefault="0012130D" w:rsidP="00F97360"/>
    <w:p w14:paraId="7D19AD70" w14:textId="77777777" w:rsidR="00A50EC7" w:rsidRPr="000649A4" w:rsidRDefault="00A50EC7" w:rsidP="00ED5139">
      <w:pPr>
        <w:pStyle w:val="CoversheetTitle"/>
      </w:pPr>
    </w:p>
    <w:p w14:paraId="12B0247B" w14:textId="77777777" w:rsidR="00A50EC7" w:rsidRPr="000649A4" w:rsidRDefault="00A50EC7" w:rsidP="00ED5139">
      <w:pPr>
        <w:pStyle w:val="CoversheetTitle"/>
      </w:pPr>
    </w:p>
    <w:p w14:paraId="0A743D5B" w14:textId="77777777" w:rsidR="00640959" w:rsidRPr="000649A4" w:rsidRDefault="00640959" w:rsidP="00ED5139">
      <w:pPr>
        <w:pStyle w:val="CoversheetTitle"/>
      </w:pPr>
    </w:p>
    <w:p w14:paraId="32C5F25D" w14:textId="1E960A66" w:rsidR="00A50EC7" w:rsidRPr="000649A4" w:rsidRDefault="00A50EC7" w:rsidP="00ED5139">
      <w:pPr>
        <w:pStyle w:val="CoversheetTitle"/>
        <w:sectPr w:rsidR="00A50EC7" w:rsidRPr="000649A4" w:rsidSect="001C54AA">
          <w:pgSz w:w="12240" w:h="15840"/>
          <w:pgMar w:top="1440" w:right="1440" w:bottom="1440" w:left="1440" w:header="720" w:footer="720" w:gutter="0"/>
          <w:cols w:space="720"/>
        </w:sectPr>
      </w:pPr>
    </w:p>
    <w:p w14:paraId="56712D61" w14:textId="6878C1EA" w:rsidR="007B4FB5" w:rsidRPr="000649A4" w:rsidRDefault="00BC70ED" w:rsidP="00ED5139">
      <w:pPr>
        <w:pStyle w:val="CoversheetTitle"/>
        <w:sectPr w:rsidR="007B4FB5" w:rsidRPr="000649A4" w:rsidSect="001C54AA">
          <w:headerReference w:type="default" r:id="rId19"/>
          <w:footerReference w:type="default" r:id="rId20"/>
          <w:type w:val="continuous"/>
          <w:pgSz w:w="12240" w:h="15840"/>
          <w:pgMar w:top="1440" w:right="1440" w:bottom="1440" w:left="1440" w:header="720" w:footer="720" w:gutter="0"/>
          <w:cols w:space="720"/>
        </w:sectPr>
      </w:pPr>
      <w:r w:rsidRPr="00055ABA">
        <w:rPr>
          <w:noProof/>
        </w:rPr>
        <w:drawing>
          <wp:inline distT="0" distB="0" distL="0" distR="0" wp14:anchorId="7BB42763" wp14:editId="49580B0F">
            <wp:extent cx="2228850" cy="1238250"/>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36486" cy="1242492"/>
                    </a:xfrm>
                    <a:prstGeom prst="rect">
                      <a:avLst/>
                    </a:prstGeom>
                    <a:noFill/>
                    <a:ln>
                      <a:noFill/>
                    </a:ln>
                  </pic:spPr>
                </pic:pic>
              </a:graphicData>
            </a:graphic>
          </wp:inline>
        </w:drawing>
      </w:r>
    </w:p>
    <w:p w14:paraId="56712D62" w14:textId="77777777" w:rsidR="007B4FB5" w:rsidRPr="00F97360" w:rsidRDefault="00D8597D" w:rsidP="007B4FB5">
      <w:pPr>
        <w:pStyle w:val="HeadingLevel2"/>
        <w:rPr>
          <w:rFonts w:ascii="Arial" w:hAnsi="Arial" w:cs="Arial"/>
          <w:sz w:val="24"/>
          <w:szCs w:val="24"/>
        </w:rPr>
      </w:pPr>
      <w:r w:rsidRPr="00F97360">
        <w:rPr>
          <w:rFonts w:ascii="Arial" w:hAnsi="Arial" w:cs="Arial"/>
          <w:sz w:val="24"/>
          <w:szCs w:val="24"/>
        </w:rPr>
        <w:lastRenderedPageBreak/>
        <w:t>CONTENTS</w:t>
      </w:r>
    </w:p>
    <w:p w14:paraId="56712D63" w14:textId="77777777" w:rsidR="007B4FB5" w:rsidRPr="000649A4" w:rsidRDefault="00D8597D" w:rsidP="007B4FB5">
      <w:pPr>
        <w:pStyle w:val="HeadingLevel2"/>
        <w:rPr>
          <w:rFonts w:ascii="Arial" w:hAnsi="Arial" w:cs="Arial"/>
        </w:rPr>
      </w:pPr>
      <w:r w:rsidRPr="000649A4">
        <w:rPr>
          <w:rFonts w:ascii="Arial" w:hAnsi="Arial" w:cs="Arial"/>
        </w:rPr>
        <w:t>____________________________________________________________</w:t>
      </w:r>
    </w:p>
    <w:p w14:paraId="56712D64" w14:textId="77777777" w:rsidR="007B4FB5" w:rsidRPr="00F97360" w:rsidRDefault="00D8597D" w:rsidP="007B4FB5">
      <w:pPr>
        <w:pStyle w:val="HeadingLevel2"/>
        <w:rPr>
          <w:rFonts w:ascii="Arial" w:hAnsi="Arial" w:cs="Arial"/>
          <w:sz w:val="24"/>
          <w:szCs w:val="24"/>
        </w:rPr>
      </w:pPr>
      <w:r w:rsidRPr="00F97360">
        <w:rPr>
          <w:rFonts w:ascii="Arial" w:hAnsi="Arial" w:cs="Arial"/>
          <w:sz w:val="24"/>
          <w:szCs w:val="24"/>
        </w:rPr>
        <w:t>CLAUSE</w:t>
      </w:r>
    </w:p>
    <w:p w14:paraId="7394BA1C" w14:textId="446ED4E7" w:rsidR="00360B4E" w:rsidRPr="00F97360" w:rsidRDefault="00D8597D">
      <w:pPr>
        <w:pStyle w:val="TOC1"/>
        <w:rPr>
          <w:rFonts w:ascii="Arial" w:eastAsiaTheme="minorEastAsia" w:hAnsi="Arial" w:cs="Arial"/>
          <w:noProof/>
          <w:kern w:val="2"/>
          <w:sz w:val="20"/>
          <w:szCs w:val="20"/>
          <w14:ligatures w14:val="standardContextual"/>
        </w:rPr>
      </w:pPr>
      <w:r w:rsidRPr="00F97360">
        <w:rPr>
          <w:rFonts w:ascii="Arial" w:hAnsi="Arial" w:cs="Arial"/>
          <w:b/>
          <w:caps/>
          <w:sz w:val="20"/>
          <w:szCs w:val="20"/>
        </w:rPr>
        <w:fldChar w:fldCharType="begin"/>
      </w:r>
      <w:r w:rsidRPr="00F97360">
        <w:rPr>
          <w:rFonts w:ascii="Arial" w:hAnsi="Arial" w:cs="Arial"/>
          <w:sz w:val="20"/>
          <w:szCs w:val="20"/>
        </w:rPr>
        <w:instrText>TOC \t "Title Clause, 1" \h</w:instrText>
      </w:r>
      <w:r w:rsidRPr="00F97360">
        <w:rPr>
          <w:rFonts w:ascii="Arial" w:hAnsi="Arial" w:cs="Arial"/>
          <w:b/>
          <w:caps/>
          <w:sz w:val="20"/>
          <w:szCs w:val="20"/>
        </w:rPr>
        <w:fldChar w:fldCharType="separate"/>
      </w:r>
      <w:hyperlink w:anchor="_Toc161658054" w:history="1">
        <w:r w:rsidR="00360B4E" w:rsidRPr="00F97360">
          <w:rPr>
            <w:rStyle w:val="Hyperlink"/>
            <w:noProof/>
            <w:sz w:val="20"/>
            <w:szCs w:val="20"/>
          </w:rPr>
          <w:t>1.</w:t>
        </w:r>
        <w:r w:rsidR="00360B4E" w:rsidRPr="00F97360">
          <w:rPr>
            <w:rFonts w:ascii="Arial" w:eastAsiaTheme="minorEastAsia" w:hAnsi="Arial" w:cs="Arial"/>
            <w:noProof/>
            <w:kern w:val="2"/>
            <w:sz w:val="20"/>
            <w:szCs w:val="20"/>
            <w14:ligatures w14:val="standardContextual"/>
          </w:rPr>
          <w:tab/>
        </w:r>
        <w:r w:rsidR="00360B4E" w:rsidRPr="00F97360">
          <w:rPr>
            <w:rStyle w:val="Hyperlink"/>
            <w:noProof/>
            <w:sz w:val="20"/>
            <w:szCs w:val="20"/>
          </w:rPr>
          <w:t>Interpretation</w:t>
        </w:r>
        <w:r w:rsidR="00360B4E" w:rsidRPr="00F97360">
          <w:rPr>
            <w:rFonts w:ascii="Arial" w:hAnsi="Arial" w:cs="Arial"/>
            <w:noProof/>
            <w:sz w:val="20"/>
            <w:szCs w:val="20"/>
          </w:rPr>
          <w:tab/>
        </w:r>
        <w:r w:rsidR="00360B4E" w:rsidRPr="00F97360">
          <w:rPr>
            <w:rFonts w:ascii="Arial" w:hAnsi="Arial" w:cs="Arial"/>
            <w:noProof/>
            <w:sz w:val="20"/>
            <w:szCs w:val="20"/>
          </w:rPr>
          <w:fldChar w:fldCharType="begin"/>
        </w:r>
        <w:r w:rsidR="00360B4E" w:rsidRPr="00F97360">
          <w:rPr>
            <w:rFonts w:ascii="Arial" w:hAnsi="Arial" w:cs="Arial"/>
            <w:noProof/>
            <w:sz w:val="20"/>
            <w:szCs w:val="20"/>
          </w:rPr>
          <w:instrText xml:space="preserve"> PAGEREF _Toc161658054 \h </w:instrText>
        </w:r>
        <w:r w:rsidR="00360B4E" w:rsidRPr="00F97360">
          <w:rPr>
            <w:rFonts w:ascii="Arial" w:hAnsi="Arial" w:cs="Arial"/>
            <w:noProof/>
            <w:sz w:val="20"/>
            <w:szCs w:val="20"/>
          </w:rPr>
        </w:r>
        <w:r w:rsidR="00360B4E" w:rsidRPr="00F97360">
          <w:rPr>
            <w:rFonts w:ascii="Arial" w:hAnsi="Arial" w:cs="Arial"/>
            <w:noProof/>
            <w:sz w:val="20"/>
            <w:szCs w:val="20"/>
          </w:rPr>
          <w:fldChar w:fldCharType="separate"/>
        </w:r>
        <w:r w:rsidR="00324F6C">
          <w:rPr>
            <w:rFonts w:ascii="Arial" w:hAnsi="Arial" w:cs="Arial"/>
            <w:noProof/>
            <w:sz w:val="20"/>
            <w:szCs w:val="20"/>
          </w:rPr>
          <w:t>2</w:t>
        </w:r>
        <w:r w:rsidR="00360B4E" w:rsidRPr="00F97360">
          <w:rPr>
            <w:rFonts w:ascii="Arial" w:hAnsi="Arial" w:cs="Arial"/>
            <w:noProof/>
            <w:sz w:val="20"/>
            <w:szCs w:val="20"/>
          </w:rPr>
          <w:fldChar w:fldCharType="end"/>
        </w:r>
      </w:hyperlink>
    </w:p>
    <w:p w14:paraId="2BB4B3A9" w14:textId="6AEA710A" w:rsidR="00360B4E" w:rsidRPr="00F97360" w:rsidRDefault="00324F6C">
      <w:pPr>
        <w:pStyle w:val="TOC1"/>
        <w:rPr>
          <w:rFonts w:ascii="Arial" w:eastAsiaTheme="minorEastAsia" w:hAnsi="Arial" w:cs="Arial"/>
          <w:noProof/>
          <w:kern w:val="2"/>
          <w:sz w:val="20"/>
          <w:szCs w:val="20"/>
          <w14:ligatures w14:val="standardContextual"/>
        </w:rPr>
      </w:pPr>
      <w:hyperlink w:anchor="_Toc161658055" w:history="1">
        <w:r w:rsidR="00360B4E" w:rsidRPr="00F97360">
          <w:rPr>
            <w:rStyle w:val="Hyperlink"/>
            <w:noProof/>
            <w:sz w:val="20"/>
            <w:szCs w:val="20"/>
          </w:rPr>
          <w:t>2.</w:t>
        </w:r>
        <w:r w:rsidR="00360B4E" w:rsidRPr="00F97360">
          <w:rPr>
            <w:rFonts w:ascii="Arial" w:eastAsiaTheme="minorEastAsia" w:hAnsi="Arial" w:cs="Arial"/>
            <w:noProof/>
            <w:kern w:val="2"/>
            <w:sz w:val="20"/>
            <w:szCs w:val="20"/>
            <w14:ligatures w14:val="standardContextual"/>
          </w:rPr>
          <w:tab/>
        </w:r>
        <w:r w:rsidR="00360B4E" w:rsidRPr="00F97360">
          <w:rPr>
            <w:rStyle w:val="Hyperlink"/>
            <w:noProof/>
            <w:sz w:val="20"/>
            <w:szCs w:val="20"/>
          </w:rPr>
          <w:t>Eligibility and Grant of Awards</w:t>
        </w:r>
        <w:r w:rsidR="00360B4E" w:rsidRPr="00F97360">
          <w:rPr>
            <w:rFonts w:ascii="Arial" w:hAnsi="Arial" w:cs="Arial"/>
            <w:noProof/>
            <w:sz w:val="20"/>
            <w:szCs w:val="20"/>
          </w:rPr>
          <w:tab/>
        </w:r>
        <w:r w:rsidR="00360B4E" w:rsidRPr="00F97360">
          <w:rPr>
            <w:rFonts w:ascii="Arial" w:hAnsi="Arial" w:cs="Arial"/>
            <w:noProof/>
            <w:sz w:val="20"/>
            <w:szCs w:val="20"/>
          </w:rPr>
          <w:fldChar w:fldCharType="begin"/>
        </w:r>
        <w:r w:rsidR="00360B4E" w:rsidRPr="00F97360">
          <w:rPr>
            <w:rFonts w:ascii="Arial" w:hAnsi="Arial" w:cs="Arial"/>
            <w:noProof/>
            <w:sz w:val="20"/>
            <w:szCs w:val="20"/>
          </w:rPr>
          <w:instrText xml:space="preserve"> PAGEREF _Toc161658055 \h </w:instrText>
        </w:r>
        <w:r w:rsidR="00360B4E" w:rsidRPr="00F97360">
          <w:rPr>
            <w:rFonts w:ascii="Arial" w:hAnsi="Arial" w:cs="Arial"/>
            <w:noProof/>
            <w:sz w:val="20"/>
            <w:szCs w:val="20"/>
          </w:rPr>
        </w:r>
        <w:r w:rsidR="00360B4E" w:rsidRPr="00F97360">
          <w:rPr>
            <w:rFonts w:ascii="Arial" w:hAnsi="Arial" w:cs="Arial"/>
            <w:noProof/>
            <w:sz w:val="20"/>
            <w:szCs w:val="20"/>
          </w:rPr>
          <w:fldChar w:fldCharType="separate"/>
        </w:r>
        <w:r>
          <w:rPr>
            <w:rFonts w:ascii="Arial" w:hAnsi="Arial" w:cs="Arial"/>
            <w:noProof/>
            <w:sz w:val="20"/>
            <w:szCs w:val="20"/>
          </w:rPr>
          <w:t>9</w:t>
        </w:r>
        <w:r w:rsidR="00360B4E" w:rsidRPr="00F97360">
          <w:rPr>
            <w:rFonts w:ascii="Arial" w:hAnsi="Arial" w:cs="Arial"/>
            <w:noProof/>
            <w:sz w:val="20"/>
            <w:szCs w:val="20"/>
          </w:rPr>
          <w:fldChar w:fldCharType="end"/>
        </w:r>
      </w:hyperlink>
    </w:p>
    <w:p w14:paraId="4E5D3788" w14:textId="3EFF85A4" w:rsidR="00360B4E" w:rsidRPr="00F97360" w:rsidRDefault="00324F6C">
      <w:pPr>
        <w:pStyle w:val="TOC1"/>
        <w:rPr>
          <w:rFonts w:ascii="Arial" w:eastAsiaTheme="minorEastAsia" w:hAnsi="Arial" w:cs="Arial"/>
          <w:noProof/>
          <w:kern w:val="2"/>
          <w:sz w:val="20"/>
          <w:szCs w:val="20"/>
          <w14:ligatures w14:val="standardContextual"/>
        </w:rPr>
      </w:pPr>
      <w:hyperlink w:anchor="_Toc161658056" w:history="1">
        <w:r w:rsidR="00360B4E" w:rsidRPr="00F97360">
          <w:rPr>
            <w:rStyle w:val="Hyperlink"/>
            <w:noProof/>
            <w:sz w:val="20"/>
            <w:szCs w:val="20"/>
          </w:rPr>
          <w:t>3.</w:t>
        </w:r>
        <w:r w:rsidR="00360B4E" w:rsidRPr="00F97360">
          <w:rPr>
            <w:rFonts w:ascii="Arial" w:eastAsiaTheme="minorEastAsia" w:hAnsi="Arial" w:cs="Arial"/>
            <w:noProof/>
            <w:kern w:val="2"/>
            <w:sz w:val="20"/>
            <w:szCs w:val="20"/>
            <w14:ligatures w14:val="standardContextual"/>
          </w:rPr>
          <w:tab/>
        </w:r>
        <w:r w:rsidR="00360B4E" w:rsidRPr="00F97360">
          <w:rPr>
            <w:rStyle w:val="Hyperlink"/>
            <w:noProof/>
            <w:sz w:val="20"/>
            <w:szCs w:val="20"/>
          </w:rPr>
          <w:t>Performance Conditions</w:t>
        </w:r>
        <w:r w:rsidR="00360B4E" w:rsidRPr="00F97360">
          <w:rPr>
            <w:rFonts w:ascii="Arial" w:hAnsi="Arial" w:cs="Arial"/>
            <w:noProof/>
            <w:sz w:val="20"/>
            <w:szCs w:val="20"/>
          </w:rPr>
          <w:tab/>
        </w:r>
        <w:r w:rsidR="00360B4E" w:rsidRPr="00F97360">
          <w:rPr>
            <w:rFonts w:ascii="Arial" w:hAnsi="Arial" w:cs="Arial"/>
            <w:noProof/>
            <w:sz w:val="20"/>
            <w:szCs w:val="20"/>
          </w:rPr>
          <w:fldChar w:fldCharType="begin"/>
        </w:r>
        <w:r w:rsidR="00360B4E" w:rsidRPr="00F97360">
          <w:rPr>
            <w:rFonts w:ascii="Arial" w:hAnsi="Arial" w:cs="Arial"/>
            <w:noProof/>
            <w:sz w:val="20"/>
            <w:szCs w:val="20"/>
          </w:rPr>
          <w:instrText xml:space="preserve"> PAGEREF _Toc161658056 \h </w:instrText>
        </w:r>
        <w:r w:rsidR="00360B4E" w:rsidRPr="00F97360">
          <w:rPr>
            <w:rFonts w:ascii="Arial" w:hAnsi="Arial" w:cs="Arial"/>
            <w:noProof/>
            <w:sz w:val="20"/>
            <w:szCs w:val="20"/>
          </w:rPr>
        </w:r>
        <w:r w:rsidR="00360B4E" w:rsidRPr="00F97360">
          <w:rPr>
            <w:rFonts w:ascii="Arial" w:hAnsi="Arial" w:cs="Arial"/>
            <w:noProof/>
            <w:sz w:val="20"/>
            <w:szCs w:val="20"/>
          </w:rPr>
          <w:fldChar w:fldCharType="separate"/>
        </w:r>
        <w:r>
          <w:rPr>
            <w:rFonts w:ascii="Arial" w:hAnsi="Arial" w:cs="Arial"/>
            <w:noProof/>
            <w:sz w:val="20"/>
            <w:szCs w:val="20"/>
          </w:rPr>
          <w:t>10</w:t>
        </w:r>
        <w:r w:rsidR="00360B4E" w:rsidRPr="00F97360">
          <w:rPr>
            <w:rFonts w:ascii="Arial" w:hAnsi="Arial" w:cs="Arial"/>
            <w:noProof/>
            <w:sz w:val="20"/>
            <w:szCs w:val="20"/>
          </w:rPr>
          <w:fldChar w:fldCharType="end"/>
        </w:r>
      </w:hyperlink>
    </w:p>
    <w:p w14:paraId="69282DC7" w14:textId="6BB6CBE7" w:rsidR="00360B4E" w:rsidRPr="00F97360" w:rsidRDefault="00324F6C">
      <w:pPr>
        <w:pStyle w:val="TOC1"/>
        <w:rPr>
          <w:rFonts w:ascii="Arial" w:eastAsiaTheme="minorEastAsia" w:hAnsi="Arial" w:cs="Arial"/>
          <w:noProof/>
          <w:kern w:val="2"/>
          <w:sz w:val="20"/>
          <w:szCs w:val="20"/>
          <w14:ligatures w14:val="standardContextual"/>
        </w:rPr>
      </w:pPr>
      <w:hyperlink w:anchor="_Toc161658057" w:history="1">
        <w:r w:rsidR="00360B4E" w:rsidRPr="00F97360">
          <w:rPr>
            <w:rStyle w:val="Hyperlink"/>
            <w:noProof/>
            <w:sz w:val="20"/>
            <w:szCs w:val="20"/>
          </w:rPr>
          <w:t>4.</w:t>
        </w:r>
        <w:r w:rsidR="00360B4E" w:rsidRPr="00F97360">
          <w:rPr>
            <w:rFonts w:ascii="Arial" w:eastAsiaTheme="minorEastAsia" w:hAnsi="Arial" w:cs="Arial"/>
            <w:noProof/>
            <w:kern w:val="2"/>
            <w:sz w:val="20"/>
            <w:szCs w:val="20"/>
            <w14:ligatures w14:val="standardContextual"/>
          </w:rPr>
          <w:tab/>
        </w:r>
        <w:r w:rsidR="00360B4E" w:rsidRPr="00F97360">
          <w:rPr>
            <w:rStyle w:val="Hyperlink"/>
            <w:noProof/>
            <w:sz w:val="20"/>
            <w:szCs w:val="20"/>
          </w:rPr>
          <w:t>Adjustment to Vesting of Awards</w:t>
        </w:r>
        <w:r w:rsidR="00360B4E" w:rsidRPr="00F97360">
          <w:rPr>
            <w:rFonts w:ascii="Arial" w:hAnsi="Arial" w:cs="Arial"/>
            <w:noProof/>
            <w:sz w:val="20"/>
            <w:szCs w:val="20"/>
          </w:rPr>
          <w:tab/>
        </w:r>
        <w:r w:rsidR="00360B4E" w:rsidRPr="00F97360">
          <w:rPr>
            <w:rFonts w:ascii="Arial" w:hAnsi="Arial" w:cs="Arial"/>
            <w:noProof/>
            <w:sz w:val="20"/>
            <w:szCs w:val="20"/>
          </w:rPr>
          <w:fldChar w:fldCharType="begin"/>
        </w:r>
        <w:r w:rsidR="00360B4E" w:rsidRPr="00F97360">
          <w:rPr>
            <w:rFonts w:ascii="Arial" w:hAnsi="Arial" w:cs="Arial"/>
            <w:noProof/>
            <w:sz w:val="20"/>
            <w:szCs w:val="20"/>
          </w:rPr>
          <w:instrText xml:space="preserve"> PAGEREF _Toc161658057 \h </w:instrText>
        </w:r>
        <w:r w:rsidR="00360B4E" w:rsidRPr="00F97360">
          <w:rPr>
            <w:rFonts w:ascii="Arial" w:hAnsi="Arial" w:cs="Arial"/>
            <w:noProof/>
            <w:sz w:val="20"/>
            <w:szCs w:val="20"/>
          </w:rPr>
        </w:r>
        <w:r w:rsidR="00360B4E" w:rsidRPr="00F97360">
          <w:rPr>
            <w:rFonts w:ascii="Arial" w:hAnsi="Arial" w:cs="Arial"/>
            <w:noProof/>
            <w:sz w:val="20"/>
            <w:szCs w:val="20"/>
          </w:rPr>
          <w:fldChar w:fldCharType="separate"/>
        </w:r>
        <w:r>
          <w:rPr>
            <w:rFonts w:ascii="Arial" w:hAnsi="Arial" w:cs="Arial"/>
            <w:noProof/>
            <w:sz w:val="20"/>
            <w:szCs w:val="20"/>
          </w:rPr>
          <w:t>11</w:t>
        </w:r>
        <w:r w:rsidR="00360B4E" w:rsidRPr="00F97360">
          <w:rPr>
            <w:rFonts w:ascii="Arial" w:hAnsi="Arial" w:cs="Arial"/>
            <w:noProof/>
            <w:sz w:val="20"/>
            <w:szCs w:val="20"/>
          </w:rPr>
          <w:fldChar w:fldCharType="end"/>
        </w:r>
      </w:hyperlink>
    </w:p>
    <w:p w14:paraId="45710F2C" w14:textId="5EB94943" w:rsidR="00360B4E" w:rsidRPr="00F97360" w:rsidRDefault="00324F6C">
      <w:pPr>
        <w:pStyle w:val="TOC1"/>
        <w:rPr>
          <w:rFonts w:ascii="Arial" w:eastAsiaTheme="minorEastAsia" w:hAnsi="Arial" w:cs="Arial"/>
          <w:noProof/>
          <w:kern w:val="2"/>
          <w:sz w:val="20"/>
          <w:szCs w:val="20"/>
          <w14:ligatures w14:val="standardContextual"/>
        </w:rPr>
      </w:pPr>
      <w:hyperlink w:anchor="_Toc161658058" w:history="1">
        <w:r w:rsidR="00360B4E" w:rsidRPr="00F97360">
          <w:rPr>
            <w:rStyle w:val="Hyperlink"/>
            <w:noProof/>
            <w:sz w:val="20"/>
            <w:szCs w:val="20"/>
          </w:rPr>
          <w:t>5.</w:t>
        </w:r>
        <w:r w:rsidR="00360B4E" w:rsidRPr="00F97360">
          <w:rPr>
            <w:rFonts w:ascii="Arial" w:eastAsiaTheme="minorEastAsia" w:hAnsi="Arial" w:cs="Arial"/>
            <w:noProof/>
            <w:kern w:val="2"/>
            <w:sz w:val="20"/>
            <w:szCs w:val="20"/>
            <w14:ligatures w14:val="standardContextual"/>
          </w:rPr>
          <w:tab/>
        </w:r>
        <w:r w:rsidR="00360B4E" w:rsidRPr="00F97360">
          <w:rPr>
            <w:rStyle w:val="Hyperlink"/>
            <w:noProof/>
            <w:sz w:val="20"/>
            <w:szCs w:val="20"/>
          </w:rPr>
          <w:t>Rights in relation to Shares and Dividend Equivalents</w:t>
        </w:r>
        <w:r w:rsidR="00360B4E" w:rsidRPr="00F97360">
          <w:rPr>
            <w:rFonts w:ascii="Arial" w:hAnsi="Arial" w:cs="Arial"/>
            <w:noProof/>
            <w:sz w:val="20"/>
            <w:szCs w:val="20"/>
          </w:rPr>
          <w:tab/>
        </w:r>
        <w:r w:rsidR="00360B4E" w:rsidRPr="00F97360">
          <w:rPr>
            <w:rFonts w:ascii="Arial" w:hAnsi="Arial" w:cs="Arial"/>
            <w:noProof/>
            <w:sz w:val="20"/>
            <w:szCs w:val="20"/>
          </w:rPr>
          <w:fldChar w:fldCharType="begin"/>
        </w:r>
        <w:r w:rsidR="00360B4E" w:rsidRPr="00F97360">
          <w:rPr>
            <w:rFonts w:ascii="Arial" w:hAnsi="Arial" w:cs="Arial"/>
            <w:noProof/>
            <w:sz w:val="20"/>
            <w:szCs w:val="20"/>
          </w:rPr>
          <w:instrText xml:space="preserve"> PAGEREF _Toc161658058 \h </w:instrText>
        </w:r>
        <w:r w:rsidR="00360B4E" w:rsidRPr="00F97360">
          <w:rPr>
            <w:rFonts w:ascii="Arial" w:hAnsi="Arial" w:cs="Arial"/>
            <w:noProof/>
            <w:sz w:val="20"/>
            <w:szCs w:val="20"/>
          </w:rPr>
        </w:r>
        <w:r w:rsidR="00360B4E" w:rsidRPr="00F97360">
          <w:rPr>
            <w:rFonts w:ascii="Arial" w:hAnsi="Arial" w:cs="Arial"/>
            <w:noProof/>
            <w:sz w:val="20"/>
            <w:szCs w:val="20"/>
          </w:rPr>
          <w:fldChar w:fldCharType="separate"/>
        </w:r>
        <w:r>
          <w:rPr>
            <w:rFonts w:ascii="Arial" w:hAnsi="Arial" w:cs="Arial"/>
            <w:noProof/>
            <w:sz w:val="20"/>
            <w:szCs w:val="20"/>
          </w:rPr>
          <w:t>11</w:t>
        </w:r>
        <w:r w:rsidR="00360B4E" w:rsidRPr="00F97360">
          <w:rPr>
            <w:rFonts w:ascii="Arial" w:hAnsi="Arial" w:cs="Arial"/>
            <w:noProof/>
            <w:sz w:val="20"/>
            <w:szCs w:val="20"/>
          </w:rPr>
          <w:fldChar w:fldCharType="end"/>
        </w:r>
      </w:hyperlink>
    </w:p>
    <w:p w14:paraId="1D5FE9B2" w14:textId="053C825C" w:rsidR="00360B4E" w:rsidRPr="00F97360" w:rsidRDefault="00324F6C">
      <w:pPr>
        <w:pStyle w:val="TOC1"/>
        <w:rPr>
          <w:rFonts w:ascii="Arial" w:eastAsiaTheme="minorEastAsia" w:hAnsi="Arial" w:cs="Arial"/>
          <w:noProof/>
          <w:kern w:val="2"/>
          <w:sz w:val="20"/>
          <w:szCs w:val="20"/>
          <w14:ligatures w14:val="standardContextual"/>
        </w:rPr>
      </w:pPr>
      <w:hyperlink w:anchor="_Toc161658059" w:history="1">
        <w:r w:rsidR="00360B4E" w:rsidRPr="00F97360">
          <w:rPr>
            <w:rStyle w:val="Hyperlink"/>
            <w:noProof/>
            <w:sz w:val="20"/>
            <w:szCs w:val="20"/>
          </w:rPr>
          <w:t>6.</w:t>
        </w:r>
        <w:r w:rsidR="00360B4E" w:rsidRPr="00F97360">
          <w:rPr>
            <w:rFonts w:ascii="Arial" w:eastAsiaTheme="minorEastAsia" w:hAnsi="Arial" w:cs="Arial"/>
            <w:noProof/>
            <w:kern w:val="2"/>
            <w:sz w:val="20"/>
            <w:szCs w:val="20"/>
            <w14:ligatures w14:val="standardContextual"/>
          </w:rPr>
          <w:tab/>
        </w:r>
        <w:r w:rsidR="00360B4E" w:rsidRPr="00F97360">
          <w:rPr>
            <w:rStyle w:val="Hyperlink"/>
            <w:noProof/>
            <w:sz w:val="20"/>
            <w:szCs w:val="20"/>
          </w:rPr>
          <w:t>Overall grant limits</w:t>
        </w:r>
        <w:r w:rsidR="00360B4E" w:rsidRPr="00F97360">
          <w:rPr>
            <w:rFonts w:ascii="Arial" w:hAnsi="Arial" w:cs="Arial"/>
            <w:noProof/>
            <w:sz w:val="20"/>
            <w:szCs w:val="20"/>
          </w:rPr>
          <w:tab/>
        </w:r>
        <w:r w:rsidR="00360B4E" w:rsidRPr="00F97360">
          <w:rPr>
            <w:rFonts w:ascii="Arial" w:hAnsi="Arial" w:cs="Arial"/>
            <w:noProof/>
            <w:sz w:val="20"/>
            <w:szCs w:val="20"/>
          </w:rPr>
          <w:fldChar w:fldCharType="begin"/>
        </w:r>
        <w:r w:rsidR="00360B4E" w:rsidRPr="00F97360">
          <w:rPr>
            <w:rFonts w:ascii="Arial" w:hAnsi="Arial" w:cs="Arial"/>
            <w:noProof/>
            <w:sz w:val="20"/>
            <w:szCs w:val="20"/>
          </w:rPr>
          <w:instrText xml:space="preserve"> PAGEREF _Toc161658059 \h </w:instrText>
        </w:r>
        <w:r w:rsidR="00360B4E" w:rsidRPr="00F97360">
          <w:rPr>
            <w:rFonts w:ascii="Arial" w:hAnsi="Arial" w:cs="Arial"/>
            <w:noProof/>
            <w:sz w:val="20"/>
            <w:szCs w:val="20"/>
          </w:rPr>
        </w:r>
        <w:r w:rsidR="00360B4E" w:rsidRPr="00F97360">
          <w:rPr>
            <w:rFonts w:ascii="Arial" w:hAnsi="Arial" w:cs="Arial"/>
            <w:noProof/>
            <w:sz w:val="20"/>
            <w:szCs w:val="20"/>
          </w:rPr>
          <w:fldChar w:fldCharType="separate"/>
        </w:r>
        <w:r>
          <w:rPr>
            <w:rFonts w:ascii="Arial" w:hAnsi="Arial" w:cs="Arial"/>
            <w:noProof/>
            <w:sz w:val="20"/>
            <w:szCs w:val="20"/>
          </w:rPr>
          <w:t>11</w:t>
        </w:r>
        <w:r w:rsidR="00360B4E" w:rsidRPr="00F97360">
          <w:rPr>
            <w:rFonts w:ascii="Arial" w:hAnsi="Arial" w:cs="Arial"/>
            <w:noProof/>
            <w:sz w:val="20"/>
            <w:szCs w:val="20"/>
          </w:rPr>
          <w:fldChar w:fldCharType="end"/>
        </w:r>
      </w:hyperlink>
    </w:p>
    <w:p w14:paraId="03951BEC" w14:textId="7D61AFED" w:rsidR="00360B4E" w:rsidRPr="00F97360" w:rsidRDefault="00324F6C">
      <w:pPr>
        <w:pStyle w:val="TOC1"/>
        <w:rPr>
          <w:rFonts w:ascii="Arial" w:eastAsiaTheme="minorEastAsia" w:hAnsi="Arial" w:cs="Arial"/>
          <w:noProof/>
          <w:kern w:val="2"/>
          <w:sz w:val="20"/>
          <w:szCs w:val="20"/>
          <w14:ligatures w14:val="standardContextual"/>
        </w:rPr>
      </w:pPr>
      <w:hyperlink w:anchor="_Toc161658060" w:history="1">
        <w:r w:rsidR="00360B4E" w:rsidRPr="00F97360">
          <w:rPr>
            <w:rStyle w:val="Hyperlink"/>
            <w:noProof/>
            <w:sz w:val="20"/>
            <w:szCs w:val="20"/>
          </w:rPr>
          <w:t>7.</w:t>
        </w:r>
        <w:r w:rsidR="00360B4E" w:rsidRPr="00F97360">
          <w:rPr>
            <w:rFonts w:ascii="Arial" w:eastAsiaTheme="minorEastAsia" w:hAnsi="Arial" w:cs="Arial"/>
            <w:noProof/>
            <w:kern w:val="2"/>
            <w:sz w:val="20"/>
            <w:szCs w:val="20"/>
            <w14:ligatures w14:val="standardContextual"/>
          </w:rPr>
          <w:tab/>
        </w:r>
        <w:r w:rsidR="00360B4E" w:rsidRPr="00F97360">
          <w:rPr>
            <w:rStyle w:val="Hyperlink"/>
            <w:noProof/>
            <w:sz w:val="20"/>
            <w:szCs w:val="20"/>
          </w:rPr>
          <w:t>Individual grant limits</w:t>
        </w:r>
        <w:r w:rsidR="00360B4E" w:rsidRPr="00F97360">
          <w:rPr>
            <w:rFonts w:ascii="Arial" w:hAnsi="Arial" w:cs="Arial"/>
            <w:noProof/>
            <w:sz w:val="20"/>
            <w:szCs w:val="20"/>
          </w:rPr>
          <w:tab/>
        </w:r>
        <w:r w:rsidR="00360B4E" w:rsidRPr="00F97360">
          <w:rPr>
            <w:rFonts w:ascii="Arial" w:hAnsi="Arial" w:cs="Arial"/>
            <w:noProof/>
            <w:sz w:val="20"/>
            <w:szCs w:val="20"/>
          </w:rPr>
          <w:fldChar w:fldCharType="begin"/>
        </w:r>
        <w:r w:rsidR="00360B4E" w:rsidRPr="00F97360">
          <w:rPr>
            <w:rFonts w:ascii="Arial" w:hAnsi="Arial" w:cs="Arial"/>
            <w:noProof/>
            <w:sz w:val="20"/>
            <w:szCs w:val="20"/>
          </w:rPr>
          <w:instrText xml:space="preserve"> PAGEREF _Toc161658060 \h </w:instrText>
        </w:r>
        <w:r w:rsidR="00360B4E" w:rsidRPr="00F97360">
          <w:rPr>
            <w:rFonts w:ascii="Arial" w:hAnsi="Arial" w:cs="Arial"/>
            <w:noProof/>
            <w:sz w:val="20"/>
            <w:szCs w:val="20"/>
          </w:rPr>
        </w:r>
        <w:r w:rsidR="00360B4E" w:rsidRPr="00F97360">
          <w:rPr>
            <w:rFonts w:ascii="Arial" w:hAnsi="Arial" w:cs="Arial"/>
            <w:noProof/>
            <w:sz w:val="20"/>
            <w:szCs w:val="20"/>
          </w:rPr>
          <w:fldChar w:fldCharType="separate"/>
        </w:r>
        <w:r>
          <w:rPr>
            <w:rFonts w:ascii="Arial" w:hAnsi="Arial" w:cs="Arial"/>
            <w:noProof/>
            <w:sz w:val="20"/>
            <w:szCs w:val="20"/>
          </w:rPr>
          <w:t>11</w:t>
        </w:r>
        <w:r w:rsidR="00360B4E" w:rsidRPr="00F97360">
          <w:rPr>
            <w:rFonts w:ascii="Arial" w:hAnsi="Arial" w:cs="Arial"/>
            <w:noProof/>
            <w:sz w:val="20"/>
            <w:szCs w:val="20"/>
          </w:rPr>
          <w:fldChar w:fldCharType="end"/>
        </w:r>
      </w:hyperlink>
    </w:p>
    <w:p w14:paraId="0A5CE070" w14:textId="27A71341" w:rsidR="00360B4E" w:rsidRPr="00F97360" w:rsidRDefault="00324F6C">
      <w:pPr>
        <w:pStyle w:val="TOC1"/>
        <w:rPr>
          <w:rFonts w:ascii="Arial" w:eastAsiaTheme="minorEastAsia" w:hAnsi="Arial" w:cs="Arial"/>
          <w:noProof/>
          <w:kern w:val="2"/>
          <w:sz w:val="20"/>
          <w:szCs w:val="20"/>
          <w14:ligatures w14:val="standardContextual"/>
        </w:rPr>
      </w:pPr>
      <w:hyperlink w:anchor="_Toc161658061" w:history="1">
        <w:r w:rsidR="00360B4E" w:rsidRPr="00F97360">
          <w:rPr>
            <w:rStyle w:val="Hyperlink"/>
            <w:noProof/>
            <w:sz w:val="20"/>
            <w:szCs w:val="20"/>
          </w:rPr>
          <w:t>8.</w:t>
        </w:r>
        <w:r w:rsidR="00360B4E" w:rsidRPr="00F97360">
          <w:rPr>
            <w:rFonts w:ascii="Arial" w:eastAsiaTheme="minorEastAsia" w:hAnsi="Arial" w:cs="Arial"/>
            <w:noProof/>
            <w:kern w:val="2"/>
            <w:sz w:val="20"/>
            <w:szCs w:val="20"/>
            <w14:ligatures w14:val="standardContextual"/>
          </w:rPr>
          <w:tab/>
        </w:r>
        <w:r w:rsidR="00360B4E" w:rsidRPr="00F97360">
          <w:rPr>
            <w:rStyle w:val="Hyperlink"/>
            <w:noProof/>
            <w:sz w:val="20"/>
            <w:szCs w:val="20"/>
          </w:rPr>
          <w:t>Purported grant of an Award in excess of limits</w:t>
        </w:r>
        <w:r w:rsidR="00360B4E" w:rsidRPr="00F97360">
          <w:rPr>
            <w:rFonts w:ascii="Arial" w:hAnsi="Arial" w:cs="Arial"/>
            <w:noProof/>
            <w:sz w:val="20"/>
            <w:szCs w:val="20"/>
          </w:rPr>
          <w:tab/>
        </w:r>
        <w:r w:rsidR="00360B4E" w:rsidRPr="00F97360">
          <w:rPr>
            <w:rFonts w:ascii="Arial" w:hAnsi="Arial" w:cs="Arial"/>
            <w:noProof/>
            <w:sz w:val="20"/>
            <w:szCs w:val="20"/>
          </w:rPr>
          <w:fldChar w:fldCharType="begin"/>
        </w:r>
        <w:r w:rsidR="00360B4E" w:rsidRPr="00F97360">
          <w:rPr>
            <w:rFonts w:ascii="Arial" w:hAnsi="Arial" w:cs="Arial"/>
            <w:noProof/>
            <w:sz w:val="20"/>
            <w:szCs w:val="20"/>
          </w:rPr>
          <w:instrText xml:space="preserve"> PAGEREF _Toc161658061 \h </w:instrText>
        </w:r>
        <w:r w:rsidR="00360B4E" w:rsidRPr="00F97360">
          <w:rPr>
            <w:rFonts w:ascii="Arial" w:hAnsi="Arial" w:cs="Arial"/>
            <w:noProof/>
            <w:sz w:val="20"/>
            <w:szCs w:val="20"/>
          </w:rPr>
        </w:r>
        <w:r w:rsidR="00360B4E" w:rsidRPr="00F97360">
          <w:rPr>
            <w:rFonts w:ascii="Arial" w:hAnsi="Arial" w:cs="Arial"/>
            <w:noProof/>
            <w:sz w:val="20"/>
            <w:szCs w:val="20"/>
          </w:rPr>
          <w:fldChar w:fldCharType="separate"/>
        </w:r>
        <w:r>
          <w:rPr>
            <w:rFonts w:ascii="Arial" w:hAnsi="Arial" w:cs="Arial"/>
            <w:noProof/>
            <w:sz w:val="20"/>
            <w:szCs w:val="20"/>
          </w:rPr>
          <w:t>12</w:t>
        </w:r>
        <w:r w:rsidR="00360B4E" w:rsidRPr="00F97360">
          <w:rPr>
            <w:rFonts w:ascii="Arial" w:hAnsi="Arial" w:cs="Arial"/>
            <w:noProof/>
            <w:sz w:val="20"/>
            <w:szCs w:val="20"/>
          </w:rPr>
          <w:fldChar w:fldCharType="end"/>
        </w:r>
      </w:hyperlink>
    </w:p>
    <w:p w14:paraId="281AE8E7" w14:textId="4F9A7DB4" w:rsidR="00360B4E" w:rsidRPr="00F97360" w:rsidRDefault="00324F6C">
      <w:pPr>
        <w:pStyle w:val="TOC1"/>
        <w:rPr>
          <w:rFonts w:ascii="Arial" w:eastAsiaTheme="minorEastAsia" w:hAnsi="Arial" w:cs="Arial"/>
          <w:noProof/>
          <w:kern w:val="2"/>
          <w:sz w:val="20"/>
          <w:szCs w:val="20"/>
          <w14:ligatures w14:val="standardContextual"/>
        </w:rPr>
      </w:pPr>
      <w:hyperlink w:anchor="_Toc161658062" w:history="1">
        <w:r w:rsidR="00360B4E" w:rsidRPr="00F97360">
          <w:rPr>
            <w:rStyle w:val="Hyperlink"/>
            <w:noProof/>
            <w:sz w:val="20"/>
            <w:szCs w:val="20"/>
          </w:rPr>
          <w:t>9.</w:t>
        </w:r>
        <w:r w:rsidR="00360B4E" w:rsidRPr="00F97360">
          <w:rPr>
            <w:rFonts w:ascii="Arial" w:eastAsiaTheme="minorEastAsia" w:hAnsi="Arial" w:cs="Arial"/>
            <w:noProof/>
            <w:kern w:val="2"/>
            <w:sz w:val="20"/>
            <w:szCs w:val="20"/>
            <w14:ligatures w14:val="standardContextual"/>
          </w:rPr>
          <w:tab/>
        </w:r>
        <w:r w:rsidR="00360B4E" w:rsidRPr="00F97360">
          <w:rPr>
            <w:rStyle w:val="Hyperlink"/>
            <w:noProof/>
            <w:sz w:val="20"/>
            <w:szCs w:val="20"/>
          </w:rPr>
          <w:t>Vesting Date</w:t>
        </w:r>
        <w:r w:rsidR="00360B4E" w:rsidRPr="00F97360">
          <w:rPr>
            <w:rFonts w:ascii="Arial" w:hAnsi="Arial" w:cs="Arial"/>
            <w:noProof/>
            <w:sz w:val="20"/>
            <w:szCs w:val="20"/>
          </w:rPr>
          <w:tab/>
        </w:r>
        <w:r w:rsidR="00360B4E" w:rsidRPr="00F97360">
          <w:rPr>
            <w:rFonts w:ascii="Arial" w:hAnsi="Arial" w:cs="Arial"/>
            <w:noProof/>
            <w:sz w:val="20"/>
            <w:szCs w:val="20"/>
          </w:rPr>
          <w:fldChar w:fldCharType="begin"/>
        </w:r>
        <w:r w:rsidR="00360B4E" w:rsidRPr="00F97360">
          <w:rPr>
            <w:rFonts w:ascii="Arial" w:hAnsi="Arial" w:cs="Arial"/>
            <w:noProof/>
            <w:sz w:val="20"/>
            <w:szCs w:val="20"/>
          </w:rPr>
          <w:instrText xml:space="preserve"> PAGEREF _Toc161658062 \h </w:instrText>
        </w:r>
        <w:r w:rsidR="00360B4E" w:rsidRPr="00F97360">
          <w:rPr>
            <w:rFonts w:ascii="Arial" w:hAnsi="Arial" w:cs="Arial"/>
            <w:noProof/>
            <w:sz w:val="20"/>
            <w:szCs w:val="20"/>
          </w:rPr>
        </w:r>
        <w:r w:rsidR="00360B4E" w:rsidRPr="00F97360">
          <w:rPr>
            <w:rFonts w:ascii="Arial" w:hAnsi="Arial" w:cs="Arial"/>
            <w:noProof/>
            <w:sz w:val="20"/>
            <w:szCs w:val="20"/>
          </w:rPr>
          <w:fldChar w:fldCharType="separate"/>
        </w:r>
        <w:r>
          <w:rPr>
            <w:rFonts w:ascii="Arial" w:hAnsi="Arial" w:cs="Arial"/>
            <w:noProof/>
            <w:sz w:val="20"/>
            <w:szCs w:val="20"/>
          </w:rPr>
          <w:t>12</w:t>
        </w:r>
        <w:r w:rsidR="00360B4E" w:rsidRPr="00F97360">
          <w:rPr>
            <w:rFonts w:ascii="Arial" w:hAnsi="Arial" w:cs="Arial"/>
            <w:noProof/>
            <w:sz w:val="20"/>
            <w:szCs w:val="20"/>
          </w:rPr>
          <w:fldChar w:fldCharType="end"/>
        </w:r>
      </w:hyperlink>
    </w:p>
    <w:p w14:paraId="2B65B2F2" w14:textId="74D53B1A" w:rsidR="00360B4E" w:rsidRPr="00F97360" w:rsidRDefault="00324F6C">
      <w:pPr>
        <w:pStyle w:val="TOC1"/>
        <w:rPr>
          <w:rFonts w:ascii="Arial" w:eastAsiaTheme="minorEastAsia" w:hAnsi="Arial" w:cs="Arial"/>
          <w:noProof/>
          <w:kern w:val="2"/>
          <w:sz w:val="20"/>
          <w:szCs w:val="20"/>
          <w14:ligatures w14:val="standardContextual"/>
        </w:rPr>
      </w:pPr>
      <w:hyperlink w:anchor="_Toc161658063" w:history="1">
        <w:r w:rsidR="00360B4E" w:rsidRPr="00F97360">
          <w:rPr>
            <w:rStyle w:val="Hyperlink"/>
            <w:noProof/>
            <w:sz w:val="20"/>
            <w:szCs w:val="20"/>
          </w:rPr>
          <w:t>10.</w:t>
        </w:r>
        <w:r w:rsidR="00360B4E" w:rsidRPr="00F97360">
          <w:rPr>
            <w:rFonts w:ascii="Arial" w:eastAsiaTheme="minorEastAsia" w:hAnsi="Arial" w:cs="Arial"/>
            <w:noProof/>
            <w:kern w:val="2"/>
            <w:sz w:val="20"/>
            <w:szCs w:val="20"/>
            <w14:ligatures w14:val="standardContextual"/>
          </w:rPr>
          <w:tab/>
        </w:r>
        <w:r w:rsidR="00360B4E" w:rsidRPr="00F97360">
          <w:rPr>
            <w:rStyle w:val="Hyperlink"/>
            <w:noProof/>
            <w:sz w:val="20"/>
            <w:szCs w:val="20"/>
          </w:rPr>
          <w:t>Suspension of Awards</w:t>
        </w:r>
        <w:r w:rsidR="00360B4E" w:rsidRPr="00F97360">
          <w:rPr>
            <w:rFonts w:ascii="Arial" w:hAnsi="Arial" w:cs="Arial"/>
            <w:noProof/>
            <w:sz w:val="20"/>
            <w:szCs w:val="20"/>
          </w:rPr>
          <w:tab/>
        </w:r>
        <w:r w:rsidR="00360B4E" w:rsidRPr="00F97360">
          <w:rPr>
            <w:rFonts w:ascii="Arial" w:hAnsi="Arial" w:cs="Arial"/>
            <w:noProof/>
            <w:sz w:val="20"/>
            <w:szCs w:val="20"/>
          </w:rPr>
          <w:fldChar w:fldCharType="begin"/>
        </w:r>
        <w:r w:rsidR="00360B4E" w:rsidRPr="00F97360">
          <w:rPr>
            <w:rFonts w:ascii="Arial" w:hAnsi="Arial" w:cs="Arial"/>
            <w:noProof/>
            <w:sz w:val="20"/>
            <w:szCs w:val="20"/>
          </w:rPr>
          <w:instrText xml:space="preserve"> PAGEREF _Toc161658063 \h </w:instrText>
        </w:r>
        <w:r w:rsidR="00360B4E" w:rsidRPr="00F97360">
          <w:rPr>
            <w:rFonts w:ascii="Arial" w:hAnsi="Arial" w:cs="Arial"/>
            <w:noProof/>
            <w:sz w:val="20"/>
            <w:szCs w:val="20"/>
          </w:rPr>
        </w:r>
        <w:r w:rsidR="00360B4E" w:rsidRPr="00F97360">
          <w:rPr>
            <w:rFonts w:ascii="Arial" w:hAnsi="Arial" w:cs="Arial"/>
            <w:noProof/>
            <w:sz w:val="20"/>
            <w:szCs w:val="20"/>
          </w:rPr>
          <w:fldChar w:fldCharType="separate"/>
        </w:r>
        <w:r>
          <w:rPr>
            <w:rFonts w:ascii="Arial" w:hAnsi="Arial" w:cs="Arial"/>
            <w:noProof/>
            <w:sz w:val="20"/>
            <w:szCs w:val="20"/>
          </w:rPr>
          <w:t>12</w:t>
        </w:r>
        <w:r w:rsidR="00360B4E" w:rsidRPr="00F97360">
          <w:rPr>
            <w:rFonts w:ascii="Arial" w:hAnsi="Arial" w:cs="Arial"/>
            <w:noProof/>
            <w:sz w:val="20"/>
            <w:szCs w:val="20"/>
          </w:rPr>
          <w:fldChar w:fldCharType="end"/>
        </w:r>
      </w:hyperlink>
    </w:p>
    <w:p w14:paraId="778EBD43" w14:textId="3349570C" w:rsidR="00360B4E" w:rsidRPr="00F97360" w:rsidRDefault="00324F6C">
      <w:pPr>
        <w:pStyle w:val="TOC1"/>
        <w:rPr>
          <w:rFonts w:ascii="Arial" w:eastAsiaTheme="minorEastAsia" w:hAnsi="Arial" w:cs="Arial"/>
          <w:noProof/>
          <w:kern w:val="2"/>
          <w:sz w:val="20"/>
          <w:szCs w:val="20"/>
          <w14:ligatures w14:val="standardContextual"/>
        </w:rPr>
      </w:pPr>
      <w:hyperlink w:anchor="_Toc161658064" w:history="1">
        <w:r w:rsidR="00360B4E" w:rsidRPr="00F97360">
          <w:rPr>
            <w:rStyle w:val="Hyperlink"/>
            <w:noProof/>
            <w:sz w:val="20"/>
            <w:szCs w:val="20"/>
          </w:rPr>
          <w:t>11.</w:t>
        </w:r>
        <w:r w:rsidR="00360B4E" w:rsidRPr="00F97360">
          <w:rPr>
            <w:rFonts w:ascii="Arial" w:eastAsiaTheme="minorEastAsia" w:hAnsi="Arial" w:cs="Arial"/>
            <w:noProof/>
            <w:kern w:val="2"/>
            <w:sz w:val="20"/>
            <w:szCs w:val="20"/>
            <w14:ligatures w14:val="standardContextual"/>
          </w:rPr>
          <w:tab/>
        </w:r>
        <w:r w:rsidR="00360B4E" w:rsidRPr="00F97360">
          <w:rPr>
            <w:rStyle w:val="Hyperlink"/>
            <w:noProof/>
            <w:sz w:val="20"/>
            <w:szCs w:val="20"/>
          </w:rPr>
          <w:t>Circumstances in which malus and clawback can apply</w:t>
        </w:r>
        <w:r w:rsidR="00360B4E" w:rsidRPr="00F97360">
          <w:rPr>
            <w:rFonts w:ascii="Arial" w:hAnsi="Arial" w:cs="Arial"/>
            <w:noProof/>
            <w:sz w:val="20"/>
            <w:szCs w:val="20"/>
          </w:rPr>
          <w:tab/>
        </w:r>
        <w:r w:rsidR="00360B4E" w:rsidRPr="00F97360">
          <w:rPr>
            <w:rFonts w:ascii="Arial" w:hAnsi="Arial" w:cs="Arial"/>
            <w:noProof/>
            <w:sz w:val="20"/>
            <w:szCs w:val="20"/>
          </w:rPr>
          <w:fldChar w:fldCharType="begin"/>
        </w:r>
        <w:r w:rsidR="00360B4E" w:rsidRPr="00F97360">
          <w:rPr>
            <w:rFonts w:ascii="Arial" w:hAnsi="Arial" w:cs="Arial"/>
            <w:noProof/>
            <w:sz w:val="20"/>
            <w:szCs w:val="20"/>
          </w:rPr>
          <w:instrText xml:space="preserve"> PAGEREF _Toc161658064 \h </w:instrText>
        </w:r>
        <w:r w:rsidR="00360B4E" w:rsidRPr="00F97360">
          <w:rPr>
            <w:rFonts w:ascii="Arial" w:hAnsi="Arial" w:cs="Arial"/>
            <w:noProof/>
            <w:sz w:val="20"/>
            <w:szCs w:val="20"/>
          </w:rPr>
        </w:r>
        <w:r w:rsidR="00360B4E" w:rsidRPr="00F97360">
          <w:rPr>
            <w:rFonts w:ascii="Arial" w:hAnsi="Arial" w:cs="Arial"/>
            <w:noProof/>
            <w:sz w:val="20"/>
            <w:szCs w:val="20"/>
          </w:rPr>
          <w:fldChar w:fldCharType="separate"/>
        </w:r>
        <w:r>
          <w:rPr>
            <w:rFonts w:ascii="Arial" w:hAnsi="Arial" w:cs="Arial"/>
            <w:noProof/>
            <w:sz w:val="20"/>
            <w:szCs w:val="20"/>
          </w:rPr>
          <w:t>13</w:t>
        </w:r>
        <w:r w:rsidR="00360B4E" w:rsidRPr="00F97360">
          <w:rPr>
            <w:rFonts w:ascii="Arial" w:hAnsi="Arial" w:cs="Arial"/>
            <w:noProof/>
            <w:sz w:val="20"/>
            <w:szCs w:val="20"/>
          </w:rPr>
          <w:fldChar w:fldCharType="end"/>
        </w:r>
      </w:hyperlink>
    </w:p>
    <w:p w14:paraId="39FF9AE4" w14:textId="1F9D31EA" w:rsidR="00360B4E" w:rsidRPr="00F97360" w:rsidRDefault="00324F6C">
      <w:pPr>
        <w:pStyle w:val="TOC1"/>
        <w:rPr>
          <w:rFonts w:ascii="Arial" w:eastAsiaTheme="minorEastAsia" w:hAnsi="Arial" w:cs="Arial"/>
          <w:noProof/>
          <w:kern w:val="2"/>
          <w:sz w:val="20"/>
          <w:szCs w:val="20"/>
          <w14:ligatures w14:val="standardContextual"/>
        </w:rPr>
      </w:pPr>
      <w:hyperlink w:anchor="_Toc161658065" w:history="1">
        <w:r w:rsidR="00360B4E" w:rsidRPr="00F97360">
          <w:rPr>
            <w:rStyle w:val="Hyperlink"/>
            <w:noProof/>
            <w:sz w:val="20"/>
            <w:szCs w:val="20"/>
          </w:rPr>
          <w:t>12.</w:t>
        </w:r>
        <w:r w:rsidR="00360B4E" w:rsidRPr="00F97360">
          <w:rPr>
            <w:rFonts w:ascii="Arial" w:eastAsiaTheme="minorEastAsia" w:hAnsi="Arial" w:cs="Arial"/>
            <w:noProof/>
            <w:kern w:val="2"/>
            <w:sz w:val="20"/>
            <w:szCs w:val="20"/>
            <w14:ligatures w14:val="standardContextual"/>
          </w:rPr>
          <w:tab/>
        </w:r>
        <w:r w:rsidR="00360B4E" w:rsidRPr="00F97360">
          <w:rPr>
            <w:rStyle w:val="Hyperlink"/>
            <w:noProof/>
            <w:sz w:val="20"/>
            <w:szCs w:val="20"/>
          </w:rPr>
          <w:t>Operation of malus and clawback</w:t>
        </w:r>
        <w:r w:rsidR="00360B4E" w:rsidRPr="00F97360">
          <w:rPr>
            <w:rFonts w:ascii="Arial" w:hAnsi="Arial" w:cs="Arial"/>
            <w:noProof/>
            <w:sz w:val="20"/>
            <w:szCs w:val="20"/>
          </w:rPr>
          <w:tab/>
        </w:r>
        <w:r w:rsidR="00360B4E" w:rsidRPr="00F97360">
          <w:rPr>
            <w:rFonts w:ascii="Arial" w:hAnsi="Arial" w:cs="Arial"/>
            <w:noProof/>
            <w:sz w:val="20"/>
            <w:szCs w:val="20"/>
          </w:rPr>
          <w:fldChar w:fldCharType="begin"/>
        </w:r>
        <w:r w:rsidR="00360B4E" w:rsidRPr="00F97360">
          <w:rPr>
            <w:rFonts w:ascii="Arial" w:hAnsi="Arial" w:cs="Arial"/>
            <w:noProof/>
            <w:sz w:val="20"/>
            <w:szCs w:val="20"/>
          </w:rPr>
          <w:instrText xml:space="preserve"> PAGEREF _Toc161658065 \h </w:instrText>
        </w:r>
        <w:r w:rsidR="00360B4E" w:rsidRPr="00F97360">
          <w:rPr>
            <w:rFonts w:ascii="Arial" w:hAnsi="Arial" w:cs="Arial"/>
            <w:noProof/>
            <w:sz w:val="20"/>
            <w:szCs w:val="20"/>
          </w:rPr>
        </w:r>
        <w:r w:rsidR="00360B4E" w:rsidRPr="00F97360">
          <w:rPr>
            <w:rFonts w:ascii="Arial" w:hAnsi="Arial" w:cs="Arial"/>
            <w:noProof/>
            <w:sz w:val="20"/>
            <w:szCs w:val="20"/>
          </w:rPr>
          <w:fldChar w:fldCharType="separate"/>
        </w:r>
        <w:r>
          <w:rPr>
            <w:rFonts w:ascii="Arial" w:hAnsi="Arial" w:cs="Arial"/>
            <w:noProof/>
            <w:sz w:val="20"/>
            <w:szCs w:val="20"/>
          </w:rPr>
          <w:t>14</w:t>
        </w:r>
        <w:r w:rsidR="00360B4E" w:rsidRPr="00F97360">
          <w:rPr>
            <w:rFonts w:ascii="Arial" w:hAnsi="Arial" w:cs="Arial"/>
            <w:noProof/>
            <w:sz w:val="20"/>
            <w:szCs w:val="20"/>
          </w:rPr>
          <w:fldChar w:fldCharType="end"/>
        </w:r>
      </w:hyperlink>
    </w:p>
    <w:p w14:paraId="1DE5F7DE" w14:textId="6C90AD94" w:rsidR="00360B4E" w:rsidRPr="00F97360" w:rsidRDefault="00324F6C">
      <w:pPr>
        <w:pStyle w:val="TOC1"/>
        <w:rPr>
          <w:rFonts w:ascii="Arial" w:eastAsiaTheme="minorEastAsia" w:hAnsi="Arial" w:cs="Arial"/>
          <w:noProof/>
          <w:kern w:val="2"/>
          <w:sz w:val="20"/>
          <w:szCs w:val="20"/>
          <w14:ligatures w14:val="standardContextual"/>
        </w:rPr>
      </w:pPr>
      <w:hyperlink w:anchor="_Toc161658066" w:history="1">
        <w:r w:rsidR="00360B4E" w:rsidRPr="00F97360">
          <w:rPr>
            <w:rStyle w:val="Hyperlink"/>
            <w:noProof/>
            <w:sz w:val="20"/>
            <w:szCs w:val="20"/>
          </w:rPr>
          <w:t>13.</w:t>
        </w:r>
        <w:r w:rsidR="00360B4E" w:rsidRPr="00F97360">
          <w:rPr>
            <w:rFonts w:ascii="Arial" w:eastAsiaTheme="minorEastAsia" w:hAnsi="Arial" w:cs="Arial"/>
            <w:noProof/>
            <w:kern w:val="2"/>
            <w:sz w:val="20"/>
            <w:szCs w:val="20"/>
            <w14:ligatures w14:val="standardContextual"/>
          </w:rPr>
          <w:tab/>
        </w:r>
        <w:r w:rsidR="00360B4E" w:rsidRPr="00F97360">
          <w:rPr>
            <w:rStyle w:val="Hyperlink"/>
            <w:noProof/>
            <w:sz w:val="20"/>
            <w:szCs w:val="20"/>
          </w:rPr>
          <w:t>Exercise of Options</w:t>
        </w:r>
        <w:r w:rsidR="00360B4E" w:rsidRPr="00F97360">
          <w:rPr>
            <w:rFonts w:ascii="Arial" w:hAnsi="Arial" w:cs="Arial"/>
            <w:noProof/>
            <w:sz w:val="20"/>
            <w:szCs w:val="20"/>
          </w:rPr>
          <w:tab/>
        </w:r>
        <w:r w:rsidR="00360B4E" w:rsidRPr="00F97360">
          <w:rPr>
            <w:rFonts w:ascii="Arial" w:hAnsi="Arial" w:cs="Arial"/>
            <w:noProof/>
            <w:sz w:val="20"/>
            <w:szCs w:val="20"/>
          </w:rPr>
          <w:fldChar w:fldCharType="begin"/>
        </w:r>
        <w:r w:rsidR="00360B4E" w:rsidRPr="00F97360">
          <w:rPr>
            <w:rFonts w:ascii="Arial" w:hAnsi="Arial" w:cs="Arial"/>
            <w:noProof/>
            <w:sz w:val="20"/>
            <w:szCs w:val="20"/>
          </w:rPr>
          <w:instrText xml:space="preserve"> PAGEREF _Toc161658066 \h </w:instrText>
        </w:r>
        <w:r w:rsidR="00360B4E" w:rsidRPr="00F97360">
          <w:rPr>
            <w:rFonts w:ascii="Arial" w:hAnsi="Arial" w:cs="Arial"/>
            <w:noProof/>
            <w:sz w:val="20"/>
            <w:szCs w:val="20"/>
          </w:rPr>
        </w:r>
        <w:r w:rsidR="00360B4E" w:rsidRPr="00F97360">
          <w:rPr>
            <w:rFonts w:ascii="Arial" w:hAnsi="Arial" w:cs="Arial"/>
            <w:noProof/>
            <w:sz w:val="20"/>
            <w:szCs w:val="20"/>
          </w:rPr>
          <w:fldChar w:fldCharType="separate"/>
        </w:r>
        <w:r>
          <w:rPr>
            <w:rFonts w:ascii="Arial" w:hAnsi="Arial" w:cs="Arial"/>
            <w:noProof/>
            <w:sz w:val="20"/>
            <w:szCs w:val="20"/>
          </w:rPr>
          <w:t>17</w:t>
        </w:r>
        <w:r w:rsidR="00360B4E" w:rsidRPr="00F97360">
          <w:rPr>
            <w:rFonts w:ascii="Arial" w:hAnsi="Arial" w:cs="Arial"/>
            <w:noProof/>
            <w:sz w:val="20"/>
            <w:szCs w:val="20"/>
          </w:rPr>
          <w:fldChar w:fldCharType="end"/>
        </w:r>
      </w:hyperlink>
    </w:p>
    <w:p w14:paraId="1A62CDBA" w14:textId="0560033A" w:rsidR="00360B4E" w:rsidRPr="00F97360" w:rsidRDefault="00324F6C">
      <w:pPr>
        <w:pStyle w:val="TOC1"/>
        <w:rPr>
          <w:rFonts w:ascii="Arial" w:eastAsiaTheme="minorEastAsia" w:hAnsi="Arial" w:cs="Arial"/>
          <w:noProof/>
          <w:kern w:val="2"/>
          <w:sz w:val="20"/>
          <w:szCs w:val="20"/>
          <w14:ligatures w14:val="standardContextual"/>
        </w:rPr>
      </w:pPr>
      <w:hyperlink w:anchor="_Toc161658067" w:history="1">
        <w:r w:rsidR="00360B4E" w:rsidRPr="00F97360">
          <w:rPr>
            <w:rStyle w:val="Hyperlink"/>
            <w:noProof/>
            <w:sz w:val="20"/>
            <w:szCs w:val="20"/>
          </w:rPr>
          <w:t>14.</w:t>
        </w:r>
        <w:r w:rsidR="00360B4E" w:rsidRPr="00F97360">
          <w:rPr>
            <w:rFonts w:ascii="Arial" w:eastAsiaTheme="minorEastAsia" w:hAnsi="Arial" w:cs="Arial"/>
            <w:noProof/>
            <w:kern w:val="2"/>
            <w:sz w:val="20"/>
            <w:szCs w:val="20"/>
            <w14:ligatures w14:val="standardContextual"/>
          </w:rPr>
          <w:tab/>
        </w:r>
        <w:r w:rsidR="00360B4E" w:rsidRPr="00F97360">
          <w:rPr>
            <w:rStyle w:val="Hyperlink"/>
            <w:noProof/>
            <w:sz w:val="20"/>
            <w:szCs w:val="20"/>
          </w:rPr>
          <w:t>Manner of exercise of Options</w:t>
        </w:r>
        <w:r w:rsidR="00360B4E" w:rsidRPr="00F97360">
          <w:rPr>
            <w:rFonts w:ascii="Arial" w:hAnsi="Arial" w:cs="Arial"/>
            <w:noProof/>
            <w:sz w:val="20"/>
            <w:szCs w:val="20"/>
          </w:rPr>
          <w:tab/>
        </w:r>
        <w:r w:rsidR="00360B4E" w:rsidRPr="00F97360">
          <w:rPr>
            <w:rFonts w:ascii="Arial" w:hAnsi="Arial" w:cs="Arial"/>
            <w:noProof/>
            <w:sz w:val="20"/>
            <w:szCs w:val="20"/>
          </w:rPr>
          <w:fldChar w:fldCharType="begin"/>
        </w:r>
        <w:r w:rsidR="00360B4E" w:rsidRPr="00F97360">
          <w:rPr>
            <w:rFonts w:ascii="Arial" w:hAnsi="Arial" w:cs="Arial"/>
            <w:noProof/>
            <w:sz w:val="20"/>
            <w:szCs w:val="20"/>
          </w:rPr>
          <w:instrText xml:space="preserve"> PAGEREF _Toc161658067 \h </w:instrText>
        </w:r>
        <w:r w:rsidR="00360B4E" w:rsidRPr="00F97360">
          <w:rPr>
            <w:rFonts w:ascii="Arial" w:hAnsi="Arial" w:cs="Arial"/>
            <w:noProof/>
            <w:sz w:val="20"/>
            <w:szCs w:val="20"/>
          </w:rPr>
        </w:r>
        <w:r w:rsidR="00360B4E" w:rsidRPr="00F97360">
          <w:rPr>
            <w:rFonts w:ascii="Arial" w:hAnsi="Arial" w:cs="Arial"/>
            <w:noProof/>
            <w:sz w:val="20"/>
            <w:szCs w:val="20"/>
          </w:rPr>
          <w:fldChar w:fldCharType="separate"/>
        </w:r>
        <w:r>
          <w:rPr>
            <w:rFonts w:ascii="Arial" w:hAnsi="Arial" w:cs="Arial"/>
            <w:noProof/>
            <w:sz w:val="20"/>
            <w:szCs w:val="20"/>
          </w:rPr>
          <w:t>17</w:t>
        </w:r>
        <w:r w:rsidR="00360B4E" w:rsidRPr="00F97360">
          <w:rPr>
            <w:rFonts w:ascii="Arial" w:hAnsi="Arial" w:cs="Arial"/>
            <w:noProof/>
            <w:sz w:val="20"/>
            <w:szCs w:val="20"/>
          </w:rPr>
          <w:fldChar w:fldCharType="end"/>
        </w:r>
      </w:hyperlink>
    </w:p>
    <w:p w14:paraId="5B7B1663" w14:textId="4D6471E5" w:rsidR="00360B4E" w:rsidRPr="00F97360" w:rsidRDefault="00324F6C">
      <w:pPr>
        <w:pStyle w:val="TOC1"/>
        <w:rPr>
          <w:rFonts w:ascii="Arial" w:eastAsiaTheme="minorEastAsia" w:hAnsi="Arial" w:cs="Arial"/>
          <w:noProof/>
          <w:kern w:val="2"/>
          <w:sz w:val="20"/>
          <w:szCs w:val="20"/>
          <w14:ligatures w14:val="standardContextual"/>
        </w:rPr>
      </w:pPr>
      <w:hyperlink w:anchor="_Toc161658068" w:history="1">
        <w:r w:rsidR="00360B4E" w:rsidRPr="00F97360">
          <w:rPr>
            <w:rStyle w:val="Hyperlink"/>
            <w:noProof/>
            <w:sz w:val="20"/>
            <w:szCs w:val="20"/>
          </w:rPr>
          <w:t>15.</w:t>
        </w:r>
        <w:r w:rsidR="00360B4E" w:rsidRPr="00F97360">
          <w:rPr>
            <w:rFonts w:ascii="Arial" w:eastAsiaTheme="minorEastAsia" w:hAnsi="Arial" w:cs="Arial"/>
            <w:noProof/>
            <w:kern w:val="2"/>
            <w:sz w:val="20"/>
            <w:szCs w:val="20"/>
            <w14:ligatures w14:val="standardContextual"/>
          </w:rPr>
          <w:tab/>
        </w:r>
        <w:r w:rsidR="00360B4E" w:rsidRPr="00F97360">
          <w:rPr>
            <w:rStyle w:val="Hyperlink"/>
            <w:noProof/>
            <w:sz w:val="20"/>
            <w:szCs w:val="20"/>
          </w:rPr>
          <w:t>Settlement of Awards</w:t>
        </w:r>
        <w:r w:rsidR="00360B4E" w:rsidRPr="00F97360">
          <w:rPr>
            <w:rFonts w:ascii="Arial" w:hAnsi="Arial" w:cs="Arial"/>
            <w:noProof/>
            <w:sz w:val="20"/>
            <w:szCs w:val="20"/>
          </w:rPr>
          <w:tab/>
        </w:r>
        <w:r w:rsidR="00360B4E" w:rsidRPr="00F97360">
          <w:rPr>
            <w:rFonts w:ascii="Arial" w:hAnsi="Arial" w:cs="Arial"/>
            <w:noProof/>
            <w:sz w:val="20"/>
            <w:szCs w:val="20"/>
          </w:rPr>
          <w:fldChar w:fldCharType="begin"/>
        </w:r>
        <w:r w:rsidR="00360B4E" w:rsidRPr="00F97360">
          <w:rPr>
            <w:rFonts w:ascii="Arial" w:hAnsi="Arial" w:cs="Arial"/>
            <w:noProof/>
            <w:sz w:val="20"/>
            <w:szCs w:val="20"/>
          </w:rPr>
          <w:instrText xml:space="preserve"> PAGEREF _Toc161658068 \h </w:instrText>
        </w:r>
        <w:r w:rsidR="00360B4E" w:rsidRPr="00F97360">
          <w:rPr>
            <w:rFonts w:ascii="Arial" w:hAnsi="Arial" w:cs="Arial"/>
            <w:noProof/>
            <w:sz w:val="20"/>
            <w:szCs w:val="20"/>
          </w:rPr>
        </w:r>
        <w:r w:rsidR="00360B4E" w:rsidRPr="00F97360">
          <w:rPr>
            <w:rFonts w:ascii="Arial" w:hAnsi="Arial" w:cs="Arial"/>
            <w:noProof/>
            <w:sz w:val="20"/>
            <w:szCs w:val="20"/>
          </w:rPr>
          <w:fldChar w:fldCharType="separate"/>
        </w:r>
        <w:r>
          <w:rPr>
            <w:rFonts w:ascii="Arial" w:hAnsi="Arial" w:cs="Arial"/>
            <w:noProof/>
            <w:sz w:val="20"/>
            <w:szCs w:val="20"/>
          </w:rPr>
          <w:t>18</w:t>
        </w:r>
        <w:r w:rsidR="00360B4E" w:rsidRPr="00F97360">
          <w:rPr>
            <w:rFonts w:ascii="Arial" w:hAnsi="Arial" w:cs="Arial"/>
            <w:noProof/>
            <w:sz w:val="20"/>
            <w:szCs w:val="20"/>
          </w:rPr>
          <w:fldChar w:fldCharType="end"/>
        </w:r>
      </w:hyperlink>
    </w:p>
    <w:p w14:paraId="1C16A830" w14:textId="151E65DC" w:rsidR="00360B4E" w:rsidRPr="00F97360" w:rsidRDefault="00324F6C">
      <w:pPr>
        <w:pStyle w:val="TOC1"/>
        <w:rPr>
          <w:rFonts w:ascii="Arial" w:eastAsiaTheme="minorEastAsia" w:hAnsi="Arial" w:cs="Arial"/>
          <w:noProof/>
          <w:kern w:val="2"/>
          <w:sz w:val="20"/>
          <w:szCs w:val="20"/>
          <w14:ligatures w14:val="standardContextual"/>
        </w:rPr>
      </w:pPr>
      <w:hyperlink w:anchor="_Toc161658069" w:history="1">
        <w:r w:rsidR="00360B4E" w:rsidRPr="00F97360">
          <w:rPr>
            <w:rStyle w:val="Hyperlink"/>
            <w:noProof/>
            <w:sz w:val="20"/>
            <w:szCs w:val="20"/>
          </w:rPr>
          <w:t>16.</w:t>
        </w:r>
        <w:r w:rsidR="00360B4E" w:rsidRPr="00F97360">
          <w:rPr>
            <w:rFonts w:ascii="Arial" w:eastAsiaTheme="minorEastAsia" w:hAnsi="Arial" w:cs="Arial"/>
            <w:noProof/>
            <w:kern w:val="2"/>
            <w:sz w:val="20"/>
            <w:szCs w:val="20"/>
            <w14:ligatures w14:val="standardContextual"/>
          </w:rPr>
          <w:tab/>
        </w:r>
        <w:r w:rsidR="00360B4E" w:rsidRPr="00F97360">
          <w:rPr>
            <w:rStyle w:val="Hyperlink"/>
            <w:noProof/>
            <w:sz w:val="20"/>
            <w:szCs w:val="20"/>
          </w:rPr>
          <w:t>Holding Period</w:t>
        </w:r>
        <w:r w:rsidR="00360B4E" w:rsidRPr="00F97360">
          <w:rPr>
            <w:rFonts w:ascii="Arial" w:hAnsi="Arial" w:cs="Arial"/>
            <w:noProof/>
            <w:sz w:val="20"/>
            <w:szCs w:val="20"/>
          </w:rPr>
          <w:tab/>
        </w:r>
        <w:r w:rsidR="00360B4E" w:rsidRPr="00F97360">
          <w:rPr>
            <w:rFonts w:ascii="Arial" w:hAnsi="Arial" w:cs="Arial"/>
            <w:noProof/>
            <w:sz w:val="20"/>
            <w:szCs w:val="20"/>
          </w:rPr>
          <w:fldChar w:fldCharType="begin"/>
        </w:r>
        <w:r w:rsidR="00360B4E" w:rsidRPr="00F97360">
          <w:rPr>
            <w:rFonts w:ascii="Arial" w:hAnsi="Arial" w:cs="Arial"/>
            <w:noProof/>
            <w:sz w:val="20"/>
            <w:szCs w:val="20"/>
          </w:rPr>
          <w:instrText xml:space="preserve"> PAGEREF _Toc161658069 \h </w:instrText>
        </w:r>
        <w:r w:rsidR="00360B4E" w:rsidRPr="00F97360">
          <w:rPr>
            <w:rFonts w:ascii="Arial" w:hAnsi="Arial" w:cs="Arial"/>
            <w:noProof/>
            <w:sz w:val="20"/>
            <w:szCs w:val="20"/>
          </w:rPr>
        </w:r>
        <w:r w:rsidR="00360B4E" w:rsidRPr="00F97360">
          <w:rPr>
            <w:rFonts w:ascii="Arial" w:hAnsi="Arial" w:cs="Arial"/>
            <w:noProof/>
            <w:sz w:val="20"/>
            <w:szCs w:val="20"/>
          </w:rPr>
          <w:fldChar w:fldCharType="separate"/>
        </w:r>
        <w:r>
          <w:rPr>
            <w:rFonts w:ascii="Arial" w:hAnsi="Arial" w:cs="Arial"/>
            <w:noProof/>
            <w:sz w:val="20"/>
            <w:szCs w:val="20"/>
          </w:rPr>
          <w:t>19</w:t>
        </w:r>
        <w:r w:rsidR="00360B4E" w:rsidRPr="00F97360">
          <w:rPr>
            <w:rFonts w:ascii="Arial" w:hAnsi="Arial" w:cs="Arial"/>
            <w:noProof/>
            <w:sz w:val="20"/>
            <w:szCs w:val="20"/>
          </w:rPr>
          <w:fldChar w:fldCharType="end"/>
        </w:r>
      </w:hyperlink>
    </w:p>
    <w:p w14:paraId="2C3EF335" w14:textId="3A20CC6D" w:rsidR="00360B4E" w:rsidRPr="00F97360" w:rsidRDefault="00324F6C">
      <w:pPr>
        <w:pStyle w:val="TOC1"/>
        <w:rPr>
          <w:rFonts w:ascii="Arial" w:eastAsiaTheme="minorEastAsia" w:hAnsi="Arial" w:cs="Arial"/>
          <w:noProof/>
          <w:kern w:val="2"/>
          <w:sz w:val="20"/>
          <w:szCs w:val="20"/>
          <w14:ligatures w14:val="standardContextual"/>
        </w:rPr>
      </w:pPr>
      <w:hyperlink w:anchor="_Toc161658070" w:history="1">
        <w:r w:rsidR="00360B4E" w:rsidRPr="00F97360">
          <w:rPr>
            <w:rStyle w:val="Hyperlink"/>
            <w:noProof/>
            <w:sz w:val="20"/>
            <w:szCs w:val="20"/>
          </w:rPr>
          <w:t>17.</w:t>
        </w:r>
        <w:r w:rsidR="00360B4E" w:rsidRPr="00F97360">
          <w:rPr>
            <w:rFonts w:ascii="Arial" w:eastAsiaTheme="minorEastAsia" w:hAnsi="Arial" w:cs="Arial"/>
            <w:noProof/>
            <w:kern w:val="2"/>
            <w:sz w:val="20"/>
            <w:szCs w:val="20"/>
            <w14:ligatures w14:val="standardContextual"/>
          </w:rPr>
          <w:tab/>
        </w:r>
        <w:r w:rsidR="00360B4E" w:rsidRPr="00F97360">
          <w:rPr>
            <w:rStyle w:val="Hyperlink"/>
            <w:noProof/>
            <w:sz w:val="20"/>
            <w:szCs w:val="20"/>
          </w:rPr>
          <w:t>Alternative methods of settlement of Awards</w:t>
        </w:r>
        <w:r w:rsidR="00360B4E" w:rsidRPr="00F97360">
          <w:rPr>
            <w:rFonts w:ascii="Arial" w:hAnsi="Arial" w:cs="Arial"/>
            <w:noProof/>
            <w:sz w:val="20"/>
            <w:szCs w:val="20"/>
          </w:rPr>
          <w:tab/>
        </w:r>
        <w:r w:rsidR="00360B4E" w:rsidRPr="00F97360">
          <w:rPr>
            <w:rFonts w:ascii="Arial" w:hAnsi="Arial" w:cs="Arial"/>
            <w:noProof/>
            <w:sz w:val="20"/>
            <w:szCs w:val="20"/>
          </w:rPr>
          <w:fldChar w:fldCharType="begin"/>
        </w:r>
        <w:r w:rsidR="00360B4E" w:rsidRPr="00F97360">
          <w:rPr>
            <w:rFonts w:ascii="Arial" w:hAnsi="Arial" w:cs="Arial"/>
            <w:noProof/>
            <w:sz w:val="20"/>
            <w:szCs w:val="20"/>
          </w:rPr>
          <w:instrText xml:space="preserve"> PAGEREF _Toc161658070 \h </w:instrText>
        </w:r>
        <w:r w:rsidR="00360B4E" w:rsidRPr="00F97360">
          <w:rPr>
            <w:rFonts w:ascii="Arial" w:hAnsi="Arial" w:cs="Arial"/>
            <w:noProof/>
            <w:sz w:val="20"/>
            <w:szCs w:val="20"/>
          </w:rPr>
        </w:r>
        <w:r w:rsidR="00360B4E" w:rsidRPr="00F97360">
          <w:rPr>
            <w:rFonts w:ascii="Arial" w:hAnsi="Arial" w:cs="Arial"/>
            <w:noProof/>
            <w:sz w:val="20"/>
            <w:szCs w:val="20"/>
          </w:rPr>
          <w:fldChar w:fldCharType="separate"/>
        </w:r>
        <w:r>
          <w:rPr>
            <w:rFonts w:ascii="Arial" w:hAnsi="Arial" w:cs="Arial"/>
            <w:noProof/>
            <w:sz w:val="20"/>
            <w:szCs w:val="20"/>
          </w:rPr>
          <w:t>20</w:t>
        </w:r>
        <w:r w:rsidR="00360B4E" w:rsidRPr="00F97360">
          <w:rPr>
            <w:rFonts w:ascii="Arial" w:hAnsi="Arial" w:cs="Arial"/>
            <w:noProof/>
            <w:sz w:val="20"/>
            <w:szCs w:val="20"/>
          </w:rPr>
          <w:fldChar w:fldCharType="end"/>
        </w:r>
      </w:hyperlink>
    </w:p>
    <w:p w14:paraId="060513D2" w14:textId="34F5FE92" w:rsidR="00360B4E" w:rsidRPr="00F97360" w:rsidRDefault="00324F6C">
      <w:pPr>
        <w:pStyle w:val="TOC1"/>
        <w:rPr>
          <w:rFonts w:ascii="Arial" w:eastAsiaTheme="minorEastAsia" w:hAnsi="Arial" w:cs="Arial"/>
          <w:noProof/>
          <w:kern w:val="2"/>
          <w:sz w:val="20"/>
          <w:szCs w:val="20"/>
          <w14:ligatures w14:val="standardContextual"/>
        </w:rPr>
      </w:pPr>
      <w:hyperlink w:anchor="_Toc161658071" w:history="1">
        <w:r w:rsidR="00360B4E" w:rsidRPr="00F97360">
          <w:rPr>
            <w:rStyle w:val="Hyperlink"/>
            <w:noProof/>
            <w:sz w:val="20"/>
            <w:szCs w:val="20"/>
          </w:rPr>
          <w:t>18.</w:t>
        </w:r>
        <w:r w:rsidR="00360B4E" w:rsidRPr="00F97360">
          <w:rPr>
            <w:rFonts w:ascii="Arial" w:eastAsiaTheme="minorEastAsia" w:hAnsi="Arial" w:cs="Arial"/>
            <w:noProof/>
            <w:kern w:val="2"/>
            <w:sz w:val="20"/>
            <w:szCs w:val="20"/>
            <w14:ligatures w14:val="standardContextual"/>
          </w:rPr>
          <w:tab/>
        </w:r>
        <w:r w:rsidR="00360B4E" w:rsidRPr="00F97360">
          <w:rPr>
            <w:rStyle w:val="Hyperlink"/>
            <w:noProof/>
            <w:sz w:val="20"/>
            <w:szCs w:val="20"/>
          </w:rPr>
          <w:t>Lapse of Awards</w:t>
        </w:r>
        <w:r w:rsidR="00360B4E" w:rsidRPr="00F97360">
          <w:rPr>
            <w:rFonts w:ascii="Arial" w:hAnsi="Arial" w:cs="Arial"/>
            <w:noProof/>
            <w:sz w:val="20"/>
            <w:szCs w:val="20"/>
          </w:rPr>
          <w:tab/>
        </w:r>
        <w:r w:rsidR="00360B4E" w:rsidRPr="00F97360">
          <w:rPr>
            <w:rFonts w:ascii="Arial" w:hAnsi="Arial" w:cs="Arial"/>
            <w:noProof/>
            <w:sz w:val="20"/>
            <w:szCs w:val="20"/>
          </w:rPr>
          <w:fldChar w:fldCharType="begin"/>
        </w:r>
        <w:r w:rsidR="00360B4E" w:rsidRPr="00F97360">
          <w:rPr>
            <w:rFonts w:ascii="Arial" w:hAnsi="Arial" w:cs="Arial"/>
            <w:noProof/>
            <w:sz w:val="20"/>
            <w:szCs w:val="20"/>
          </w:rPr>
          <w:instrText xml:space="preserve"> PAGEREF _Toc161658071 \h </w:instrText>
        </w:r>
        <w:r w:rsidR="00360B4E" w:rsidRPr="00F97360">
          <w:rPr>
            <w:rFonts w:ascii="Arial" w:hAnsi="Arial" w:cs="Arial"/>
            <w:noProof/>
            <w:sz w:val="20"/>
            <w:szCs w:val="20"/>
          </w:rPr>
        </w:r>
        <w:r w:rsidR="00360B4E" w:rsidRPr="00F97360">
          <w:rPr>
            <w:rFonts w:ascii="Arial" w:hAnsi="Arial" w:cs="Arial"/>
            <w:noProof/>
            <w:sz w:val="20"/>
            <w:szCs w:val="20"/>
          </w:rPr>
          <w:fldChar w:fldCharType="separate"/>
        </w:r>
        <w:r>
          <w:rPr>
            <w:rFonts w:ascii="Arial" w:hAnsi="Arial" w:cs="Arial"/>
            <w:noProof/>
            <w:sz w:val="20"/>
            <w:szCs w:val="20"/>
          </w:rPr>
          <w:t>20</w:t>
        </w:r>
        <w:r w:rsidR="00360B4E" w:rsidRPr="00F97360">
          <w:rPr>
            <w:rFonts w:ascii="Arial" w:hAnsi="Arial" w:cs="Arial"/>
            <w:noProof/>
            <w:sz w:val="20"/>
            <w:szCs w:val="20"/>
          </w:rPr>
          <w:fldChar w:fldCharType="end"/>
        </w:r>
      </w:hyperlink>
    </w:p>
    <w:p w14:paraId="0BD6116B" w14:textId="575D83F3" w:rsidR="00360B4E" w:rsidRPr="00F97360" w:rsidRDefault="00324F6C">
      <w:pPr>
        <w:pStyle w:val="TOC1"/>
        <w:rPr>
          <w:rFonts w:ascii="Arial" w:eastAsiaTheme="minorEastAsia" w:hAnsi="Arial" w:cs="Arial"/>
          <w:noProof/>
          <w:kern w:val="2"/>
          <w:sz w:val="20"/>
          <w:szCs w:val="20"/>
          <w14:ligatures w14:val="standardContextual"/>
        </w:rPr>
      </w:pPr>
      <w:hyperlink w:anchor="_Toc161658072" w:history="1">
        <w:r w:rsidR="00360B4E" w:rsidRPr="00F97360">
          <w:rPr>
            <w:rStyle w:val="Hyperlink"/>
            <w:noProof/>
            <w:sz w:val="20"/>
            <w:szCs w:val="20"/>
          </w:rPr>
          <w:t>19.</w:t>
        </w:r>
        <w:r w:rsidR="00360B4E" w:rsidRPr="00F97360">
          <w:rPr>
            <w:rFonts w:ascii="Arial" w:eastAsiaTheme="minorEastAsia" w:hAnsi="Arial" w:cs="Arial"/>
            <w:noProof/>
            <w:kern w:val="2"/>
            <w:sz w:val="20"/>
            <w:szCs w:val="20"/>
            <w14:ligatures w14:val="standardContextual"/>
          </w:rPr>
          <w:tab/>
        </w:r>
        <w:r w:rsidR="00360B4E" w:rsidRPr="00F97360">
          <w:rPr>
            <w:rStyle w:val="Hyperlink"/>
            <w:noProof/>
            <w:sz w:val="20"/>
            <w:szCs w:val="20"/>
          </w:rPr>
          <w:t>Termination of employment (Vesting and exercise period)</w:t>
        </w:r>
        <w:r w:rsidR="00360B4E" w:rsidRPr="00F97360">
          <w:rPr>
            <w:rFonts w:ascii="Arial" w:hAnsi="Arial" w:cs="Arial"/>
            <w:noProof/>
            <w:sz w:val="20"/>
            <w:szCs w:val="20"/>
          </w:rPr>
          <w:tab/>
        </w:r>
        <w:r w:rsidR="00360B4E" w:rsidRPr="00F97360">
          <w:rPr>
            <w:rFonts w:ascii="Arial" w:hAnsi="Arial" w:cs="Arial"/>
            <w:noProof/>
            <w:sz w:val="20"/>
            <w:szCs w:val="20"/>
          </w:rPr>
          <w:fldChar w:fldCharType="begin"/>
        </w:r>
        <w:r w:rsidR="00360B4E" w:rsidRPr="00F97360">
          <w:rPr>
            <w:rFonts w:ascii="Arial" w:hAnsi="Arial" w:cs="Arial"/>
            <w:noProof/>
            <w:sz w:val="20"/>
            <w:szCs w:val="20"/>
          </w:rPr>
          <w:instrText xml:space="preserve"> PAGEREF _Toc161658072 \h </w:instrText>
        </w:r>
        <w:r w:rsidR="00360B4E" w:rsidRPr="00F97360">
          <w:rPr>
            <w:rFonts w:ascii="Arial" w:hAnsi="Arial" w:cs="Arial"/>
            <w:noProof/>
            <w:sz w:val="20"/>
            <w:szCs w:val="20"/>
          </w:rPr>
        </w:r>
        <w:r w:rsidR="00360B4E" w:rsidRPr="00F97360">
          <w:rPr>
            <w:rFonts w:ascii="Arial" w:hAnsi="Arial" w:cs="Arial"/>
            <w:noProof/>
            <w:sz w:val="20"/>
            <w:szCs w:val="20"/>
          </w:rPr>
          <w:fldChar w:fldCharType="separate"/>
        </w:r>
        <w:r>
          <w:rPr>
            <w:rFonts w:ascii="Arial" w:hAnsi="Arial" w:cs="Arial"/>
            <w:noProof/>
            <w:sz w:val="20"/>
            <w:szCs w:val="20"/>
          </w:rPr>
          <w:t>21</w:t>
        </w:r>
        <w:r w:rsidR="00360B4E" w:rsidRPr="00F97360">
          <w:rPr>
            <w:rFonts w:ascii="Arial" w:hAnsi="Arial" w:cs="Arial"/>
            <w:noProof/>
            <w:sz w:val="20"/>
            <w:szCs w:val="20"/>
          </w:rPr>
          <w:fldChar w:fldCharType="end"/>
        </w:r>
      </w:hyperlink>
    </w:p>
    <w:p w14:paraId="2E66FD34" w14:textId="0DC19C03" w:rsidR="00360B4E" w:rsidRPr="00F97360" w:rsidRDefault="00324F6C">
      <w:pPr>
        <w:pStyle w:val="TOC1"/>
        <w:rPr>
          <w:rFonts w:ascii="Arial" w:eastAsiaTheme="minorEastAsia" w:hAnsi="Arial" w:cs="Arial"/>
          <w:noProof/>
          <w:kern w:val="2"/>
          <w:sz w:val="20"/>
          <w:szCs w:val="20"/>
          <w14:ligatures w14:val="standardContextual"/>
        </w:rPr>
      </w:pPr>
      <w:hyperlink w:anchor="_Toc161658073" w:history="1">
        <w:r w:rsidR="00360B4E" w:rsidRPr="00F97360">
          <w:rPr>
            <w:rStyle w:val="Hyperlink"/>
            <w:noProof/>
            <w:sz w:val="20"/>
            <w:szCs w:val="20"/>
          </w:rPr>
          <w:t>20.</w:t>
        </w:r>
        <w:r w:rsidR="00360B4E" w:rsidRPr="00F97360">
          <w:rPr>
            <w:rFonts w:ascii="Arial" w:eastAsiaTheme="minorEastAsia" w:hAnsi="Arial" w:cs="Arial"/>
            <w:noProof/>
            <w:kern w:val="2"/>
            <w:sz w:val="20"/>
            <w:szCs w:val="20"/>
            <w14:ligatures w14:val="standardContextual"/>
          </w:rPr>
          <w:tab/>
        </w:r>
        <w:r w:rsidR="00360B4E" w:rsidRPr="00F97360">
          <w:rPr>
            <w:rStyle w:val="Hyperlink"/>
            <w:noProof/>
            <w:sz w:val="20"/>
            <w:szCs w:val="20"/>
          </w:rPr>
          <w:t>Termination of employment (timing)</w:t>
        </w:r>
        <w:r w:rsidR="00360B4E" w:rsidRPr="00F97360">
          <w:rPr>
            <w:rFonts w:ascii="Arial" w:hAnsi="Arial" w:cs="Arial"/>
            <w:noProof/>
            <w:sz w:val="20"/>
            <w:szCs w:val="20"/>
          </w:rPr>
          <w:tab/>
        </w:r>
        <w:r w:rsidR="00360B4E" w:rsidRPr="00F97360">
          <w:rPr>
            <w:rFonts w:ascii="Arial" w:hAnsi="Arial" w:cs="Arial"/>
            <w:noProof/>
            <w:sz w:val="20"/>
            <w:szCs w:val="20"/>
          </w:rPr>
          <w:fldChar w:fldCharType="begin"/>
        </w:r>
        <w:r w:rsidR="00360B4E" w:rsidRPr="00F97360">
          <w:rPr>
            <w:rFonts w:ascii="Arial" w:hAnsi="Arial" w:cs="Arial"/>
            <w:noProof/>
            <w:sz w:val="20"/>
            <w:szCs w:val="20"/>
          </w:rPr>
          <w:instrText xml:space="preserve"> PAGEREF _Toc161658073 \h </w:instrText>
        </w:r>
        <w:r w:rsidR="00360B4E" w:rsidRPr="00F97360">
          <w:rPr>
            <w:rFonts w:ascii="Arial" w:hAnsi="Arial" w:cs="Arial"/>
            <w:noProof/>
            <w:sz w:val="20"/>
            <w:szCs w:val="20"/>
          </w:rPr>
        </w:r>
        <w:r w:rsidR="00360B4E" w:rsidRPr="00F97360">
          <w:rPr>
            <w:rFonts w:ascii="Arial" w:hAnsi="Arial" w:cs="Arial"/>
            <w:noProof/>
            <w:sz w:val="20"/>
            <w:szCs w:val="20"/>
          </w:rPr>
          <w:fldChar w:fldCharType="separate"/>
        </w:r>
        <w:r>
          <w:rPr>
            <w:rFonts w:ascii="Arial" w:hAnsi="Arial" w:cs="Arial"/>
            <w:noProof/>
            <w:sz w:val="20"/>
            <w:szCs w:val="20"/>
          </w:rPr>
          <w:t>22</w:t>
        </w:r>
        <w:r w:rsidR="00360B4E" w:rsidRPr="00F97360">
          <w:rPr>
            <w:rFonts w:ascii="Arial" w:hAnsi="Arial" w:cs="Arial"/>
            <w:noProof/>
            <w:sz w:val="20"/>
            <w:szCs w:val="20"/>
          </w:rPr>
          <w:fldChar w:fldCharType="end"/>
        </w:r>
      </w:hyperlink>
    </w:p>
    <w:p w14:paraId="400C8ABC" w14:textId="3C5EDBFC" w:rsidR="00360B4E" w:rsidRPr="00F97360" w:rsidRDefault="00324F6C">
      <w:pPr>
        <w:pStyle w:val="TOC1"/>
        <w:rPr>
          <w:rFonts w:ascii="Arial" w:eastAsiaTheme="minorEastAsia" w:hAnsi="Arial" w:cs="Arial"/>
          <w:noProof/>
          <w:kern w:val="2"/>
          <w:sz w:val="20"/>
          <w:szCs w:val="20"/>
          <w14:ligatures w14:val="standardContextual"/>
        </w:rPr>
      </w:pPr>
      <w:hyperlink w:anchor="_Toc161658074" w:history="1">
        <w:r w:rsidR="00360B4E" w:rsidRPr="00F97360">
          <w:rPr>
            <w:rStyle w:val="Hyperlink"/>
            <w:noProof/>
            <w:sz w:val="20"/>
            <w:szCs w:val="20"/>
          </w:rPr>
          <w:t>21.</w:t>
        </w:r>
        <w:r w:rsidR="00360B4E" w:rsidRPr="00F97360">
          <w:rPr>
            <w:rFonts w:ascii="Arial" w:eastAsiaTheme="minorEastAsia" w:hAnsi="Arial" w:cs="Arial"/>
            <w:noProof/>
            <w:kern w:val="2"/>
            <w:sz w:val="20"/>
            <w:szCs w:val="20"/>
            <w14:ligatures w14:val="standardContextual"/>
          </w:rPr>
          <w:tab/>
        </w:r>
        <w:r w:rsidR="00360B4E" w:rsidRPr="00F97360">
          <w:rPr>
            <w:rStyle w:val="Hyperlink"/>
            <w:noProof/>
            <w:sz w:val="20"/>
            <w:szCs w:val="20"/>
          </w:rPr>
          <w:t>Takeovers and liquidations</w:t>
        </w:r>
        <w:r w:rsidR="00360B4E" w:rsidRPr="00F97360">
          <w:rPr>
            <w:rFonts w:ascii="Arial" w:hAnsi="Arial" w:cs="Arial"/>
            <w:noProof/>
            <w:sz w:val="20"/>
            <w:szCs w:val="20"/>
          </w:rPr>
          <w:tab/>
        </w:r>
        <w:r w:rsidR="00360B4E" w:rsidRPr="00F97360">
          <w:rPr>
            <w:rFonts w:ascii="Arial" w:hAnsi="Arial" w:cs="Arial"/>
            <w:noProof/>
            <w:sz w:val="20"/>
            <w:szCs w:val="20"/>
          </w:rPr>
          <w:fldChar w:fldCharType="begin"/>
        </w:r>
        <w:r w:rsidR="00360B4E" w:rsidRPr="00F97360">
          <w:rPr>
            <w:rFonts w:ascii="Arial" w:hAnsi="Arial" w:cs="Arial"/>
            <w:noProof/>
            <w:sz w:val="20"/>
            <w:szCs w:val="20"/>
          </w:rPr>
          <w:instrText xml:space="preserve"> PAGEREF _Toc161658074 \h </w:instrText>
        </w:r>
        <w:r w:rsidR="00360B4E" w:rsidRPr="00F97360">
          <w:rPr>
            <w:rFonts w:ascii="Arial" w:hAnsi="Arial" w:cs="Arial"/>
            <w:noProof/>
            <w:sz w:val="20"/>
            <w:szCs w:val="20"/>
          </w:rPr>
        </w:r>
        <w:r w:rsidR="00360B4E" w:rsidRPr="00F97360">
          <w:rPr>
            <w:rFonts w:ascii="Arial" w:hAnsi="Arial" w:cs="Arial"/>
            <w:noProof/>
            <w:sz w:val="20"/>
            <w:szCs w:val="20"/>
          </w:rPr>
          <w:fldChar w:fldCharType="separate"/>
        </w:r>
        <w:r>
          <w:rPr>
            <w:rFonts w:ascii="Arial" w:hAnsi="Arial" w:cs="Arial"/>
            <w:noProof/>
            <w:sz w:val="20"/>
            <w:szCs w:val="20"/>
          </w:rPr>
          <w:t>22</w:t>
        </w:r>
        <w:r w:rsidR="00360B4E" w:rsidRPr="00F97360">
          <w:rPr>
            <w:rFonts w:ascii="Arial" w:hAnsi="Arial" w:cs="Arial"/>
            <w:noProof/>
            <w:sz w:val="20"/>
            <w:szCs w:val="20"/>
          </w:rPr>
          <w:fldChar w:fldCharType="end"/>
        </w:r>
      </w:hyperlink>
    </w:p>
    <w:p w14:paraId="3C3315C7" w14:textId="4434510A" w:rsidR="00360B4E" w:rsidRPr="00F97360" w:rsidRDefault="00324F6C">
      <w:pPr>
        <w:pStyle w:val="TOC1"/>
        <w:rPr>
          <w:rFonts w:ascii="Arial" w:eastAsiaTheme="minorEastAsia" w:hAnsi="Arial" w:cs="Arial"/>
          <w:noProof/>
          <w:kern w:val="2"/>
          <w:sz w:val="20"/>
          <w:szCs w:val="20"/>
          <w14:ligatures w14:val="standardContextual"/>
        </w:rPr>
      </w:pPr>
      <w:hyperlink w:anchor="_Toc161658075" w:history="1">
        <w:r w:rsidR="00360B4E" w:rsidRPr="00F97360">
          <w:rPr>
            <w:rStyle w:val="Hyperlink"/>
            <w:noProof/>
            <w:sz w:val="20"/>
            <w:szCs w:val="20"/>
          </w:rPr>
          <w:t>22.</w:t>
        </w:r>
        <w:r w:rsidR="00360B4E" w:rsidRPr="00F97360">
          <w:rPr>
            <w:rFonts w:ascii="Arial" w:eastAsiaTheme="minorEastAsia" w:hAnsi="Arial" w:cs="Arial"/>
            <w:noProof/>
            <w:kern w:val="2"/>
            <w:sz w:val="20"/>
            <w:szCs w:val="20"/>
            <w14:ligatures w14:val="standardContextual"/>
          </w:rPr>
          <w:tab/>
        </w:r>
        <w:r w:rsidR="00360B4E" w:rsidRPr="00F97360">
          <w:rPr>
            <w:rStyle w:val="Hyperlink"/>
            <w:noProof/>
            <w:sz w:val="20"/>
            <w:szCs w:val="20"/>
          </w:rPr>
          <w:t>Variation of share capital</w:t>
        </w:r>
        <w:r w:rsidR="00360B4E" w:rsidRPr="00F97360">
          <w:rPr>
            <w:rFonts w:ascii="Arial" w:hAnsi="Arial" w:cs="Arial"/>
            <w:noProof/>
            <w:sz w:val="20"/>
            <w:szCs w:val="20"/>
          </w:rPr>
          <w:tab/>
        </w:r>
        <w:r w:rsidR="00360B4E" w:rsidRPr="00F97360">
          <w:rPr>
            <w:rFonts w:ascii="Arial" w:hAnsi="Arial" w:cs="Arial"/>
            <w:noProof/>
            <w:sz w:val="20"/>
            <w:szCs w:val="20"/>
          </w:rPr>
          <w:fldChar w:fldCharType="begin"/>
        </w:r>
        <w:r w:rsidR="00360B4E" w:rsidRPr="00F97360">
          <w:rPr>
            <w:rFonts w:ascii="Arial" w:hAnsi="Arial" w:cs="Arial"/>
            <w:noProof/>
            <w:sz w:val="20"/>
            <w:szCs w:val="20"/>
          </w:rPr>
          <w:instrText xml:space="preserve"> PAGEREF _Toc161658075 \h </w:instrText>
        </w:r>
        <w:r w:rsidR="00360B4E" w:rsidRPr="00F97360">
          <w:rPr>
            <w:rFonts w:ascii="Arial" w:hAnsi="Arial" w:cs="Arial"/>
            <w:noProof/>
            <w:sz w:val="20"/>
            <w:szCs w:val="20"/>
          </w:rPr>
        </w:r>
        <w:r w:rsidR="00360B4E" w:rsidRPr="00F97360">
          <w:rPr>
            <w:rFonts w:ascii="Arial" w:hAnsi="Arial" w:cs="Arial"/>
            <w:noProof/>
            <w:sz w:val="20"/>
            <w:szCs w:val="20"/>
          </w:rPr>
          <w:fldChar w:fldCharType="separate"/>
        </w:r>
        <w:r>
          <w:rPr>
            <w:rFonts w:ascii="Arial" w:hAnsi="Arial" w:cs="Arial"/>
            <w:noProof/>
            <w:sz w:val="20"/>
            <w:szCs w:val="20"/>
          </w:rPr>
          <w:t>26</w:t>
        </w:r>
        <w:r w:rsidR="00360B4E" w:rsidRPr="00F97360">
          <w:rPr>
            <w:rFonts w:ascii="Arial" w:hAnsi="Arial" w:cs="Arial"/>
            <w:noProof/>
            <w:sz w:val="20"/>
            <w:szCs w:val="20"/>
          </w:rPr>
          <w:fldChar w:fldCharType="end"/>
        </w:r>
      </w:hyperlink>
    </w:p>
    <w:p w14:paraId="0ED75813" w14:textId="510DA7AE" w:rsidR="00360B4E" w:rsidRPr="00F97360" w:rsidRDefault="00324F6C">
      <w:pPr>
        <w:pStyle w:val="TOC1"/>
        <w:rPr>
          <w:rFonts w:ascii="Arial" w:eastAsiaTheme="minorEastAsia" w:hAnsi="Arial" w:cs="Arial"/>
          <w:noProof/>
          <w:kern w:val="2"/>
          <w:sz w:val="20"/>
          <w:szCs w:val="20"/>
          <w14:ligatures w14:val="standardContextual"/>
        </w:rPr>
      </w:pPr>
      <w:hyperlink w:anchor="_Toc161658076" w:history="1">
        <w:r w:rsidR="00360B4E" w:rsidRPr="00F97360">
          <w:rPr>
            <w:rStyle w:val="Hyperlink"/>
            <w:noProof/>
            <w:sz w:val="20"/>
            <w:szCs w:val="20"/>
          </w:rPr>
          <w:t>23.</w:t>
        </w:r>
        <w:r w:rsidR="00360B4E" w:rsidRPr="00F97360">
          <w:rPr>
            <w:rFonts w:ascii="Arial" w:eastAsiaTheme="minorEastAsia" w:hAnsi="Arial" w:cs="Arial"/>
            <w:noProof/>
            <w:kern w:val="2"/>
            <w:sz w:val="20"/>
            <w:szCs w:val="20"/>
            <w14:ligatures w14:val="standardContextual"/>
          </w:rPr>
          <w:tab/>
        </w:r>
        <w:r w:rsidR="00360B4E" w:rsidRPr="00F97360">
          <w:rPr>
            <w:rStyle w:val="Hyperlink"/>
            <w:noProof/>
            <w:sz w:val="20"/>
            <w:szCs w:val="20"/>
          </w:rPr>
          <w:t>Tax liabilities</w:t>
        </w:r>
        <w:r w:rsidR="00360B4E" w:rsidRPr="00F97360">
          <w:rPr>
            <w:rFonts w:ascii="Arial" w:hAnsi="Arial" w:cs="Arial"/>
            <w:noProof/>
            <w:sz w:val="20"/>
            <w:szCs w:val="20"/>
          </w:rPr>
          <w:tab/>
        </w:r>
        <w:r w:rsidR="00360B4E" w:rsidRPr="00F97360">
          <w:rPr>
            <w:rFonts w:ascii="Arial" w:hAnsi="Arial" w:cs="Arial"/>
            <w:noProof/>
            <w:sz w:val="20"/>
            <w:szCs w:val="20"/>
          </w:rPr>
          <w:fldChar w:fldCharType="begin"/>
        </w:r>
        <w:r w:rsidR="00360B4E" w:rsidRPr="00F97360">
          <w:rPr>
            <w:rFonts w:ascii="Arial" w:hAnsi="Arial" w:cs="Arial"/>
            <w:noProof/>
            <w:sz w:val="20"/>
            <w:szCs w:val="20"/>
          </w:rPr>
          <w:instrText xml:space="preserve"> PAGEREF _Toc161658076 \h </w:instrText>
        </w:r>
        <w:r w:rsidR="00360B4E" w:rsidRPr="00F97360">
          <w:rPr>
            <w:rFonts w:ascii="Arial" w:hAnsi="Arial" w:cs="Arial"/>
            <w:noProof/>
            <w:sz w:val="20"/>
            <w:szCs w:val="20"/>
          </w:rPr>
        </w:r>
        <w:r w:rsidR="00360B4E" w:rsidRPr="00F97360">
          <w:rPr>
            <w:rFonts w:ascii="Arial" w:hAnsi="Arial" w:cs="Arial"/>
            <w:noProof/>
            <w:sz w:val="20"/>
            <w:szCs w:val="20"/>
          </w:rPr>
          <w:fldChar w:fldCharType="separate"/>
        </w:r>
        <w:r>
          <w:rPr>
            <w:rFonts w:ascii="Arial" w:hAnsi="Arial" w:cs="Arial"/>
            <w:noProof/>
            <w:sz w:val="20"/>
            <w:szCs w:val="20"/>
          </w:rPr>
          <w:t>27</w:t>
        </w:r>
        <w:r w:rsidR="00360B4E" w:rsidRPr="00F97360">
          <w:rPr>
            <w:rFonts w:ascii="Arial" w:hAnsi="Arial" w:cs="Arial"/>
            <w:noProof/>
            <w:sz w:val="20"/>
            <w:szCs w:val="20"/>
          </w:rPr>
          <w:fldChar w:fldCharType="end"/>
        </w:r>
      </w:hyperlink>
    </w:p>
    <w:p w14:paraId="765A9024" w14:textId="5A277C30" w:rsidR="00360B4E" w:rsidRPr="00F97360" w:rsidRDefault="00324F6C">
      <w:pPr>
        <w:pStyle w:val="TOC1"/>
        <w:rPr>
          <w:rFonts w:ascii="Arial" w:eastAsiaTheme="minorEastAsia" w:hAnsi="Arial" w:cs="Arial"/>
          <w:noProof/>
          <w:kern w:val="2"/>
          <w:sz w:val="20"/>
          <w:szCs w:val="20"/>
          <w14:ligatures w14:val="standardContextual"/>
        </w:rPr>
      </w:pPr>
      <w:hyperlink w:anchor="_Toc161658077" w:history="1">
        <w:r w:rsidR="00360B4E" w:rsidRPr="00F97360">
          <w:rPr>
            <w:rStyle w:val="Hyperlink"/>
            <w:noProof/>
            <w:sz w:val="20"/>
            <w:szCs w:val="20"/>
          </w:rPr>
          <w:t>24.</w:t>
        </w:r>
        <w:r w:rsidR="00360B4E" w:rsidRPr="00F97360">
          <w:rPr>
            <w:rFonts w:ascii="Arial" w:eastAsiaTheme="minorEastAsia" w:hAnsi="Arial" w:cs="Arial"/>
            <w:noProof/>
            <w:kern w:val="2"/>
            <w:sz w:val="20"/>
            <w:szCs w:val="20"/>
            <w14:ligatures w14:val="standardContextual"/>
          </w:rPr>
          <w:tab/>
        </w:r>
        <w:r w:rsidR="00360B4E" w:rsidRPr="00F97360">
          <w:rPr>
            <w:rStyle w:val="Hyperlink"/>
            <w:noProof/>
            <w:sz w:val="20"/>
            <w:szCs w:val="20"/>
          </w:rPr>
          <w:t>Relationship with employment contract</w:t>
        </w:r>
        <w:r w:rsidR="00360B4E" w:rsidRPr="00F97360">
          <w:rPr>
            <w:rFonts w:ascii="Arial" w:hAnsi="Arial" w:cs="Arial"/>
            <w:noProof/>
            <w:sz w:val="20"/>
            <w:szCs w:val="20"/>
          </w:rPr>
          <w:tab/>
        </w:r>
        <w:r w:rsidR="00360B4E" w:rsidRPr="00F97360">
          <w:rPr>
            <w:rFonts w:ascii="Arial" w:hAnsi="Arial" w:cs="Arial"/>
            <w:noProof/>
            <w:sz w:val="20"/>
            <w:szCs w:val="20"/>
          </w:rPr>
          <w:fldChar w:fldCharType="begin"/>
        </w:r>
        <w:r w:rsidR="00360B4E" w:rsidRPr="00F97360">
          <w:rPr>
            <w:rFonts w:ascii="Arial" w:hAnsi="Arial" w:cs="Arial"/>
            <w:noProof/>
            <w:sz w:val="20"/>
            <w:szCs w:val="20"/>
          </w:rPr>
          <w:instrText xml:space="preserve"> PAGEREF _Toc161658077 \h </w:instrText>
        </w:r>
        <w:r w:rsidR="00360B4E" w:rsidRPr="00F97360">
          <w:rPr>
            <w:rFonts w:ascii="Arial" w:hAnsi="Arial" w:cs="Arial"/>
            <w:noProof/>
            <w:sz w:val="20"/>
            <w:szCs w:val="20"/>
          </w:rPr>
        </w:r>
        <w:r w:rsidR="00360B4E" w:rsidRPr="00F97360">
          <w:rPr>
            <w:rFonts w:ascii="Arial" w:hAnsi="Arial" w:cs="Arial"/>
            <w:noProof/>
            <w:sz w:val="20"/>
            <w:szCs w:val="20"/>
          </w:rPr>
          <w:fldChar w:fldCharType="separate"/>
        </w:r>
        <w:r>
          <w:rPr>
            <w:rFonts w:ascii="Arial" w:hAnsi="Arial" w:cs="Arial"/>
            <w:noProof/>
            <w:sz w:val="20"/>
            <w:szCs w:val="20"/>
          </w:rPr>
          <w:t>28</w:t>
        </w:r>
        <w:r w:rsidR="00360B4E" w:rsidRPr="00F97360">
          <w:rPr>
            <w:rFonts w:ascii="Arial" w:hAnsi="Arial" w:cs="Arial"/>
            <w:noProof/>
            <w:sz w:val="20"/>
            <w:szCs w:val="20"/>
          </w:rPr>
          <w:fldChar w:fldCharType="end"/>
        </w:r>
      </w:hyperlink>
    </w:p>
    <w:p w14:paraId="0B589A9C" w14:textId="0CA49040" w:rsidR="00360B4E" w:rsidRPr="00F97360" w:rsidRDefault="00324F6C">
      <w:pPr>
        <w:pStyle w:val="TOC1"/>
        <w:rPr>
          <w:rFonts w:ascii="Arial" w:eastAsiaTheme="minorEastAsia" w:hAnsi="Arial" w:cs="Arial"/>
          <w:noProof/>
          <w:kern w:val="2"/>
          <w:sz w:val="20"/>
          <w:szCs w:val="20"/>
          <w14:ligatures w14:val="standardContextual"/>
        </w:rPr>
      </w:pPr>
      <w:hyperlink w:anchor="_Toc161658078" w:history="1">
        <w:r w:rsidR="00360B4E" w:rsidRPr="00F97360">
          <w:rPr>
            <w:rStyle w:val="Hyperlink"/>
            <w:noProof/>
            <w:sz w:val="20"/>
            <w:szCs w:val="20"/>
          </w:rPr>
          <w:t>25.</w:t>
        </w:r>
        <w:r w:rsidR="00360B4E" w:rsidRPr="00F97360">
          <w:rPr>
            <w:rFonts w:ascii="Arial" w:eastAsiaTheme="minorEastAsia" w:hAnsi="Arial" w:cs="Arial"/>
            <w:noProof/>
            <w:kern w:val="2"/>
            <w:sz w:val="20"/>
            <w:szCs w:val="20"/>
            <w14:ligatures w14:val="standardContextual"/>
          </w:rPr>
          <w:tab/>
        </w:r>
        <w:r w:rsidR="00360B4E" w:rsidRPr="00F97360">
          <w:rPr>
            <w:rStyle w:val="Hyperlink"/>
            <w:noProof/>
            <w:sz w:val="20"/>
            <w:szCs w:val="20"/>
          </w:rPr>
          <w:t>Notices</w:t>
        </w:r>
        <w:r w:rsidR="00360B4E" w:rsidRPr="00F97360">
          <w:rPr>
            <w:rFonts w:ascii="Arial" w:hAnsi="Arial" w:cs="Arial"/>
            <w:noProof/>
            <w:sz w:val="20"/>
            <w:szCs w:val="20"/>
          </w:rPr>
          <w:tab/>
        </w:r>
        <w:r w:rsidR="00360B4E" w:rsidRPr="00F97360">
          <w:rPr>
            <w:rFonts w:ascii="Arial" w:hAnsi="Arial" w:cs="Arial"/>
            <w:noProof/>
            <w:sz w:val="20"/>
            <w:szCs w:val="20"/>
          </w:rPr>
          <w:fldChar w:fldCharType="begin"/>
        </w:r>
        <w:r w:rsidR="00360B4E" w:rsidRPr="00F97360">
          <w:rPr>
            <w:rFonts w:ascii="Arial" w:hAnsi="Arial" w:cs="Arial"/>
            <w:noProof/>
            <w:sz w:val="20"/>
            <w:szCs w:val="20"/>
          </w:rPr>
          <w:instrText xml:space="preserve"> PAGEREF _Toc161658078 \h </w:instrText>
        </w:r>
        <w:r w:rsidR="00360B4E" w:rsidRPr="00F97360">
          <w:rPr>
            <w:rFonts w:ascii="Arial" w:hAnsi="Arial" w:cs="Arial"/>
            <w:noProof/>
            <w:sz w:val="20"/>
            <w:szCs w:val="20"/>
          </w:rPr>
        </w:r>
        <w:r w:rsidR="00360B4E" w:rsidRPr="00F97360">
          <w:rPr>
            <w:rFonts w:ascii="Arial" w:hAnsi="Arial" w:cs="Arial"/>
            <w:noProof/>
            <w:sz w:val="20"/>
            <w:szCs w:val="20"/>
          </w:rPr>
          <w:fldChar w:fldCharType="separate"/>
        </w:r>
        <w:r>
          <w:rPr>
            <w:rFonts w:ascii="Arial" w:hAnsi="Arial" w:cs="Arial"/>
            <w:noProof/>
            <w:sz w:val="20"/>
            <w:szCs w:val="20"/>
          </w:rPr>
          <w:t>29</w:t>
        </w:r>
        <w:r w:rsidR="00360B4E" w:rsidRPr="00F97360">
          <w:rPr>
            <w:rFonts w:ascii="Arial" w:hAnsi="Arial" w:cs="Arial"/>
            <w:noProof/>
            <w:sz w:val="20"/>
            <w:szCs w:val="20"/>
          </w:rPr>
          <w:fldChar w:fldCharType="end"/>
        </w:r>
      </w:hyperlink>
    </w:p>
    <w:p w14:paraId="61300AF1" w14:textId="60D61F65" w:rsidR="00360B4E" w:rsidRPr="00F97360" w:rsidRDefault="00324F6C">
      <w:pPr>
        <w:pStyle w:val="TOC1"/>
        <w:rPr>
          <w:rFonts w:ascii="Arial" w:eastAsiaTheme="minorEastAsia" w:hAnsi="Arial" w:cs="Arial"/>
          <w:noProof/>
          <w:kern w:val="2"/>
          <w:sz w:val="20"/>
          <w:szCs w:val="20"/>
          <w14:ligatures w14:val="standardContextual"/>
        </w:rPr>
      </w:pPr>
      <w:hyperlink w:anchor="_Toc161658079" w:history="1">
        <w:r w:rsidR="00360B4E" w:rsidRPr="00F97360">
          <w:rPr>
            <w:rStyle w:val="Hyperlink"/>
            <w:noProof/>
            <w:sz w:val="20"/>
            <w:szCs w:val="20"/>
          </w:rPr>
          <w:t>26.</w:t>
        </w:r>
        <w:r w:rsidR="00360B4E" w:rsidRPr="00F97360">
          <w:rPr>
            <w:rFonts w:ascii="Arial" w:eastAsiaTheme="minorEastAsia" w:hAnsi="Arial" w:cs="Arial"/>
            <w:noProof/>
            <w:kern w:val="2"/>
            <w:sz w:val="20"/>
            <w:szCs w:val="20"/>
            <w14:ligatures w14:val="standardContextual"/>
          </w:rPr>
          <w:tab/>
        </w:r>
        <w:r w:rsidR="00360B4E" w:rsidRPr="00F97360">
          <w:rPr>
            <w:rStyle w:val="Hyperlink"/>
            <w:noProof/>
            <w:sz w:val="20"/>
            <w:szCs w:val="20"/>
          </w:rPr>
          <w:t>Administration and amendment</w:t>
        </w:r>
        <w:r w:rsidR="00360B4E" w:rsidRPr="00F97360">
          <w:rPr>
            <w:rFonts w:ascii="Arial" w:hAnsi="Arial" w:cs="Arial"/>
            <w:noProof/>
            <w:sz w:val="20"/>
            <w:szCs w:val="20"/>
          </w:rPr>
          <w:tab/>
        </w:r>
        <w:r w:rsidR="00360B4E" w:rsidRPr="00F97360">
          <w:rPr>
            <w:rFonts w:ascii="Arial" w:hAnsi="Arial" w:cs="Arial"/>
            <w:noProof/>
            <w:sz w:val="20"/>
            <w:szCs w:val="20"/>
          </w:rPr>
          <w:fldChar w:fldCharType="begin"/>
        </w:r>
        <w:r w:rsidR="00360B4E" w:rsidRPr="00F97360">
          <w:rPr>
            <w:rFonts w:ascii="Arial" w:hAnsi="Arial" w:cs="Arial"/>
            <w:noProof/>
            <w:sz w:val="20"/>
            <w:szCs w:val="20"/>
          </w:rPr>
          <w:instrText xml:space="preserve"> PAGEREF _Toc161658079 \h </w:instrText>
        </w:r>
        <w:r w:rsidR="00360B4E" w:rsidRPr="00F97360">
          <w:rPr>
            <w:rFonts w:ascii="Arial" w:hAnsi="Arial" w:cs="Arial"/>
            <w:noProof/>
            <w:sz w:val="20"/>
            <w:szCs w:val="20"/>
          </w:rPr>
        </w:r>
        <w:r w:rsidR="00360B4E" w:rsidRPr="00F97360">
          <w:rPr>
            <w:rFonts w:ascii="Arial" w:hAnsi="Arial" w:cs="Arial"/>
            <w:noProof/>
            <w:sz w:val="20"/>
            <w:szCs w:val="20"/>
          </w:rPr>
          <w:fldChar w:fldCharType="separate"/>
        </w:r>
        <w:r>
          <w:rPr>
            <w:rFonts w:ascii="Arial" w:hAnsi="Arial" w:cs="Arial"/>
            <w:noProof/>
            <w:sz w:val="20"/>
            <w:szCs w:val="20"/>
          </w:rPr>
          <w:t>30</w:t>
        </w:r>
        <w:r w:rsidR="00360B4E" w:rsidRPr="00F97360">
          <w:rPr>
            <w:rFonts w:ascii="Arial" w:hAnsi="Arial" w:cs="Arial"/>
            <w:noProof/>
            <w:sz w:val="20"/>
            <w:szCs w:val="20"/>
          </w:rPr>
          <w:fldChar w:fldCharType="end"/>
        </w:r>
      </w:hyperlink>
    </w:p>
    <w:p w14:paraId="0B20A934" w14:textId="69DA8498" w:rsidR="00360B4E" w:rsidRPr="00F97360" w:rsidRDefault="00324F6C">
      <w:pPr>
        <w:pStyle w:val="TOC1"/>
        <w:rPr>
          <w:rFonts w:ascii="Arial" w:eastAsiaTheme="minorEastAsia" w:hAnsi="Arial" w:cs="Arial"/>
          <w:noProof/>
          <w:kern w:val="2"/>
          <w:sz w:val="20"/>
          <w:szCs w:val="20"/>
          <w14:ligatures w14:val="standardContextual"/>
        </w:rPr>
      </w:pPr>
      <w:hyperlink w:anchor="_Toc161658080" w:history="1">
        <w:r w:rsidR="00360B4E" w:rsidRPr="00F97360">
          <w:rPr>
            <w:rStyle w:val="Hyperlink"/>
            <w:noProof/>
            <w:sz w:val="20"/>
            <w:szCs w:val="20"/>
          </w:rPr>
          <w:t>27.</w:t>
        </w:r>
        <w:r w:rsidR="00360B4E" w:rsidRPr="00F97360">
          <w:rPr>
            <w:rFonts w:ascii="Arial" w:eastAsiaTheme="minorEastAsia" w:hAnsi="Arial" w:cs="Arial"/>
            <w:noProof/>
            <w:kern w:val="2"/>
            <w:sz w:val="20"/>
            <w:szCs w:val="20"/>
            <w14:ligatures w14:val="standardContextual"/>
          </w:rPr>
          <w:tab/>
        </w:r>
        <w:r w:rsidR="00360B4E" w:rsidRPr="00F97360">
          <w:rPr>
            <w:rStyle w:val="Hyperlink"/>
            <w:noProof/>
            <w:sz w:val="20"/>
            <w:szCs w:val="20"/>
          </w:rPr>
          <w:t>Third party rights</w:t>
        </w:r>
        <w:r w:rsidR="00360B4E" w:rsidRPr="00F97360">
          <w:rPr>
            <w:rFonts w:ascii="Arial" w:hAnsi="Arial" w:cs="Arial"/>
            <w:noProof/>
            <w:sz w:val="20"/>
            <w:szCs w:val="20"/>
          </w:rPr>
          <w:tab/>
        </w:r>
        <w:r w:rsidR="00360B4E" w:rsidRPr="00F97360">
          <w:rPr>
            <w:rFonts w:ascii="Arial" w:hAnsi="Arial" w:cs="Arial"/>
            <w:noProof/>
            <w:sz w:val="20"/>
            <w:szCs w:val="20"/>
          </w:rPr>
          <w:fldChar w:fldCharType="begin"/>
        </w:r>
        <w:r w:rsidR="00360B4E" w:rsidRPr="00F97360">
          <w:rPr>
            <w:rFonts w:ascii="Arial" w:hAnsi="Arial" w:cs="Arial"/>
            <w:noProof/>
            <w:sz w:val="20"/>
            <w:szCs w:val="20"/>
          </w:rPr>
          <w:instrText xml:space="preserve"> PAGEREF _Toc161658080 \h </w:instrText>
        </w:r>
        <w:r w:rsidR="00360B4E" w:rsidRPr="00F97360">
          <w:rPr>
            <w:rFonts w:ascii="Arial" w:hAnsi="Arial" w:cs="Arial"/>
            <w:noProof/>
            <w:sz w:val="20"/>
            <w:szCs w:val="20"/>
          </w:rPr>
        </w:r>
        <w:r w:rsidR="00360B4E" w:rsidRPr="00F97360">
          <w:rPr>
            <w:rFonts w:ascii="Arial" w:hAnsi="Arial" w:cs="Arial"/>
            <w:noProof/>
            <w:sz w:val="20"/>
            <w:szCs w:val="20"/>
          </w:rPr>
          <w:fldChar w:fldCharType="separate"/>
        </w:r>
        <w:r>
          <w:rPr>
            <w:rFonts w:ascii="Arial" w:hAnsi="Arial" w:cs="Arial"/>
            <w:noProof/>
            <w:sz w:val="20"/>
            <w:szCs w:val="20"/>
          </w:rPr>
          <w:t>32</w:t>
        </w:r>
        <w:r w:rsidR="00360B4E" w:rsidRPr="00F97360">
          <w:rPr>
            <w:rFonts w:ascii="Arial" w:hAnsi="Arial" w:cs="Arial"/>
            <w:noProof/>
            <w:sz w:val="20"/>
            <w:szCs w:val="20"/>
          </w:rPr>
          <w:fldChar w:fldCharType="end"/>
        </w:r>
      </w:hyperlink>
    </w:p>
    <w:p w14:paraId="7F07E7B5" w14:textId="232D392E" w:rsidR="00360B4E" w:rsidRPr="00F97360" w:rsidRDefault="00324F6C">
      <w:pPr>
        <w:pStyle w:val="TOC1"/>
        <w:rPr>
          <w:rFonts w:ascii="Arial" w:eastAsiaTheme="minorEastAsia" w:hAnsi="Arial" w:cs="Arial"/>
          <w:noProof/>
          <w:kern w:val="2"/>
          <w:sz w:val="20"/>
          <w:szCs w:val="20"/>
          <w14:ligatures w14:val="standardContextual"/>
        </w:rPr>
      </w:pPr>
      <w:hyperlink w:anchor="_Toc161658081" w:history="1">
        <w:r w:rsidR="00360B4E" w:rsidRPr="00F97360">
          <w:rPr>
            <w:rStyle w:val="Hyperlink"/>
            <w:noProof/>
            <w:sz w:val="20"/>
            <w:szCs w:val="20"/>
          </w:rPr>
          <w:t>28.</w:t>
        </w:r>
        <w:r w:rsidR="00360B4E" w:rsidRPr="00F97360">
          <w:rPr>
            <w:rFonts w:ascii="Arial" w:eastAsiaTheme="minorEastAsia" w:hAnsi="Arial" w:cs="Arial"/>
            <w:noProof/>
            <w:kern w:val="2"/>
            <w:sz w:val="20"/>
            <w:szCs w:val="20"/>
            <w14:ligatures w14:val="standardContextual"/>
          </w:rPr>
          <w:tab/>
        </w:r>
        <w:r w:rsidR="00360B4E" w:rsidRPr="00F97360">
          <w:rPr>
            <w:rStyle w:val="Hyperlink"/>
            <w:noProof/>
            <w:sz w:val="20"/>
            <w:szCs w:val="20"/>
          </w:rPr>
          <w:t>Confidentiality</w:t>
        </w:r>
        <w:r w:rsidR="00360B4E" w:rsidRPr="00F97360">
          <w:rPr>
            <w:rFonts w:ascii="Arial" w:hAnsi="Arial" w:cs="Arial"/>
            <w:noProof/>
            <w:sz w:val="20"/>
            <w:szCs w:val="20"/>
          </w:rPr>
          <w:tab/>
        </w:r>
        <w:r w:rsidR="00360B4E" w:rsidRPr="00F97360">
          <w:rPr>
            <w:rFonts w:ascii="Arial" w:hAnsi="Arial" w:cs="Arial"/>
            <w:noProof/>
            <w:sz w:val="20"/>
            <w:szCs w:val="20"/>
          </w:rPr>
          <w:fldChar w:fldCharType="begin"/>
        </w:r>
        <w:r w:rsidR="00360B4E" w:rsidRPr="00F97360">
          <w:rPr>
            <w:rFonts w:ascii="Arial" w:hAnsi="Arial" w:cs="Arial"/>
            <w:noProof/>
            <w:sz w:val="20"/>
            <w:szCs w:val="20"/>
          </w:rPr>
          <w:instrText xml:space="preserve"> PAGEREF _Toc161658081 \h </w:instrText>
        </w:r>
        <w:r w:rsidR="00360B4E" w:rsidRPr="00F97360">
          <w:rPr>
            <w:rFonts w:ascii="Arial" w:hAnsi="Arial" w:cs="Arial"/>
            <w:noProof/>
            <w:sz w:val="20"/>
            <w:szCs w:val="20"/>
          </w:rPr>
        </w:r>
        <w:r w:rsidR="00360B4E" w:rsidRPr="00F97360">
          <w:rPr>
            <w:rFonts w:ascii="Arial" w:hAnsi="Arial" w:cs="Arial"/>
            <w:noProof/>
            <w:sz w:val="20"/>
            <w:szCs w:val="20"/>
          </w:rPr>
          <w:fldChar w:fldCharType="separate"/>
        </w:r>
        <w:r>
          <w:rPr>
            <w:rFonts w:ascii="Arial" w:hAnsi="Arial" w:cs="Arial"/>
            <w:noProof/>
            <w:sz w:val="20"/>
            <w:szCs w:val="20"/>
          </w:rPr>
          <w:t>32</w:t>
        </w:r>
        <w:r w:rsidR="00360B4E" w:rsidRPr="00F97360">
          <w:rPr>
            <w:rFonts w:ascii="Arial" w:hAnsi="Arial" w:cs="Arial"/>
            <w:noProof/>
            <w:sz w:val="20"/>
            <w:szCs w:val="20"/>
          </w:rPr>
          <w:fldChar w:fldCharType="end"/>
        </w:r>
      </w:hyperlink>
    </w:p>
    <w:p w14:paraId="6D511751" w14:textId="7A7DFA32" w:rsidR="00360B4E" w:rsidRPr="00F97360" w:rsidRDefault="00324F6C">
      <w:pPr>
        <w:pStyle w:val="TOC1"/>
        <w:rPr>
          <w:rFonts w:ascii="Arial" w:eastAsiaTheme="minorEastAsia" w:hAnsi="Arial" w:cs="Arial"/>
          <w:noProof/>
          <w:kern w:val="2"/>
          <w:sz w:val="20"/>
          <w:szCs w:val="20"/>
          <w14:ligatures w14:val="standardContextual"/>
        </w:rPr>
      </w:pPr>
      <w:hyperlink w:anchor="_Toc161658082" w:history="1">
        <w:r w:rsidR="00360B4E" w:rsidRPr="00F97360">
          <w:rPr>
            <w:rStyle w:val="Hyperlink"/>
            <w:noProof/>
            <w:sz w:val="20"/>
            <w:szCs w:val="20"/>
          </w:rPr>
          <w:t>29.</w:t>
        </w:r>
        <w:r w:rsidR="00360B4E" w:rsidRPr="00F97360">
          <w:rPr>
            <w:rFonts w:ascii="Arial" w:eastAsiaTheme="minorEastAsia" w:hAnsi="Arial" w:cs="Arial"/>
            <w:noProof/>
            <w:kern w:val="2"/>
            <w:sz w:val="20"/>
            <w:szCs w:val="20"/>
            <w14:ligatures w14:val="standardContextual"/>
          </w:rPr>
          <w:tab/>
        </w:r>
        <w:r w:rsidR="00360B4E" w:rsidRPr="00F97360">
          <w:rPr>
            <w:rStyle w:val="Hyperlink"/>
            <w:noProof/>
            <w:sz w:val="20"/>
            <w:szCs w:val="20"/>
          </w:rPr>
          <w:t>Data Privacy</w:t>
        </w:r>
        <w:r w:rsidR="00360B4E" w:rsidRPr="00F97360">
          <w:rPr>
            <w:rFonts w:ascii="Arial" w:hAnsi="Arial" w:cs="Arial"/>
            <w:noProof/>
            <w:sz w:val="20"/>
            <w:szCs w:val="20"/>
          </w:rPr>
          <w:tab/>
        </w:r>
        <w:r w:rsidR="00360B4E" w:rsidRPr="00F97360">
          <w:rPr>
            <w:rFonts w:ascii="Arial" w:hAnsi="Arial" w:cs="Arial"/>
            <w:noProof/>
            <w:sz w:val="20"/>
            <w:szCs w:val="20"/>
          </w:rPr>
          <w:fldChar w:fldCharType="begin"/>
        </w:r>
        <w:r w:rsidR="00360B4E" w:rsidRPr="00F97360">
          <w:rPr>
            <w:rFonts w:ascii="Arial" w:hAnsi="Arial" w:cs="Arial"/>
            <w:noProof/>
            <w:sz w:val="20"/>
            <w:szCs w:val="20"/>
          </w:rPr>
          <w:instrText xml:space="preserve"> PAGEREF _Toc161658082 \h </w:instrText>
        </w:r>
        <w:r w:rsidR="00360B4E" w:rsidRPr="00F97360">
          <w:rPr>
            <w:rFonts w:ascii="Arial" w:hAnsi="Arial" w:cs="Arial"/>
            <w:noProof/>
            <w:sz w:val="20"/>
            <w:szCs w:val="20"/>
          </w:rPr>
        </w:r>
        <w:r w:rsidR="00360B4E" w:rsidRPr="00F97360">
          <w:rPr>
            <w:rFonts w:ascii="Arial" w:hAnsi="Arial" w:cs="Arial"/>
            <w:noProof/>
            <w:sz w:val="20"/>
            <w:szCs w:val="20"/>
          </w:rPr>
          <w:fldChar w:fldCharType="separate"/>
        </w:r>
        <w:r>
          <w:rPr>
            <w:rFonts w:ascii="Arial" w:hAnsi="Arial" w:cs="Arial"/>
            <w:noProof/>
            <w:sz w:val="20"/>
            <w:szCs w:val="20"/>
          </w:rPr>
          <w:t>32</w:t>
        </w:r>
        <w:r w:rsidR="00360B4E" w:rsidRPr="00F97360">
          <w:rPr>
            <w:rFonts w:ascii="Arial" w:hAnsi="Arial" w:cs="Arial"/>
            <w:noProof/>
            <w:sz w:val="20"/>
            <w:szCs w:val="20"/>
          </w:rPr>
          <w:fldChar w:fldCharType="end"/>
        </w:r>
      </w:hyperlink>
    </w:p>
    <w:p w14:paraId="5AF87556" w14:textId="5676322F" w:rsidR="00360B4E" w:rsidRPr="00F97360" w:rsidRDefault="00324F6C">
      <w:pPr>
        <w:pStyle w:val="TOC1"/>
        <w:rPr>
          <w:rFonts w:ascii="Arial" w:eastAsiaTheme="minorEastAsia" w:hAnsi="Arial" w:cs="Arial"/>
          <w:noProof/>
          <w:kern w:val="2"/>
          <w:sz w:val="20"/>
          <w:szCs w:val="20"/>
          <w14:ligatures w14:val="standardContextual"/>
        </w:rPr>
      </w:pPr>
      <w:hyperlink w:anchor="_Toc161658083" w:history="1">
        <w:r w:rsidR="00360B4E" w:rsidRPr="00F97360">
          <w:rPr>
            <w:rStyle w:val="Hyperlink"/>
            <w:noProof/>
            <w:sz w:val="20"/>
            <w:szCs w:val="20"/>
          </w:rPr>
          <w:t>30.</w:t>
        </w:r>
        <w:r w:rsidR="00360B4E" w:rsidRPr="00F97360">
          <w:rPr>
            <w:rFonts w:ascii="Arial" w:eastAsiaTheme="minorEastAsia" w:hAnsi="Arial" w:cs="Arial"/>
            <w:noProof/>
            <w:kern w:val="2"/>
            <w:sz w:val="20"/>
            <w:szCs w:val="20"/>
            <w14:ligatures w14:val="standardContextual"/>
          </w:rPr>
          <w:tab/>
        </w:r>
        <w:r w:rsidR="00360B4E" w:rsidRPr="00F97360">
          <w:rPr>
            <w:rStyle w:val="Hyperlink"/>
            <w:noProof/>
            <w:sz w:val="20"/>
            <w:szCs w:val="20"/>
          </w:rPr>
          <w:t>Severability</w:t>
        </w:r>
        <w:r w:rsidR="00360B4E" w:rsidRPr="00F97360">
          <w:rPr>
            <w:rFonts w:ascii="Arial" w:hAnsi="Arial" w:cs="Arial"/>
            <w:noProof/>
            <w:sz w:val="20"/>
            <w:szCs w:val="20"/>
          </w:rPr>
          <w:tab/>
        </w:r>
        <w:r w:rsidR="00360B4E" w:rsidRPr="00F97360">
          <w:rPr>
            <w:rFonts w:ascii="Arial" w:hAnsi="Arial" w:cs="Arial"/>
            <w:noProof/>
            <w:sz w:val="20"/>
            <w:szCs w:val="20"/>
          </w:rPr>
          <w:fldChar w:fldCharType="begin"/>
        </w:r>
        <w:r w:rsidR="00360B4E" w:rsidRPr="00F97360">
          <w:rPr>
            <w:rFonts w:ascii="Arial" w:hAnsi="Arial" w:cs="Arial"/>
            <w:noProof/>
            <w:sz w:val="20"/>
            <w:szCs w:val="20"/>
          </w:rPr>
          <w:instrText xml:space="preserve"> PAGEREF _Toc161658083 \h </w:instrText>
        </w:r>
        <w:r w:rsidR="00360B4E" w:rsidRPr="00F97360">
          <w:rPr>
            <w:rFonts w:ascii="Arial" w:hAnsi="Arial" w:cs="Arial"/>
            <w:noProof/>
            <w:sz w:val="20"/>
            <w:szCs w:val="20"/>
          </w:rPr>
        </w:r>
        <w:r w:rsidR="00360B4E" w:rsidRPr="00F97360">
          <w:rPr>
            <w:rFonts w:ascii="Arial" w:hAnsi="Arial" w:cs="Arial"/>
            <w:noProof/>
            <w:sz w:val="20"/>
            <w:szCs w:val="20"/>
          </w:rPr>
          <w:fldChar w:fldCharType="separate"/>
        </w:r>
        <w:r>
          <w:rPr>
            <w:rFonts w:ascii="Arial" w:hAnsi="Arial" w:cs="Arial"/>
            <w:noProof/>
            <w:sz w:val="20"/>
            <w:szCs w:val="20"/>
          </w:rPr>
          <w:t>33</w:t>
        </w:r>
        <w:r w:rsidR="00360B4E" w:rsidRPr="00F97360">
          <w:rPr>
            <w:rFonts w:ascii="Arial" w:hAnsi="Arial" w:cs="Arial"/>
            <w:noProof/>
            <w:sz w:val="20"/>
            <w:szCs w:val="20"/>
          </w:rPr>
          <w:fldChar w:fldCharType="end"/>
        </w:r>
      </w:hyperlink>
    </w:p>
    <w:p w14:paraId="08BA4846" w14:textId="39211945" w:rsidR="00360B4E" w:rsidRPr="00F97360" w:rsidRDefault="00324F6C">
      <w:pPr>
        <w:pStyle w:val="TOC1"/>
        <w:rPr>
          <w:rFonts w:ascii="Arial" w:eastAsiaTheme="minorEastAsia" w:hAnsi="Arial" w:cs="Arial"/>
          <w:noProof/>
          <w:kern w:val="2"/>
          <w:sz w:val="20"/>
          <w:szCs w:val="20"/>
          <w14:ligatures w14:val="standardContextual"/>
        </w:rPr>
      </w:pPr>
      <w:hyperlink w:anchor="_Toc161658084" w:history="1">
        <w:r w:rsidR="00360B4E" w:rsidRPr="00F97360">
          <w:rPr>
            <w:rStyle w:val="Hyperlink"/>
            <w:noProof/>
            <w:sz w:val="20"/>
            <w:szCs w:val="20"/>
          </w:rPr>
          <w:t>31.</w:t>
        </w:r>
        <w:r w:rsidR="00360B4E" w:rsidRPr="00F97360">
          <w:rPr>
            <w:rFonts w:ascii="Arial" w:eastAsiaTheme="minorEastAsia" w:hAnsi="Arial" w:cs="Arial"/>
            <w:noProof/>
            <w:kern w:val="2"/>
            <w:sz w:val="20"/>
            <w:szCs w:val="20"/>
            <w14:ligatures w14:val="standardContextual"/>
          </w:rPr>
          <w:tab/>
        </w:r>
        <w:r w:rsidR="00360B4E" w:rsidRPr="00F97360">
          <w:rPr>
            <w:rStyle w:val="Hyperlink"/>
            <w:noProof/>
            <w:sz w:val="20"/>
            <w:szCs w:val="20"/>
          </w:rPr>
          <w:t>Governing law</w:t>
        </w:r>
        <w:r w:rsidR="00360B4E" w:rsidRPr="00F97360">
          <w:rPr>
            <w:rFonts w:ascii="Arial" w:hAnsi="Arial" w:cs="Arial"/>
            <w:noProof/>
            <w:sz w:val="20"/>
            <w:szCs w:val="20"/>
          </w:rPr>
          <w:tab/>
        </w:r>
        <w:r w:rsidR="00360B4E" w:rsidRPr="00F97360">
          <w:rPr>
            <w:rFonts w:ascii="Arial" w:hAnsi="Arial" w:cs="Arial"/>
            <w:noProof/>
            <w:sz w:val="20"/>
            <w:szCs w:val="20"/>
          </w:rPr>
          <w:fldChar w:fldCharType="begin"/>
        </w:r>
        <w:r w:rsidR="00360B4E" w:rsidRPr="00F97360">
          <w:rPr>
            <w:rFonts w:ascii="Arial" w:hAnsi="Arial" w:cs="Arial"/>
            <w:noProof/>
            <w:sz w:val="20"/>
            <w:szCs w:val="20"/>
          </w:rPr>
          <w:instrText xml:space="preserve"> PAGEREF _Toc161658084 \h </w:instrText>
        </w:r>
        <w:r w:rsidR="00360B4E" w:rsidRPr="00F97360">
          <w:rPr>
            <w:rFonts w:ascii="Arial" w:hAnsi="Arial" w:cs="Arial"/>
            <w:noProof/>
            <w:sz w:val="20"/>
            <w:szCs w:val="20"/>
          </w:rPr>
        </w:r>
        <w:r w:rsidR="00360B4E" w:rsidRPr="00F97360">
          <w:rPr>
            <w:rFonts w:ascii="Arial" w:hAnsi="Arial" w:cs="Arial"/>
            <w:noProof/>
            <w:sz w:val="20"/>
            <w:szCs w:val="20"/>
          </w:rPr>
          <w:fldChar w:fldCharType="separate"/>
        </w:r>
        <w:r>
          <w:rPr>
            <w:rFonts w:ascii="Arial" w:hAnsi="Arial" w:cs="Arial"/>
            <w:noProof/>
            <w:sz w:val="20"/>
            <w:szCs w:val="20"/>
          </w:rPr>
          <w:t>33</w:t>
        </w:r>
        <w:r w:rsidR="00360B4E" w:rsidRPr="00F97360">
          <w:rPr>
            <w:rFonts w:ascii="Arial" w:hAnsi="Arial" w:cs="Arial"/>
            <w:noProof/>
            <w:sz w:val="20"/>
            <w:szCs w:val="20"/>
          </w:rPr>
          <w:fldChar w:fldCharType="end"/>
        </w:r>
      </w:hyperlink>
    </w:p>
    <w:p w14:paraId="6D736BB6" w14:textId="63CC83B4" w:rsidR="00360B4E" w:rsidRPr="00F97360" w:rsidRDefault="00324F6C">
      <w:pPr>
        <w:pStyle w:val="TOC1"/>
        <w:rPr>
          <w:rFonts w:ascii="Arial" w:eastAsiaTheme="minorEastAsia" w:hAnsi="Arial" w:cs="Arial"/>
          <w:noProof/>
          <w:kern w:val="2"/>
          <w:sz w:val="20"/>
          <w:szCs w:val="20"/>
          <w14:ligatures w14:val="standardContextual"/>
        </w:rPr>
      </w:pPr>
      <w:hyperlink w:anchor="_Toc161658085" w:history="1">
        <w:r w:rsidR="00360B4E" w:rsidRPr="00F97360">
          <w:rPr>
            <w:rStyle w:val="Hyperlink"/>
            <w:noProof/>
            <w:sz w:val="20"/>
            <w:szCs w:val="20"/>
          </w:rPr>
          <w:t>32.</w:t>
        </w:r>
        <w:r w:rsidR="00360B4E" w:rsidRPr="00F97360">
          <w:rPr>
            <w:rFonts w:ascii="Arial" w:eastAsiaTheme="minorEastAsia" w:hAnsi="Arial" w:cs="Arial"/>
            <w:noProof/>
            <w:kern w:val="2"/>
            <w:sz w:val="20"/>
            <w:szCs w:val="20"/>
            <w14:ligatures w14:val="standardContextual"/>
          </w:rPr>
          <w:tab/>
        </w:r>
        <w:r w:rsidR="00360B4E" w:rsidRPr="00F97360">
          <w:rPr>
            <w:rStyle w:val="Hyperlink"/>
            <w:noProof/>
            <w:sz w:val="20"/>
            <w:szCs w:val="20"/>
          </w:rPr>
          <w:t>Jurisdiction</w:t>
        </w:r>
        <w:r w:rsidR="00360B4E" w:rsidRPr="00F97360">
          <w:rPr>
            <w:rFonts w:ascii="Arial" w:hAnsi="Arial" w:cs="Arial"/>
            <w:noProof/>
            <w:sz w:val="20"/>
            <w:szCs w:val="20"/>
          </w:rPr>
          <w:tab/>
        </w:r>
        <w:r w:rsidR="00360B4E" w:rsidRPr="00F97360">
          <w:rPr>
            <w:rFonts w:ascii="Arial" w:hAnsi="Arial" w:cs="Arial"/>
            <w:noProof/>
            <w:sz w:val="20"/>
            <w:szCs w:val="20"/>
          </w:rPr>
          <w:fldChar w:fldCharType="begin"/>
        </w:r>
        <w:r w:rsidR="00360B4E" w:rsidRPr="00F97360">
          <w:rPr>
            <w:rFonts w:ascii="Arial" w:hAnsi="Arial" w:cs="Arial"/>
            <w:noProof/>
            <w:sz w:val="20"/>
            <w:szCs w:val="20"/>
          </w:rPr>
          <w:instrText xml:space="preserve"> PAGEREF _Toc161658085 \h </w:instrText>
        </w:r>
        <w:r w:rsidR="00360B4E" w:rsidRPr="00F97360">
          <w:rPr>
            <w:rFonts w:ascii="Arial" w:hAnsi="Arial" w:cs="Arial"/>
            <w:noProof/>
            <w:sz w:val="20"/>
            <w:szCs w:val="20"/>
          </w:rPr>
        </w:r>
        <w:r w:rsidR="00360B4E" w:rsidRPr="00F97360">
          <w:rPr>
            <w:rFonts w:ascii="Arial" w:hAnsi="Arial" w:cs="Arial"/>
            <w:noProof/>
            <w:sz w:val="20"/>
            <w:szCs w:val="20"/>
          </w:rPr>
          <w:fldChar w:fldCharType="separate"/>
        </w:r>
        <w:r>
          <w:rPr>
            <w:rFonts w:ascii="Arial" w:hAnsi="Arial" w:cs="Arial"/>
            <w:noProof/>
            <w:sz w:val="20"/>
            <w:szCs w:val="20"/>
          </w:rPr>
          <w:t>33</w:t>
        </w:r>
        <w:r w:rsidR="00360B4E" w:rsidRPr="00F97360">
          <w:rPr>
            <w:rFonts w:ascii="Arial" w:hAnsi="Arial" w:cs="Arial"/>
            <w:noProof/>
            <w:sz w:val="20"/>
            <w:szCs w:val="20"/>
          </w:rPr>
          <w:fldChar w:fldCharType="end"/>
        </w:r>
      </w:hyperlink>
    </w:p>
    <w:p w14:paraId="56712D87" w14:textId="7FF80D7D" w:rsidR="007B4FB5" w:rsidRPr="00F97360" w:rsidRDefault="00D8597D" w:rsidP="00511680">
      <w:pPr>
        <w:pStyle w:val="HeadingLevel2"/>
        <w:rPr>
          <w:rFonts w:ascii="Arial" w:hAnsi="Arial" w:cs="Arial"/>
          <w:sz w:val="20"/>
        </w:rPr>
        <w:sectPr w:rsidR="007B4FB5" w:rsidRPr="00F97360" w:rsidSect="001C54AA">
          <w:footerReference w:type="default" r:id="rId22"/>
          <w:pgSz w:w="12240" w:h="15840"/>
          <w:pgMar w:top="1440" w:right="1440" w:bottom="1440" w:left="1440" w:header="720" w:footer="720" w:gutter="0"/>
          <w:pgNumType w:start="1"/>
          <w:cols w:space="720"/>
        </w:sectPr>
      </w:pPr>
      <w:r w:rsidRPr="00F97360">
        <w:rPr>
          <w:rFonts w:ascii="Arial" w:hAnsi="Arial" w:cs="Arial"/>
          <w:b w:val="0"/>
          <w:sz w:val="20"/>
        </w:rPr>
        <w:fldChar w:fldCharType="end"/>
      </w:r>
    </w:p>
    <w:p w14:paraId="56712D88" w14:textId="77777777" w:rsidR="007B4FB5" w:rsidRPr="00F97360" w:rsidRDefault="00D8597D" w:rsidP="007B4FB5">
      <w:pPr>
        <w:pStyle w:val="TitleClause"/>
        <w:rPr>
          <w:rFonts w:ascii="Arial" w:hAnsi="Arial" w:cs="Arial"/>
          <w:sz w:val="20"/>
        </w:rPr>
      </w:pPr>
      <w:r w:rsidRPr="00F97360">
        <w:rPr>
          <w:rFonts w:ascii="Arial" w:hAnsi="Arial" w:cs="Arial"/>
          <w:sz w:val="20"/>
        </w:rPr>
        <w:lastRenderedPageBreak/>
        <w:fldChar w:fldCharType="begin"/>
      </w:r>
      <w:r w:rsidRPr="00F97360">
        <w:rPr>
          <w:rFonts w:ascii="Arial" w:hAnsi="Arial" w:cs="Arial"/>
          <w:sz w:val="20"/>
        </w:rPr>
        <w:instrText>TC "1. Interpretation" \l 1</w:instrText>
      </w:r>
      <w:r w:rsidRPr="00F97360">
        <w:rPr>
          <w:rFonts w:ascii="Arial" w:hAnsi="Arial" w:cs="Arial"/>
          <w:sz w:val="20"/>
        </w:rPr>
        <w:fldChar w:fldCharType="end"/>
      </w:r>
      <w:bookmarkStart w:id="0" w:name="a474021"/>
      <w:bookmarkStart w:id="1" w:name="_Toc105671014"/>
      <w:bookmarkStart w:id="2" w:name="_Toc103273387"/>
      <w:bookmarkStart w:id="3" w:name="_Toc145339769"/>
      <w:bookmarkStart w:id="4" w:name="_Toc131682119"/>
      <w:bookmarkStart w:id="5" w:name="_Toc161658054"/>
      <w:r w:rsidRPr="00F97360">
        <w:rPr>
          <w:rFonts w:ascii="Arial" w:hAnsi="Arial" w:cs="Arial"/>
          <w:sz w:val="20"/>
        </w:rPr>
        <w:t>Interpretation</w:t>
      </w:r>
      <w:bookmarkEnd w:id="0"/>
      <w:bookmarkEnd w:id="1"/>
      <w:bookmarkEnd w:id="2"/>
      <w:bookmarkEnd w:id="3"/>
      <w:bookmarkEnd w:id="4"/>
      <w:bookmarkEnd w:id="5"/>
    </w:p>
    <w:p w14:paraId="56712D89" w14:textId="77777777" w:rsidR="007B4FB5" w:rsidRPr="00F97360" w:rsidRDefault="00D8597D" w:rsidP="00C451BB">
      <w:pPr>
        <w:pStyle w:val="Untitledsubclause1"/>
        <w:rPr>
          <w:rFonts w:ascii="Arial" w:hAnsi="Arial" w:cs="Arial"/>
          <w:sz w:val="20"/>
        </w:rPr>
      </w:pPr>
      <w:r w:rsidRPr="00F97360">
        <w:rPr>
          <w:rFonts w:ascii="Arial" w:hAnsi="Arial" w:cs="Arial"/>
          <w:sz w:val="20"/>
        </w:rPr>
        <w:t>In this Plan, unless otherwise stated, the words and expressions below have the following meanings.</w:t>
      </w:r>
    </w:p>
    <w:p w14:paraId="52834391" w14:textId="28F86A14" w:rsidR="00B774B4" w:rsidRPr="00F97360" w:rsidRDefault="00B774B4" w:rsidP="00912FE6">
      <w:pPr>
        <w:pStyle w:val="DefinedTermPara"/>
        <w:rPr>
          <w:rStyle w:val="DefTerm"/>
          <w:color w:val="auto"/>
          <w:sz w:val="20"/>
        </w:rPr>
      </w:pPr>
      <w:bookmarkStart w:id="6" w:name="a154425"/>
      <w:bookmarkStart w:id="7" w:name="a242108"/>
      <w:bookmarkStart w:id="8" w:name="a337576"/>
      <w:r w:rsidRPr="00F97360">
        <w:rPr>
          <w:rStyle w:val="DefTerm"/>
          <w:color w:val="auto"/>
          <w:sz w:val="20"/>
        </w:rPr>
        <w:t>Acceptance Notice</w:t>
      </w:r>
      <w:r w:rsidRPr="00F97360">
        <w:rPr>
          <w:rFonts w:ascii="Arial" w:hAnsi="Arial" w:cs="Arial"/>
          <w:sz w:val="20"/>
        </w:rPr>
        <w:t xml:space="preserve">: a document, in the form prescribed by the Remuneration Committee from time to time, in which the Award Holder </w:t>
      </w:r>
      <w:r w:rsidR="00882ED9" w:rsidRPr="00F97360">
        <w:rPr>
          <w:rFonts w:ascii="Arial" w:hAnsi="Arial" w:cs="Arial"/>
          <w:sz w:val="20"/>
        </w:rPr>
        <w:t xml:space="preserve">confirms that they accept </w:t>
      </w:r>
      <w:r w:rsidRPr="00F97360">
        <w:rPr>
          <w:rFonts w:ascii="Arial" w:hAnsi="Arial" w:cs="Arial"/>
          <w:sz w:val="20"/>
        </w:rPr>
        <w:t xml:space="preserve">these </w:t>
      </w:r>
      <w:r w:rsidR="00541FBC" w:rsidRPr="00F97360">
        <w:rPr>
          <w:rFonts w:ascii="Arial" w:hAnsi="Arial" w:cs="Arial"/>
          <w:sz w:val="20"/>
        </w:rPr>
        <w:t>r</w:t>
      </w:r>
      <w:r w:rsidRPr="00F97360">
        <w:rPr>
          <w:rFonts w:ascii="Arial" w:hAnsi="Arial" w:cs="Arial"/>
          <w:sz w:val="20"/>
        </w:rPr>
        <w:t>ules and the terms of their Award.</w:t>
      </w:r>
      <w:bookmarkEnd w:id="6"/>
    </w:p>
    <w:p w14:paraId="28226D1B" w14:textId="3E7CBD9F" w:rsidR="00912FE6" w:rsidRPr="00F97360" w:rsidRDefault="00912FE6" w:rsidP="00912FE6">
      <w:pPr>
        <w:pStyle w:val="DefinedTermPara"/>
        <w:rPr>
          <w:rStyle w:val="DefTerm"/>
          <w:color w:val="auto"/>
          <w:sz w:val="20"/>
        </w:rPr>
      </w:pPr>
      <w:r w:rsidRPr="00F97360">
        <w:rPr>
          <w:rStyle w:val="DefTerm"/>
          <w:color w:val="auto"/>
          <w:sz w:val="20"/>
        </w:rPr>
        <w:t>Acquiror</w:t>
      </w:r>
      <w:r w:rsidRPr="00F97360">
        <w:rPr>
          <w:rFonts w:ascii="Arial" w:hAnsi="Arial" w:cs="Arial"/>
          <w:sz w:val="20"/>
        </w:rPr>
        <w:t>: a person who obtains Control of the Company either alone or together with persons Acting in Concert (as defined in the City Code on Takeovers and Mergers published by the Panel on Takeovers and Mergers) with them or it.</w:t>
      </w:r>
      <w:bookmarkEnd w:id="7"/>
    </w:p>
    <w:p w14:paraId="56712D8F" w14:textId="0DFF4F88" w:rsidR="007B4FB5" w:rsidRPr="00F97360" w:rsidRDefault="00D8597D" w:rsidP="007B4FB5">
      <w:pPr>
        <w:pStyle w:val="DefinedTermPara"/>
        <w:rPr>
          <w:rStyle w:val="DefTerm"/>
          <w:color w:val="auto"/>
          <w:sz w:val="20"/>
        </w:rPr>
      </w:pPr>
      <w:bookmarkStart w:id="9" w:name="a918149"/>
      <w:bookmarkEnd w:id="8"/>
      <w:r w:rsidRPr="00F97360">
        <w:rPr>
          <w:rStyle w:val="DefTerm"/>
          <w:color w:val="auto"/>
          <w:sz w:val="20"/>
        </w:rPr>
        <w:t>Adoption Date</w:t>
      </w:r>
      <w:r w:rsidRPr="00F97360">
        <w:rPr>
          <w:rFonts w:ascii="Arial" w:hAnsi="Arial" w:cs="Arial"/>
          <w:sz w:val="20"/>
        </w:rPr>
        <w:t>: the date of the approval of the Plan</w:t>
      </w:r>
      <w:r w:rsidR="00DC0165" w:rsidRPr="00F97360">
        <w:rPr>
          <w:rFonts w:ascii="Arial" w:hAnsi="Arial" w:cs="Arial"/>
          <w:sz w:val="20"/>
        </w:rPr>
        <w:t xml:space="preserve"> </w:t>
      </w:r>
      <w:r w:rsidRPr="00F97360">
        <w:rPr>
          <w:rFonts w:ascii="Arial" w:hAnsi="Arial" w:cs="Arial"/>
          <w:sz w:val="20"/>
        </w:rPr>
        <w:t>by the Company's shareholders.</w:t>
      </w:r>
      <w:bookmarkEnd w:id="9"/>
    </w:p>
    <w:p w14:paraId="5568D1D0" w14:textId="672E0BA3" w:rsidR="007B4FB5" w:rsidRPr="00F97360" w:rsidRDefault="007B4FB5" w:rsidP="007B4FB5">
      <w:pPr>
        <w:pStyle w:val="DefinedTermPara"/>
        <w:rPr>
          <w:rStyle w:val="DefTerm"/>
          <w:color w:val="auto"/>
          <w:sz w:val="20"/>
        </w:rPr>
      </w:pPr>
      <w:bookmarkStart w:id="10" w:name="a280550"/>
      <w:r w:rsidRPr="00F97360">
        <w:rPr>
          <w:rStyle w:val="DefTerm"/>
          <w:color w:val="auto"/>
          <w:sz w:val="20"/>
        </w:rPr>
        <w:t>Award</w:t>
      </w:r>
      <w:r w:rsidRPr="00F97360">
        <w:rPr>
          <w:rFonts w:ascii="Arial" w:hAnsi="Arial" w:cs="Arial"/>
          <w:sz w:val="20"/>
        </w:rPr>
        <w:t>: any of the following:</w:t>
      </w:r>
      <w:bookmarkEnd w:id="10"/>
    </w:p>
    <w:p w14:paraId="634BCCC5" w14:textId="77777777" w:rsidR="007B4FB5" w:rsidRPr="00F97360" w:rsidRDefault="007B4FB5" w:rsidP="007B4FB5">
      <w:pPr>
        <w:pStyle w:val="DefinedTermNumber"/>
        <w:rPr>
          <w:rFonts w:ascii="Arial" w:hAnsi="Arial" w:cs="Arial"/>
          <w:sz w:val="20"/>
        </w:rPr>
      </w:pPr>
      <w:r w:rsidRPr="00F97360">
        <w:rPr>
          <w:rFonts w:ascii="Arial" w:hAnsi="Arial" w:cs="Arial"/>
          <w:sz w:val="20"/>
        </w:rPr>
        <w:t xml:space="preserve">a Conditional Share </w:t>
      </w:r>
      <w:proofErr w:type="gramStart"/>
      <w:r w:rsidRPr="00F97360">
        <w:rPr>
          <w:rFonts w:ascii="Arial" w:hAnsi="Arial" w:cs="Arial"/>
          <w:sz w:val="20"/>
        </w:rPr>
        <w:t>Award;</w:t>
      </w:r>
      <w:proofErr w:type="gramEnd"/>
    </w:p>
    <w:p w14:paraId="2F21CFC7" w14:textId="77777777" w:rsidR="00B8145D" w:rsidRPr="00F97360" w:rsidRDefault="00D8597D" w:rsidP="007B4FB5">
      <w:pPr>
        <w:pStyle w:val="DefinedTermNumber"/>
        <w:rPr>
          <w:rFonts w:ascii="Arial" w:hAnsi="Arial" w:cs="Arial"/>
          <w:sz w:val="20"/>
        </w:rPr>
      </w:pPr>
      <w:r w:rsidRPr="00F97360">
        <w:rPr>
          <w:rFonts w:ascii="Arial" w:hAnsi="Arial" w:cs="Arial"/>
          <w:sz w:val="20"/>
        </w:rPr>
        <w:t xml:space="preserve">a Nil Cost </w:t>
      </w:r>
      <w:proofErr w:type="gramStart"/>
      <w:r w:rsidRPr="00F97360">
        <w:rPr>
          <w:rFonts w:ascii="Arial" w:hAnsi="Arial" w:cs="Arial"/>
          <w:sz w:val="20"/>
        </w:rPr>
        <w:t>Option</w:t>
      </w:r>
      <w:r w:rsidR="00B8145D" w:rsidRPr="00F97360">
        <w:rPr>
          <w:rFonts w:ascii="Arial" w:hAnsi="Arial" w:cs="Arial"/>
          <w:sz w:val="20"/>
        </w:rPr>
        <w:t>;</w:t>
      </w:r>
      <w:proofErr w:type="gramEnd"/>
    </w:p>
    <w:p w14:paraId="3AECCA73" w14:textId="3C6A4B07" w:rsidR="007B4FB5" w:rsidRPr="00F97360" w:rsidRDefault="007B4FB5" w:rsidP="007B4FB5">
      <w:pPr>
        <w:pStyle w:val="DefinedTermNumber"/>
        <w:rPr>
          <w:rFonts w:ascii="Arial" w:hAnsi="Arial" w:cs="Arial"/>
          <w:sz w:val="20"/>
        </w:rPr>
      </w:pPr>
      <w:r w:rsidRPr="00F97360">
        <w:rPr>
          <w:rFonts w:ascii="Arial" w:hAnsi="Arial" w:cs="Arial"/>
          <w:sz w:val="20"/>
        </w:rPr>
        <w:t>a Phantom Share Award</w:t>
      </w:r>
      <w:r w:rsidR="00B8145D" w:rsidRPr="00F97360">
        <w:rPr>
          <w:rFonts w:ascii="Arial" w:hAnsi="Arial" w:cs="Arial"/>
          <w:sz w:val="20"/>
        </w:rPr>
        <w:t>,</w:t>
      </w:r>
      <w:r w:rsidRPr="00F97360">
        <w:rPr>
          <w:rFonts w:ascii="Arial" w:hAnsi="Arial" w:cs="Arial"/>
          <w:sz w:val="20"/>
        </w:rPr>
        <w:t xml:space="preserve"> or</w:t>
      </w:r>
    </w:p>
    <w:p w14:paraId="5973FC90" w14:textId="74AF1435" w:rsidR="00B8145D" w:rsidRPr="00F97360" w:rsidRDefault="00B8145D" w:rsidP="007B4FB5">
      <w:pPr>
        <w:pStyle w:val="DefinedTermNumber"/>
        <w:rPr>
          <w:rFonts w:ascii="Arial" w:hAnsi="Arial" w:cs="Arial"/>
          <w:sz w:val="20"/>
        </w:rPr>
      </w:pPr>
      <w:r w:rsidRPr="00F97360">
        <w:rPr>
          <w:rFonts w:ascii="Arial" w:hAnsi="Arial" w:cs="Arial"/>
          <w:sz w:val="20"/>
        </w:rPr>
        <w:t>a Phantom Option.</w:t>
      </w:r>
    </w:p>
    <w:p w14:paraId="56712D90" w14:textId="6DB7CB9B" w:rsidR="007B4FB5" w:rsidRPr="00F97360" w:rsidRDefault="00D8597D" w:rsidP="007B4FB5">
      <w:pPr>
        <w:pStyle w:val="DefinedTermPara"/>
        <w:rPr>
          <w:rStyle w:val="DefTerm"/>
          <w:color w:val="auto"/>
          <w:sz w:val="20"/>
        </w:rPr>
      </w:pPr>
      <w:bookmarkStart w:id="11" w:name="a969369"/>
      <w:r w:rsidRPr="00F97360">
        <w:rPr>
          <w:rStyle w:val="DefTerm"/>
          <w:color w:val="auto"/>
          <w:sz w:val="20"/>
        </w:rPr>
        <w:t>Award Certificate</w:t>
      </w:r>
      <w:r w:rsidRPr="00F97360">
        <w:rPr>
          <w:rFonts w:ascii="Arial" w:hAnsi="Arial" w:cs="Arial"/>
          <w:sz w:val="20"/>
        </w:rPr>
        <w:t xml:space="preserve">: a certificate setting out the terms of </w:t>
      </w:r>
      <w:r w:rsidR="00D93C59" w:rsidRPr="00F97360">
        <w:rPr>
          <w:rFonts w:ascii="Arial" w:hAnsi="Arial" w:cs="Arial"/>
          <w:sz w:val="20"/>
        </w:rPr>
        <w:t>an Award</w:t>
      </w:r>
      <w:r w:rsidRPr="00F97360">
        <w:rPr>
          <w:rFonts w:ascii="Arial" w:hAnsi="Arial" w:cs="Arial"/>
          <w:sz w:val="20"/>
        </w:rPr>
        <w:t xml:space="preserve">, in accordance with </w:t>
      </w:r>
      <w:r w:rsidRPr="00F97360">
        <w:rPr>
          <w:rFonts w:ascii="Arial" w:hAnsi="Arial" w:cs="Arial"/>
          <w:sz w:val="20"/>
        </w:rPr>
        <w:fldChar w:fldCharType="begin"/>
      </w:r>
      <w:r w:rsidRPr="00F97360">
        <w:rPr>
          <w:rFonts w:ascii="Arial" w:hAnsi="Arial" w:cs="Arial"/>
          <w:sz w:val="20"/>
        </w:rPr>
        <w:instrText>PAGEREF a959101\# "'rule '"  \h</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 xml:space="preserve">rule </w:t>
      </w:r>
      <w:r w:rsidRPr="00F97360">
        <w:rPr>
          <w:rFonts w:ascii="Arial" w:hAnsi="Arial" w:cs="Arial"/>
          <w:sz w:val="20"/>
        </w:rPr>
        <w:fldChar w:fldCharType="end"/>
      </w:r>
      <w:r w:rsidRPr="00F97360">
        <w:rPr>
          <w:rFonts w:ascii="Arial" w:hAnsi="Arial" w:cs="Arial"/>
          <w:sz w:val="20"/>
        </w:rPr>
        <w:fldChar w:fldCharType="begin"/>
      </w:r>
      <w:r w:rsidRPr="00F97360">
        <w:rPr>
          <w:rFonts w:ascii="Arial" w:hAnsi="Arial" w:cs="Arial"/>
          <w:sz w:val="20"/>
          <w:highlight w:val="lightGray"/>
        </w:rPr>
        <w:instrText>REF a959101 \h \w</w:instrText>
      </w:r>
      <w:r w:rsidR="0037270F"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highlight w:val="lightGray"/>
        </w:rPr>
        <w:t>2.3</w:t>
      </w:r>
      <w:r w:rsidRPr="00F97360">
        <w:rPr>
          <w:rFonts w:ascii="Arial" w:hAnsi="Arial" w:cs="Arial"/>
          <w:sz w:val="20"/>
        </w:rPr>
        <w:fldChar w:fldCharType="end"/>
      </w:r>
      <w:r w:rsidR="00707AD5" w:rsidRPr="00F97360">
        <w:rPr>
          <w:rFonts w:ascii="Arial" w:hAnsi="Arial" w:cs="Arial"/>
          <w:sz w:val="20"/>
        </w:rPr>
        <w:t xml:space="preserve">, in the form </w:t>
      </w:r>
      <w:r w:rsidR="002633D5" w:rsidRPr="00F97360">
        <w:rPr>
          <w:rFonts w:ascii="Arial" w:hAnsi="Arial" w:cs="Arial"/>
          <w:sz w:val="20"/>
        </w:rPr>
        <w:t xml:space="preserve">prescribed by the </w:t>
      </w:r>
      <w:r w:rsidR="0049460F" w:rsidRPr="00F97360">
        <w:rPr>
          <w:rFonts w:ascii="Arial" w:hAnsi="Arial" w:cs="Arial"/>
          <w:sz w:val="20"/>
        </w:rPr>
        <w:t xml:space="preserve">Remuneration Committee </w:t>
      </w:r>
      <w:r w:rsidR="002633D5" w:rsidRPr="00F97360">
        <w:rPr>
          <w:rFonts w:ascii="Arial" w:hAnsi="Arial" w:cs="Arial"/>
          <w:sz w:val="20"/>
        </w:rPr>
        <w:t>from time to time</w:t>
      </w:r>
      <w:r w:rsidRPr="00F97360">
        <w:rPr>
          <w:rFonts w:ascii="Arial" w:hAnsi="Arial" w:cs="Arial"/>
          <w:sz w:val="20"/>
        </w:rPr>
        <w:t>.</w:t>
      </w:r>
      <w:bookmarkEnd w:id="11"/>
    </w:p>
    <w:p w14:paraId="56712D91" w14:textId="06EA4F60" w:rsidR="007B4FB5" w:rsidRPr="00F97360" w:rsidRDefault="00D8597D" w:rsidP="007B4FB5">
      <w:pPr>
        <w:pStyle w:val="DefinedTermPara"/>
        <w:rPr>
          <w:rStyle w:val="DefTerm"/>
          <w:color w:val="auto"/>
          <w:sz w:val="20"/>
        </w:rPr>
      </w:pPr>
      <w:bookmarkStart w:id="12" w:name="a910198"/>
      <w:r w:rsidRPr="00F97360">
        <w:rPr>
          <w:rStyle w:val="DefTerm"/>
          <w:color w:val="auto"/>
          <w:sz w:val="20"/>
        </w:rPr>
        <w:t>Award Holder</w:t>
      </w:r>
      <w:r w:rsidRPr="00F97360">
        <w:rPr>
          <w:rFonts w:ascii="Arial" w:hAnsi="Arial" w:cs="Arial"/>
          <w:sz w:val="20"/>
        </w:rPr>
        <w:t xml:space="preserve">: an individual who holds </w:t>
      </w:r>
      <w:r w:rsidR="00D93C59" w:rsidRPr="00F97360">
        <w:rPr>
          <w:rFonts w:ascii="Arial" w:hAnsi="Arial" w:cs="Arial"/>
          <w:sz w:val="20"/>
        </w:rPr>
        <w:t>an Award</w:t>
      </w:r>
      <w:r w:rsidRPr="00F97360">
        <w:rPr>
          <w:rFonts w:ascii="Arial" w:hAnsi="Arial" w:cs="Arial"/>
          <w:sz w:val="20"/>
        </w:rPr>
        <w:t xml:space="preserve"> or, where applicable, that individual's personal representatives</w:t>
      </w:r>
      <w:r w:rsidR="00485B5A" w:rsidRPr="00F97360">
        <w:rPr>
          <w:rFonts w:ascii="Arial" w:hAnsi="Arial" w:cs="Arial"/>
          <w:sz w:val="20"/>
        </w:rPr>
        <w:t xml:space="preserve">, </w:t>
      </w:r>
      <w:r w:rsidR="000D35F4" w:rsidRPr="00F97360">
        <w:rPr>
          <w:rFonts w:ascii="Arial" w:hAnsi="Arial" w:cs="Arial"/>
          <w:sz w:val="20"/>
        </w:rPr>
        <w:t xml:space="preserve">and for the purposes of rules </w:t>
      </w:r>
      <w:r w:rsidR="000D35F4" w:rsidRPr="00F97360">
        <w:rPr>
          <w:rFonts w:ascii="Arial" w:hAnsi="Arial" w:cs="Arial"/>
          <w:sz w:val="20"/>
        </w:rPr>
        <w:fldChar w:fldCharType="begin"/>
      </w:r>
      <w:r w:rsidR="000D35F4" w:rsidRPr="00F97360">
        <w:rPr>
          <w:rFonts w:ascii="Arial" w:hAnsi="Arial" w:cs="Arial"/>
          <w:sz w:val="20"/>
        </w:rPr>
        <w:instrText xml:space="preserve"> REF a714948 \r \h </w:instrText>
      </w:r>
      <w:r w:rsidR="0037270F" w:rsidRPr="00F97360">
        <w:rPr>
          <w:rFonts w:ascii="Arial" w:hAnsi="Arial" w:cs="Arial"/>
          <w:sz w:val="20"/>
        </w:rPr>
        <w:instrText xml:space="preserve"> \* MERGEFORMAT </w:instrText>
      </w:r>
      <w:r w:rsidR="000D35F4" w:rsidRPr="00F97360">
        <w:rPr>
          <w:rFonts w:ascii="Arial" w:hAnsi="Arial" w:cs="Arial"/>
          <w:sz w:val="20"/>
        </w:rPr>
      </w:r>
      <w:r w:rsidR="000D35F4" w:rsidRPr="00F97360">
        <w:rPr>
          <w:rFonts w:ascii="Arial" w:hAnsi="Arial" w:cs="Arial"/>
          <w:sz w:val="20"/>
        </w:rPr>
        <w:fldChar w:fldCharType="separate"/>
      </w:r>
      <w:r w:rsidR="00710210" w:rsidRPr="00F97360">
        <w:rPr>
          <w:rFonts w:ascii="Arial" w:hAnsi="Arial" w:cs="Arial"/>
          <w:sz w:val="20"/>
        </w:rPr>
        <w:t>11</w:t>
      </w:r>
      <w:r w:rsidR="000D35F4" w:rsidRPr="00F97360">
        <w:rPr>
          <w:rFonts w:ascii="Arial" w:hAnsi="Arial" w:cs="Arial"/>
          <w:sz w:val="20"/>
        </w:rPr>
        <w:fldChar w:fldCharType="end"/>
      </w:r>
      <w:r w:rsidR="00F041F2" w:rsidRPr="00F97360">
        <w:rPr>
          <w:rFonts w:ascii="Arial" w:hAnsi="Arial" w:cs="Arial"/>
          <w:sz w:val="20"/>
        </w:rPr>
        <w:t xml:space="preserve">, </w:t>
      </w:r>
      <w:r w:rsidR="000D35F4" w:rsidRPr="00F97360">
        <w:rPr>
          <w:rFonts w:ascii="Arial" w:hAnsi="Arial" w:cs="Arial"/>
          <w:sz w:val="20"/>
        </w:rPr>
        <w:fldChar w:fldCharType="begin"/>
      </w:r>
      <w:r w:rsidR="000D35F4" w:rsidRPr="00F97360">
        <w:rPr>
          <w:rFonts w:ascii="Arial" w:hAnsi="Arial" w:cs="Arial"/>
          <w:sz w:val="20"/>
        </w:rPr>
        <w:instrText xml:space="preserve"> REF a391918 \r \h </w:instrText>
      </w:r>
      <w:r w:rsidR="0037270F" w:rsidRPr="00F97360">
        <w:rPr>
          <w:rFonts w:ascii="Arial" w:hAnsi="Arial" w:cs="Arial"/>
          <w:sz w:val="20"/>
        </w:rPr>
        <w:instrText xml:space="preserve"> \* MERGEFORMAT </w:instrText>
      </w:r>
      <w:r w:rsidR="000D35F4" w:rsidRPr="00F97360">
        <w:rPr>
          <w:rFonts w:ascii="Arial" w:hAnsi="Arial" w:cs="Arial"/>
          <w:sz w:val="20"/>
        </w:rPr>
      </w:r>
      <w:r w:rsidR="000D35F4" w:rsidRPr="00F97360">
        <w:rPr>
          <w:rFonts w:ascii="Arial" w:hAnsi="Arial" w:cs="Arial"/>
          <w:sz w:val="20"/>
        </w:rPr>
        <w:fldChar w:fldCharType="separate"/>
      </w:r>
      <w:r w:rsidR="00710210" w:rsidRPr="00F97360">
        <w:rPr>
          <w:rFonts w:ascii="Arial" w:hAnsi="Arial" w:cs="Arial"/>
          <w:sz w:val="20"/>
        </w:rPr>
        <w:t>12</w:t>
      </w:r>
      <w:r w:rsidR="000D35F4" w:rsidRPr="00F97360">
        <w:rPr>
          <w:rFonts w:ascii="Arial" w:hAnsi="Arial" w:cs="Arial"/>
          <w:sz w:val="20"/>
        </w:rPr>
        <w:fldChar w:fldCharType="end"/>
      </w:r>
      <w:r w:rsidR="008F2265" w:rsidRPr="00F97360">
        <w:rPr>
          <w:rFonts w:ascii="Arial" w:hAnsi="Arial" w:cs="Arial"/>
          <w:sz w:val="20"/>
        </w:rPr>
        <w:t xml:space="preserve">, </w:t>
      </w:r>
      <w:r w:rsidR="008F2265" w:rsidRPr="00F97360">
        <w:rPr>
          <w:rFonts w:ascii="Arial" w:hAnsi="Arial" w:cs="Arial"/>
          <w:sz w:val="20"/>
        </w:rPr>
        <w:fldChar w:fldCharType="begin"/>
      </w:r>
      <w:r w:rsidR="008F2265" w:rsidRPr="00F97360">
        <w:rPr>
          <w:rFonts w:ascii="Arial" w:hAnsi="Arial" w:cs="Arial"/>
          <w:sz w:val="20"/>
        </w:rPr>
        <w:instrText xml:space="preserve"> REF a283933 \r \h </w:instrText>
      </w:r>
      <w:r w:rsidR="0037270F" w:rsidRPr="00F97360">
        <w:rPr>
          <w:rFonts w:ascii="Arial" w:hAnsi="Arial" w:cs="Arial"/>
          <w:sz w:val="20"/>
        </w:rPr>
        <w:instrText xml:space="preserve"> \* MERGEFORMAT </w:instrText>
      </w:r>
      <w:r w:rsidR="008F2265" w:rsidRPr="00F97360">
        <w:rPr>
          <w:rFonts w:ascii="Arial" w:hAnsi="Arial" w:cs="Arial"/>
          <w:sz w:val="20"/>
        </w:rPr>
      </w:r>
      <w:r w:rsidR="008F2265" w:rsidRPr="00F97360">
        <w:rPr>
          <w:rFonts w:ascii="Arial" w:hAnsi="Arial" w:cs="Arial"/>
          <w:sz w:val="20"/>
        </w:rPr>
        <w:fldChar w:fldCharType="separate"/>
      </w:r>
      <w:r w:rsidR="00710210" w:rsidRPr="00F97360">
        <w:rPr>
          <w:rFonts w:ascii="Arial" w:hAnsi="Arial" w:cs="Arial"/>
          <w:sz w:val="20"/>
        </w:rPr>
        <w:t>16</w:t>
      </w:r>
      <w:r w:rsidR="008F2265" w:rsidRPr="00F97360">
        <w:rPr>
          <w:rFonts w:ascii="Arial" w:hAnsi="Arial" w:cs="Arial"/>
          <w:sz w:val="20"/>
        </w:rPr>
        <w:fldChar w:fldCharType="end"/>
      </w:r>
      <w:r w:rsidR="00752D40" w:rsidRPr="00F97360">
        <w:rPr>
          <w:rFonts w:ascii="Arial" w:hAnsi="Arial" w:cs="Arial"/>
          <w:sz w:val="20"/>
        </w:rPr>
        <w:t xml:space="preserve">, </w:t>
      </w:r>
      <w:r w:rsidR="008F2265" w:rsidRPr="00F97360">
        <w:rPr>
          <w:rFonts w:ascii="Arial" w:hAnsi="Arial" w:cs="Arial"/>
          <w:sz w:val="20"/>
        </w:rPr>
        <w:fldChar w:fldCharType="begin"/>
      </w:r>
      <w:r w:rsidR="008F2265" w:rsidRPr="00F97360">
        <w:rPr>
          <w:rFonts w:ascii="Arial" w:hAnsi="Arial" w:cs="Arial"/>
          <w:sz w:val="20"/>
        </w:rPr>
        <w:instrText xml:space="preserve"> REF a353805 \r \h </w:instrText>
      </w:r>
      <w:r w:rsidR="0037270F" w:rsidRPr="00F97360">
        <w:rPr>
          <w:rFonts w:ascii="Arial" w:hAnsi="Arial" w:cs="Arial"/>
          <w:sz w:val="20"/>
        </w:rPr>
        <w:instrText xml:space="preserve"> \* MERGEFORMAT </w:instrText>
      </w:r>
      <w:r w:rsidR="008F2265" w:rsidRPr="00F97360">
        <w:rPr>
          <w:rFonts w:ascii="Arial" w:hAnsi="Arial" w:cs="Arial"/>
          <w:sz w:val="20"/>
        </w:rPr>
      </w:r>
      <w:r w:rsidR="008F2265" w:rsidRPr="00F97360">
        <w:rPr>
          <w:rFonts w:ascii="Arial" w:hAnsi="Arial" w:cs="Arial"/>
          <w:sz w:val="20"/>
        </w:rPr>
        <w:fldChar w:fldCharType="separate"/>
      </w:r>
      <w:r w:rsidR="00710210" w:rsidRPr="00F97360">
        <w:rPr>
          <w:rFonts w:ascii="Arial" w:hAnsi="Arial" w:cs="Arial"/>
          <w:sz w:val="20"/>
        </w:rPr>
        <w:t>23</w:t>
      </w:r>
      <w:r w:rsidR="008F2265" w:rsidRPr="00F97360">
        <w:rPr>
          <w:rFonts w:ascii="Arial" w:hAnsi="Arial" w:cs="Arial"/>
          <w:sz w:val="20"/>
        </w:rPr>
        <w:fldChar w:fldCharType="end"/>
      </w:r>
      <w:r w:rsidR="00752D40" w:rsidRPr="00F97360">
        <w:rPr>
          <w:rFonts w:ascii="Arial" w:hAnsi="Arial" w:cs="Arial"/>
          <w:sz w:val="20"/>
        </w:rPr>
        <w:t xml:space="preserve">, </w:t>
      </w:r>
      <w:r w:rsidR="00752D40" w:rsidRPr="00F97360">
        <w:rPr>
          <w:rFonts w:ascii="Arial" w:hAnsi="Arial" w:cs="Arial"/>
          <w:sz w:val="20"/>
        </w:rPr>
        <w:fldChar w:fldCharType="begin"/>
      </w:r>
      <w:r w:rsidR="00752D40" w:rsidRPr="00F97360">
        <w:rPr>
          <w:rFonts w:ascii="Arial" w:hAnsi="Arial" w:cs="Arial"/>
          <w:sz w:val="20"/>
        </w:rPr>
        <w:instrText xml:space="preserve"> REF a939899 \r \h </w:instrText>
      </w:r>
      <w:r w:rsidR="0037270F" w:rsidRPr="00F97360">
        <w:rPr>
          <w:rFonts w:ascii="Arial" w:hAnsi="Arial" w:cs="Arial"/>
          <w:sz w:val="20"/>
        </w:rPr>
        <w:instrText xml:space="preserve"> \* MERGEFORMAT </w:instrText>
      </w:r>
      <w:r w:rsidR="00752D40" w:rsidRPr="00F97360">
        <w:rPr>
          <w:rFonts w:ascii="Arial" w:hAnsi="Arial" w:cs="Arial"/>
          <w:sz w:val="20"/>
        </w:rPr>
      </w:r>
      <w:r w:rsidR="00752D40" w:rsidRPr="00F97360">
        <w:rPr>
          <w:rFonts w:ascii="Arial" w:hAnsi="Arial" w:cs="Arial"/>
          <w:sz w:val="20"/>
        </w:rPr>
        <w:fldChar w:fldCharType="separate"/>
      </w:r>
      <w:r w:rsidR="00710210" w:rsidRPr="00F97360">
        <w:rPr>
          <w:rFonts w:ascii="Arial" w:hAnsi="Arial" w:cs="Arial"/>
          <w:sz w:val="20"/>
        </w:rPr>
        <w:t>24</w:t>
      </w:r>
      <w:r w:rsidR="00752D40" w:rsidRPr="00F97360">
        <w:rPr>
          <w:rFonts w:ascii="Arial" w:hAnsi="Arial" w:cs="Arial"/>
          <w:sz w:val="20"/>
        </w:rPr>
        <w:fldChar w:fldCharType="end"/>
      </w:r>
      <w:r w:rsidR="00DC0165" w:rsidRPr="00F97360">
        <w:rPr>
          <w:rFonts w:ascii="Arial" w:hAnsi="Arial" w:cs="Arial"/>
          <w:sz w:val="20"/>
        </w:rPr>
        <w:t xml:space="preserve">, </w:t>
      </w:r>
      <w:r w:rsidR="00DC0165" w:rsidRPr="00F97360">
        <w:rPr>
          <w:rFonts w:ascii="Arial" w:hAnsi="Arial" w:cs="Arial"/>
          <w:sz w:val="20"/>
        </w:rPr>
        <w:fldChar w:fldCharType="begin"/>
      </w:r>
      <w:r w:rsidR="00DC0165" w:rsidRPr="00F97360">
        <w:rPr>
          <w:rFonts w:ascii="Arial" w:hAnsi="Arial" w:cs="Arial"/>
          <w:sz w:val="20"/>
        </w:rPr>
        <w:instrText xml:space="preserve"> REF _Ref83979035 \r \h </w:instrText>
      </w:r>
      <w:r w:rsidR="004C1A6B" w:rsidRPr="00F97360">
        <w:rPr>
          <w:rFonts w:ascii="Arial" w:hAnsi="Arial" w:cs="Arial"/>
          <w:sz w:val="20"/>
        </w:rPr>
        <w:instrText xml:space="preserve"> \* MERGEFORMAT </w:instrText>
      </w:r>
      <w:r w:rsidR="00DC0165" w:rsidRPr="00F97360">
        <w:rPr>
          <w:rFonts w:ascii="Arial" w:hAnsi="Arial" w:cs="Arial"/>
          <w:sz w:val="20"/>
        </w:rPr>
      </w:r>
      <w:r w:rsidR="00DC0165" w:rsidRPr="00F97360">
        <w:rPr>
          <w:rFonts w:ascii="Arial" w:hAnsi="Arial" w:cs="Arial"/>
          <w:sz w:val="20"/>
        </w:rPr>
        <w:fldChar w:fldCharType="separate"/>
      </w:r>
      <w:r w:rsidR="00710210" w:rsidRPr="00F97360">
        <w:rPr>
          <w:rFonts w:ascii="Arial" w:hAnsi="Arial" w:cs="Arial"/>
          <w:sz w:val="20"/>
        </w:rPr>
        <w:t>28</w:t>
      </w:r>
      <w:r w:rsidR="00DC0165" w:rsidRPr="00F97360">
        <w:rPr>
          <w:rFonts w:ascii="Arial" w:hAnsi="Arial" w:cs="Arial"/>
          <w:sz w:val="20"/>
        </w:rPr>
        <w:fldChar w:fldCharType="end"/>
      </w:r>
      <w:r w:rsidR="00752D40" w:rsidRPr="00F97360">
        <w:rPr>
          <w:rFonts w:ascii="Arial" w:hAnsi="Arial" w:cs="Arial"/>
          <w:sz w:val="20"/>
        </w:rPr>
        <w:t xml:space="preserve"> and </w:t>
      </w:r>
      <w:r w:rsidR="00752D40" w:rsidRPr="00F97360">
        <w:rPr>
          <w:rFonts w:ascii="Arial" w:hAnsi="Arial" w:cs="Arial"/>
          <w:sz w:val="20"/>
        </w:rPr>
        <w:fldChar w:fldCharType="begin"/>
      </w:r>
      <w:r w:rsidR="00752D40" w:rsidRPr="00F97360">
        <w:rPr>
          <w:rFonts w:ascii="Arial" w:hAnsi="Arial" w:cs="Arial"/>
          <w:sz w:val="20"/>
        </w:rPr>
        <w:instrText xml:space="preserve"> REF a363784 \r \h </w:instrText>
      </w:r>
      <w:r w:rsidR="0037270F" w:rsidRPr="00F97360">
        <w:rPr>
          <w:rFonts w:ascii="Arial" w:hAnsi="Arial" w:cs="Arial"/>
          <w:sz w:val="20"/>
        </w:rPr>
        <w:instrText xml:space="preserve"> \* MERGEFORMAT </w:instrText>
      </w:r>
      <w:r w:rsidR="00752D40" w:rsidRPr="00F97360">
        <w:rPr>
          <w:rFonts w:ascii="Arial" w:hAnsi="Arial" w:cs="Arial"/>
          <w:sz w:val="20"/>
        </w:rPr>
      </w:r>
      <w:r w:rsidR="00752D40" w:rsidRPr="00F97360">
        <w:rPr>
          <w:rFonts w:ascii="Arial" w:hAnsi="Arial" w:cs="Arial"/>
          <w:sz w:val="20"/>
        </w:rPr>
        <w:fldChar w:fldCharType="separate"/>
      </w:r>
      <w:r w:rsidR="00710210" w:rsidRPr="00F97360">
        <w:rPr>
          <w:rFonts w:ascii="Arial" w:hAnsi="Arial" w:cs="Arial"/>
          <w:sz w:val="20"/>
        </w:rPr>
        <w:t>29</w:t>
      </w:r>
      <w:r w:rsidR="00752D40" w:rsidRPr="00F97360">
        <w:rPr>
          <w:rFonts w:ascii="Arial" w:hAnsi="Arial" w:cs="Arial"/>
          <w:sz w:val="20"/>
        </w:rPr>
        <w:fldChar w:fldCharType="end"/>
      </w:r>
      <w:r w:rsidR="00752D40" w:rsidRPr="00F97360">
        <w:rPr>
          <w:rFonts w:ascii="Arial" w:hAnsi="Arial" w:cs="Arial"/>
          <w:sz w:val="20"/>
        </w:rPr>
        <w:t xml:space="preserve"> </w:t>
      </w:r>
      <w:r w:rsidR="000D35F4" w:rsidRPr="00F97360">
        <w:rPr>
          <w:rFonts w:ascii="Arial" w:hAnsi="Arial" w:cs="Arial"/>
          <w:sz w:val="20"/>
        </w:rPr>
        <w:t xml:space="preserve">shall include </w:t>
      </w:r>
      <w:r w:rsidR="00485B5A" w:rsidRPr="00F97360">
        <w:rPr>
          <w:rFonts w:ascii="Arial" w:hAnsi="Arial" w:cs="Arial"/>
          <w:sz w:val="20"/>
        </w:rPr>
        <w:t>a</w:t>
      </w:r>
      <w:r w:rsidR="00752D40" w:rsidRPr="00F97360">
        <w:rPr>
          <w:rFonts w:ascii="Arial" w:hAnsi="Arial" w:cs="Arial"/>
          <w:sz w:val="20"/>
        </w:rPr>
        <w:t xml:space="preserve"> former Award Holder</w:t>
      </w:r>
      <w:r w:rsidRPr="00F97360">
        <w:rPr>
          <w:rFonts w:ascii="Arial" w:hAnsi="Arial" w:cs="Arial"/>
          <w:sz w:val="20"/>
        </w:rPr>
        <w:t>.</w:t>
      </w:r>
      <w:bookmarkEnd w:id="12"/>
    </w:p>
    <w:p w14:paraId="56712D92" w14:textId="77777777" w:rsidR="00A920DC" w:rsidRPr="00F97360" w:rsidRDefault="00D8597D" w:rsidP="007B4FB5">
      <w:pPr>
        <w:pStyle w:val="DefinedTermPara"/>
        <w:rPr>
          <w:rStyle w:val="DefTerm"/>
          <w:color w:val="auto"/>
          <w:sz w:val="20"/>
        </w:rPr>
      </w:pPr>
      <w:bookmarkStart w:id="13" w:name="a714690"/>
      <w:r w:rsidRPr="00F97360">
        <w:rPr>
          <w:rStyle w:val="DefTerm"/>
          <w:color w:val="auto"/>
          <w:sz w:val="20"/>
        </w:rPr>
        <w:t xml:space="preserve">Bad Leaver: </w:t>
      </w:r>
      <w:r w:rsidR="00AA32FF" w:rsidRPr="00F97360">
        <w:rPr>
          <w:rStyle w:val="DefTerm"/>
          <w:b w:val="0"/>
          <w:bCs/>
          <w:color w:val="auto"/>
          <w:sz w:val="20"/>
        </w:rPr>
        <w:t>an Award Holder</w:t>
      </w:r>
      <w:r w:rsidRPr="00F97360">
        <w:rPr>
          <w:rStyle w:val="DefTerm"/>
          <w:b w:val="0"/>
          <w:bCs/>
          <w:color w:val="auto"/>
          <w:sz w:val="20"/>
        </w:rPr>
        <w:t xml:space="preserve"> who </w:t>
      </w:r>
      <w:r w:rsidRPr="00F97360">
        <w:rPr>
          <w:rFonts w:ascii="Arial" w:hAnsi="Arial" w:cs="Arial"/>
          <w:sz w:val="20"/>
        </w:rPr>
        <w:t>ceases to be an Employee and is not a Good Leaver.</w:t>
      </w:r>
    </w:p>
    <w:p w14:paraId="2B481C9D" w14:textId="71BD5A2C" w:rsidR="007B4FB5" w:rsidRPr="00F97360" w:rsidRDefault="007B4FB5" w:rsidP="007B4FB5">
      <w:pPr>
        <w:pStyle w:val="DefinedTermPara"/>
        <w:rPr>
          <w:rStyle w:val="DefTerm"/>
          <w:color w:val="auto"/>
          <w:sz w:val="20"/>
        </w:rPr>
      </w:pPr>
      <w:r w:rsidRPr="00F97360">
        <w:rPr>
          <w:rStyle w:val="DefTerm"/>
          <w:color w:val="auto"/>
          <w:sz w:val="20"/>
        </w:rPr>
        <w:t>Board</w:t>
      </w:r>
      <w:r w:rsidRPr="00F97360">
        <w:rPr>
          <w:rFonts w:ascii="Arial" w:hAnsi="Arial" w:cs="Arial"/>
          <w:sz w:val="20"/>
        </w:rPr>
        <w:t xml:space="preserve">: </w:t>
      </w:r>
      <w:r w:rsidR="00625B84" w:rsidRPr="00F97360">
        <w:rPr>
          <w:rFonts w:ascii="Arial" w:hAnsi="Arial" w:cs="Arial"/>
          <w:sz w:val="20"/>
        </w:rPr>
        <w:t>the board of directors of the Company.</w:t>
      </w:r>
    </w:p>
    <w:p w14:paraId="56712D93" w14:textId="77777777" w:rsidR="007B4FB5" w:rsidRPr="00F97360" w:rsidRDefault="00D8597D" w:rsidP="007B4FB5">
      <w:pPr>
        <w:pStyle w:val="DefinedTermPara"/>
        <w:rPr>
          <w:rStyle w:val="DefTerm"/>
          <w:color w:val="auto"/>
          <w:sz w:val="20"/>
        </w:rPr>
      </w:pPr>
      <w:bookmarkStart w:id="14" w:name="a676033"/>
      <w:bookmarkEnd w:id="13"/>
      <w:r w:rsidRPr="00F97360">
        <w:rPr>
          <w:rStyle w:val="DefTerm"/>
          <w:color w:val="auto"/>
          <w:sz w:val="20"/>
        </w:rPr>
        <w:t>Business Day</w:t>
      </w:r>
      <w:r w:rsidRPr="00F97360">
        <w:rPr>
          <w:rFonts w:ascii="Arial" w:hAnsi="Arial" w:cs="Arial"/>
          <w:sz w:val="20"/>
        </w:rPr>
        <w:t xml:space="preserve">: a day other than a Saturday, </w:t>
      </w:r>
      <w:proofErr w:type="gramStart"/>
      <w:r w:rsidRPr="00F97360">
        <w:rPr>
          <w:rFonts w:ascii="Arial" w:hAnsi="Arial" w:cs="Arial"/>
          <w:sz w:val="20"/>
        </w:rPr>
        <w:t>Sunday</w:t>
      </w:r>
      <w:proofErr w:type="gramEnd"/>
      <w:r w:rsidRPr="00F97360">
        <w:rPr>
          <w:rFonts w:ascii="Arial" w:hAnsi="Arial" w:cs="Arial"/>
          <w:sz w:val="20"/>
        </w:rPr>
        <w:t xml:space="preserve"> or public holiday in England when banks in London are open for business.</w:t>
      </w:r>
      <w:bookmarkEnd w:id="14"/>
    </w:p>
    <w:p w14:paraId="56712D94" w14:textId="0810144E" w:rsidR="007B4FB5" w:rsidRPr="00F97360" w:rsidRDefault="00B8145D" w:rsidP="007B4FB5">
      <w:pPr>
        <w:pStyle w:val="DefinedTermPara"/>
        <w:rPr>
          <w:rStyle w:val="DefTerm"/>
          <w:color w:val="auto"/>
          <w:sz w:val="20"/>
        </w:rPr>
      </w:pPr>
      <w:bookmarkStart w:id="15" w:name="a651148"/>
      <w:r w:rsidRPr="00F97360">
        <w:rPr>
          <w:rStyle w:val="DefTerm"/>
          <w:color w:val="auto"/>
          <w:sz w:val="20"/>
        </w:rPr>
        <w:t>Cash Award</w:t>
      </w:r>
      <w:r w:rsidR="00D8597D" w:rsidRPr="00F97360">
        <w:rPr>
          <w:rFonts w:ascii="Arial" w:hAnsi="Arial" w:cs="Arial"/>
          <w:sz w:val="20"/>
        </w:rPr>
        <w:t xml:space="preserve">: </w:t>
      </w:r>
      <w:r w:rsidR="007B4FB5" w:rsidRPr="00F97360">
        <w:rPr>
          <w:rFonts w:ascii="Arial" w:hAnsi="Arial" w:cs="Arial"/>
          <w:sz w:val="20"/>
        </w:rPr>
        <w:t>any of the following</w:t>
      </w:r>
      <w:r w:rsidR="00200A35" w:rsidRPr="00F97360">
        <w:rPr>
          <w:rFonts w:ascii="Arial" w:hAnsi="Arial" w:cs="Arial"/>
          <w:sz w:val="20"/>
        </w:rPr>
        <w:t xml:space="preserve"> </w:t>
      </w:r>
      <w:r w:rsidR="004D7968" w:rsidRPr="00F97360">
        <w:rPr>
          <w:rFonts w:ascii="Arial" w:hAnsi="Arial" w:cs="Arial"/>
          <w:sz w:val="20"/>
        </w:rPr>
        <w:t>(which confer no right on the Award Holder to receive Shares or any interest in Shares)</w:t>
      </w:r>
      <w:r w:rsidR="007B4FB5" w:rsidRPr="00F97360">
        <w:rPr>
          <w:rFonts w:ascii="Arial" w:hAnsi="Arial" w:cs="Arial"/>
          <w:sz w:val="20"/>
        </w:rPr>
        <w:t>:</w:t>
      </w:r>
      <w:bookmarkEnd w:id="15"/>
    </w:p>
    <w:p w14:paraId="4095041A" w14:textId="77777777" w:rsidR="007B4FB5" w:rsidRPr="00F97360" w:rsidRDefault="007B4FB5" w:rsidP="007B4FB5">
      <w:pPr>
        <w:pStyle w:val="DefinedTermNumber"/>
        <w:rPr>
          <w:rFonts w:ascii="Arial" w:hAnsi="Arial" w:cs="Arial"/>
          <w:sz w:val="20"/>
        </w:rPr>
      </w:pPr>
      <w:r w:rsidRPr="00F97360">
        <w:rPr>
          <w:rFonts w:ascii="Arial" w:hAnsi="Arial" w:cs="Arial"/>
          <w:sz w:val="20"/>
        </w:rPr>
        <w:t>a Phantom Option; or</w:t>
      </w:r>
    </w:p>
    <w:p w14:paraId="2FCB39F4" w14:textId="77777777" w:rsidR="007B4FB5" w:rsidRPr="00F97360" w:rsidRDefault="007B4FB5" w:rsidP="007B4FB5">
      <w:pPr>
        <w:pStyle w:val="DefinedTermNumber"/>
        <w:rPr>
          <w:rFonts w:ascii="Arial" w:hAnsi="Arial" w:cs="Arial"/>
          <w:sz w:val="20"/>
        </w:rPr>
      </w:pPr>
      <w:r w:rsidRPr="00F97360">
        <w:rPr>
          <w:rFonts w:ascii="Arial" w:hAnsi="Arial" w:cs="Arial"/>
          <w:sz w:val="20"/>
        </w:rPr>
        <w:t>a Phantom Share Award.</w:t>
      </w:r>
    </w:p>
    <w:p w14:paraId="56712D95" w14:textId="209D9FF3" w:rsidR="007B4FB5" w:rsidRPr="00F97360" w:rsidRDefault="00D8597D" w:rsidP="007B4FB5">
      <w:pPr>
        <w:pStyle w:val="DefinedTermPara"/>
        <w:rPr>
          <w:rStyle w:val="DefTerm"/>
          <w:color w:val="auto"/>
          <w:sz w:val="20"/>
        </w:rPr>
      </w:pPr>
      <w:bookmarkStart w:id="16" w:name="a418292"/>
      <w:r w:rsidRPr="00F97360">
        <w:rPr>
          <w:rStyle w:val="DefTerm"/>
          <w:color w:val="auto"/>
          <w:sz w:val="20"/>
        </w:rPr>
        <w:t>Clawback Amount</w:t>
      </w:r>
      <w:r w:rsidRPr="00F97360">
        <w:rPr>
          <w:rFonts w:ascii="Arial" w:hAnsi="Arial" w:cs="Arial"/>
          <w:sz w:val="20"/>
        </w:rPr>
        <w:t xml:space="preserve">: an amount of value determined in accordance with </w:t>
      </w:r>
      <w:r w:rsidRPr="00F97360">
        <w:rPr>
          <w:rFonts w:ascii="Arial" w:hAnsi="Arial" w:cs="Arial"/>
          <w:sz w:val="20"/>
        </w:rPr>
        <w:fldChar w:fldCharType="begin"/>
      </w:r>
      <w:r w:rsidRPr="00F97360">
        <w:rPr>
          <w:rFonts w:ascii="Arial" w:hAnsi="Arial" w:cs="Arial"/>
          <w:sz w:val="20"/>
        </w:rPr>
        <w:instrText>PAGEREF a391918\# "'rule '"  \h</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 xml:space="preserve">rule </w:t>
      </w:r>
      <w:r w:rsidRPr="00F97360">
        <w:rPr>
          <w:rFonts w:ascii="Arial" w:hAnsi="Arial" w:cs="Arial"/>
          <w:sz w:val="20"/>
        </w:rPr>
        <w:fldChar w:fldCharType="end"/>
      </w:r>
      <w:r w:rsidRPr="00F97360">
        <w:rPr>
          <w:rFonts w:ascii="Arial" w:hAnsi="Arial" w:cs="Arial"/>
          <w:sz w:val="20"/>
        </w:rPr>
        <w:fldChar w:fldCharType="begin"/>
      </w:r>
      <w:r w:rsidRPr="00F97360">
        <w:rPr>
          <w:rFonts w:ascii="Arial" w:hAnsi="Arial" w:cs="Arial"/>
          <w:sz w:val="20"/>
          <w:highlight w:val="lightGray"/>
        </w:rPr>
        <w:instrText>REF a391918 \h \w</w:instrText>
      </w:r>
      <w:r w:rsidR="0037270F"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highlight w:val="lightGray"/>
        </w:rPr>
        <w:t>12</w:t>
      </w:r>
      <w:r w:rsidRPr="00F97360">
        <w:rPr>
          <w:rFonts w:ascii="Arial" w:hAnsi="Arial" w:cs="Arial"/>
          <w:sz w:val="20"/>
        </w:rPr>
        <w:fldChar w:fldCharType="end"/>
      </w:r>
      <w:r w:rsidRPr="00F97360">
        <w:rPr>
          <w:rFonts w:ascii="Arial" w:hAnsi="Arial" w:cs="Arial"/>
          <w:sz w:val="20"/>
        </w:rPr>
        <w:t>.</w:t>
      </w:r>
      <w:bookmarkEnd w:id="16"/>
    </w:p>
    <w:p w14:paraId="56712D96" w14:textId="1FAC6F52" w:rsidR="007B4FB5" w:rsidRPr="00F97360" w:rsidRDefault="00D8597D" w:rsidP="007B4FB5">
      <w:pPr>
        <w:pStyle w:val="DefinedTermPara"/>
        <w:rPr>
          <w:rFonts w:ascii="Arial" w:hAnsi="Arial" w:cs="Arial"/>
          <w:b/>
          <w:sz w:val="20"/>
        </w:rPr>
      </w:pPr>
      <w:bookmarkStart w:id="17" w:name="a157429"/>
      <w:r w:rsidRPr="00F97360">
        <w:rPr>
          <w:rStyle w:val="DefTerm"/>
          <w:color w:val="auto"/>
          <w:sz w:val="20"/>
        </w:rPr>
        <w:t>Closed Period</w:t>
      </w:r>
      <w:r w:rsidRPr="00F97360">
        <w:rPr>
          <w:rFonts w:ascii="Arial" w:hAnsi="Arial" w:cs="Arial"/>
          <w:sz w:val="20"/>
        </w:rPr>
        <w:t xml:space="preserve">: </w:t>
      </w:r>
      <w:r w:rsidR="00931637" w:rsidRPr="00F97360">
        <w:rPr>
          <w:rFonts w:ascii="Arial" w:hAnsi="Arial" w:cs="Arial"/>
          <w:sz w:val="20"/>
        </w:rPr>
        <w:t>has the same meaning as in UK MAR</w:t>
      </w:r>
      <w:r w:rsidRPr="00F97360">
        <w:rPr>
          <w:rFonts w:ascii="Arial" w:hAnsi="Arial" w:cs="Arial"/>
          <w:sz w:val="20"/>
        </w:rPr>
        <w:t>.</w:t>
      </w:r>
      <w:bookmarkEnd w:id="17"/>
    </w:p>
    <w:p w14:paraId="56712D97" w14:textId="08F24175" w:rsidR="007B4FB5" w:rsidRPr="00F97360" w:rsidRDefault="00D8597D" w:rsidP="007B4FB5">
      <w:pPr>
        <w:pStyle w:val="DefinedTermPara"/>
        <w:rPr>
          <w:rStyle w:val="DefTerm"/>
          <w:color w:val="auto"/>
          <w:sz w:val="20"/>
        </w:rPr>
      </w:pPr>
      <w:bookmarkStart w:id="18" w:name="a170979"/>
      <w:r w:rsidRPr="00F97360">
        <w:rPr>
          <w:rStyle w:val="DefTerm"/>
          <w:color w:val="auto"/>
          <w:sz w:val="20"/>
        </w:rPr>
        <w:t>Company</w:t>
      </w:r>
      <w:r w:rsidRPr="00F97360">
        <w:rPr>
          <w:rFonts w:ascii="Arial" w:hAnsi="Arial" w:cs="Arial"/>
          <w:sz w:val="20"/>
        </w:rPr>
        <w:t xml:space="preserve">: </w:t>
      </w:r>
      <w:r w:rsidR="001C1120" w:rsidRPr="00F97360">
        <w:rPr>
          <w:rFonts w:ascii="Arial" w:hAnsi="Arial" w:cs="Arial"/>
          <w:sz w:val="20"/>
        </w:rPr>
        <w:t xml:space="preserve">Genuit Group </w:t>
      </w:r>
      <w:r w:rsidR="00856453" w:rsidRPr="00F97360">
        <w:rPr>
          <w:rFonts w:ascii="Arial" w:hAnsi="Arial" w:cs="Arial"/>
          <w:sz w:val="20"/>
        </w:rPr>
        <w:t>p</w:t>
      </w:r>
      <w:r w:rsidR="001C1120" w:rsidRPr="00F97360">
        <w:rPr>
          <w:rFonts w:ascii="Arial" w:hAnsi="Arial" w:cs="Arial"/>
          <w:sz w:val="20"/>
        </w:rPr>
        <w:t>lc</w:t>
      </w:r>
      <w:r w:rsidR="00A26E06" w:rsidRPr="00F97360">
        <w:rPr>
          <w:rFonts w:ascii="Arial" w:hAnsi="Arial" w:cs="Arial"/>
          <w:sz w:val="20"/>
        </w:rPr>
        <w:t xml:space="preserve"> </w:t>
      </w:r>
      <w:r w:rsidRPr="00F97360">
        <w:rPr>
          <w:rFonts w:ascii="Arial" w:hAnsi="Arial" w:cs="Arial"/>
          <w:sz w:val="20"/>
        </w:rPr>
        <w:t>incorporated and registered in</w:t>
      </w:r>
      <w:r w:rsidR="005F364F" w:rsidRPr="00F97360">
        <w:rPr>
          <w:rFonts w:ascii="Arial" w:hAnsi="Arial" w:cs="Arial"/>
          <w:sz w:val="20"/>
        </w:rPr>
        <w:t xml:space="preserve"> </w:t>
      </w:r>
      <w:r w:rsidR="00523EF7" w:rsidRPr="00F97360">
        <w:rPr>
          <w:rFonts w:ascii="Arial" w:hAnsi="Arial" w:cs="Arial"/>
          <w:sz w:val="20"/>
        </w:rPr>
        <w:t>England and Wales</w:t>
      </w:r>
      <w:r w:rsidR="004F6664" w:rsidRPr="00F97360">
        <w:rPr>
          <w:rFonts w:ascii="Arial" w:hAnsi="Arial" w:cs="Arial"/>
          <w:sz w:val="20"/>
        </w:rPr>
        <w:t xml:space="preserve"> </w:t>
      </w:r>
      <w:r w:rsidRPr="00F97360">
        <w:rPr>
          <w:rFonts w:ascii="Arial" w:hAnsi="Arial" w:cs="Arial"/>
          <w:sz w:val="20"/>
        </w:rPr>
        <w:t xml:space="preserve">with number </w:t>
      </w:r>
      <w:r w:rsidR="00523EF7" w:rsidRPr="00F97360">
        <w:rPr>
          <w:rFonts w:ascii="Arial" w:hAnsi="Arial" w:cs="Arial"/>
          <w:sz w:val="20"/>
        </w:rPr>
        <w:t>06059130</w:t>
      </w:r>
      <w:r w:rsidRPr="00F97360">
        <w:rPr>
          <w:rFonts w:ascii="Arial" w:hAnsi="Arial" w:cs="Arial"/>
          <w:sz w:val="20"/>
        </w:rPr>
        <w:t>.</w:t>
      </w:r>
      <w:bookmarkEnd w:id="18"/>
    </w:p>
    <w:p w14:paraId="56712D98" w14:textId="1073D8A4" w:rsidR="007B4FB5" w:rsidRPr="00F97360" w:rsidRDefault="00D8597D" w:rsidP="007B4FB5">
      <w:pPr>
        <w:pStyle w:val="DefinedTermPara"/>
        <w:rPr>
          <w:rStyle w:val="DefTerm"/>
          <w:color w:val="auto"/>
          <w:sz w:val="20"/>
        </w:rPr>
      </w:pPr>
      <w:bookmarkStart w:id="19" w:name="a600353"/>
      <w:r w:rsidRPr="00F97360">
        <w:rPr>
          <w:rStyle w:val="DefTerm"/>
          <w:color w:val="auto"/>
          <w:sz w:val="20"/>
        </w:rPr>
        <w:lastRenderedPageBreak/>
        <w:t>Conditional Share Award</w:t>
      </w:r>
      <w:r w:rsidRPr="00F97360">
        <w:rPr>
          <w:rFonts w:ascii="Arial" w:hAnsi="Arial" w:cs="Arial"/>
          <w:sz w:val="20"/>
        </w:rPr>
        <w:t xml:space="preserve">: a right to acquire for no cost a specified number of Shares on the </w:t>
      </w:r>
      <w:r w:rsidR="003D11C8" w:rsidRPr="00F97360">
        <w:rPr>
          <w:rFonts w:ascii="Arial" w:hAnsi="Arial" w:cs="Arial"/>
          <w:sz w:val="20"/>
        </w:rPr>
        <w:t>Vesting Date</w:t>
      </w:r>
      <w:r w:rsidR="007B4FB5" w:rsidRPr="00F97360">
        <w:rPr>
          <w:rFonts w:ascii="Arial" w:hAnsi="Arial" w:cs="Arial"/>
          <w:sz w:val="20"/>
        </w:rPr>
        <w:t>.</w:t>
      </w:r>
      <w:bookmarkEnd w:id="19"/>
    </w:p>
    <w:p w14:paraId="56712D99" w14:textId="77777777" w:rsidR="007B4FB5" w:rsidRPr="00F97360" w:rsidRDefault="00D8597D" w:rsidP="007B4FB5">
      <w:pPr>
        <w:pStyle w:val="DefinedTermPara"/>
        <w:rPr>
          <w:rFonts w:ascii="Arial" w:eastAsia="Arial" w:hAnsi="Arial" w:cs="Arial"/>
          <w:b/>
          <w:sz w:val="20"/>
        </w:rPr>
      </w:pPr>
      <w:bookmarkStart w:id="20" w:name="a206655"/>
      <w:bookmarkStart w:id="21" w:name="_Hlk83986902"/>
      <w:r w:rsidRPr="00F97360">
        <w:rPr>
          <w:rStyle w:val="DefTerm"/>
          <w:color w:val="auto"/>
          <w:sz w:val="20"/>
        </w:rPr>
        <w:t>Control</w:t>
      </w:r>
      <w:r w:rsidRPr="00F97360">
        <w:rPr>
          <w:rFonts w:ascii="Arial" w:hAnsi="Arial" w:cs="Arial"/>
          <w:sz w:val="20"/>
        </w:rPr>
        <w:t xml:space="preserve">: </w:t>
      </w:r>
      <w:r w:rsidR="00A52B8D" w:rsidRPr="00F97360">
        <w:rPr>
          <w:rFonts w:ascii="Arial" w:hAnsi="Arial" w:cs="Arial"/>
          <w:sz w:val="20"/>
        </w:rPr>
        <w:t xml:space="preserve">has the meaning given to it in </w:t>
      </w:r>
      <w:r w:rsidRPr="00F97360">
        <w:rPr>
          <w:rFonts w:ascii="Arial" w:hAnsi="Arial" w:cs="Arial"/>
          <w:sz w:val="20"/>
        </w:rPr>
        <w:t xml:space="preserve">section </w:t>
      </w:r>
      <w:r w:rsidR="0095058A" w:rsidRPr="00F97360">
        <w:rPr>
          <w:rFonts w:ascii="Arial" w:hAnsi="Arial" w:cs="Arial"/>
          <w:sz w:val="20"/>
        </w:rPr>
        <w:t>995</w:t>
      </w:r>
      <w:r w:rsidRPr="00F97360">
        <w:rPr>
          <w:rFonts w:ascii="Arial" w:hAnsi="Arial" w:cs="Arial"/>
          <w:sz w:val="20"/>
        </w:rPr>
        <w:t xml:space="preserve"> of </w:t>
      </w:r>
      <w:r w:rsidR="0053604D" w:rsidRPr="00F97360">
        <w:rPr>
          <w:rFonts w:ascii="Arial" w:hAnsi="Arial" w:cs="Arial"/>
          <w:sz w:val="20"/>
        </w:rPr>
        <w:t xml:space="preserve">the Income Tax Act </w:t>
      </w:r>
      <w:r w:rsidRPr="00F97360">
        <w:rPr>
          <w:rFonts w:ascii="Arial" w:hAnsi="Arial" w:cs="Arial"/>
          <w:sz w:val="20"/>
        </w:rPr>
        <w:t>200</w:t>
      </w:r>
      <w:r w:rsidR="0053604D" w:rsidRPr="00F97360">
        <w:rPr>
          <w:rFonts w:ascii="Arial" w:hAnsi="Arial" w:cs="Arial"/>
          <w:sz w:val="20"/>
        </w:rPr>
        <w:t>7</w:t>
      </w:r>
      <w:r w:rsidRPr="00F97360">
        <w:rPr>
          <w:rFonts w:ascii="Arial" w:hAnsi="Arial" w:cs="Arial"/>
          <w:sz w:val="20"/>
        </w:rPr>
        <w:t>.</w:t>
      </w:r>
      <w:bookmarkEnd w:id="20"/>
    </w:p>
    <w:p w14:paraId="56712D9A" w14:textId="6EE82141" w:rsidR="00593A2C" w:rsidRPr="00F97360" w:rsidRDefault="00D8597D" w:rsidP="007B4FB5">
      <w:pPr>
        <w:pStyle w:val="DefinedTermPara"/>
        <w:rPr>
          <w:rStyle w:val="DefTerm"/>
          <w:color w:val="auto"/>
          <w:sz w:val="20"/>
        </w:rPr>
      </w:pPr>
      <w:r w:rsidRPr="00F97360">
        <w:rPr>
          <w:rStyle w:val="DefTerm"/>
          <w:color w:val="auto"/>
          <w:sz w:val="20"/>
        </w:rPr>
        <w:t>Change of Control</w:t>
      </w:r>
      <w:r w:rsidRPr="00F97360">
        <w:rPr>
          <w:rStyle w:val="DefTerm"/>
          <w:b w:val="0"/>
          <w:bCs/>
          <w:color w:val="auto"/>
          <w:sz w:val="20"/>
        </w:rPr>
        <w:t xml:space="preserve">: </w:t>
      </w:r>
      <w:proofErr w:type="gramStart"/>
      <w:r w:rsidR="00590F77" w:rsidRPr="00F97360">
        <w:rPr>
          <w:rStyle w:val="DefTerm"/>
          <w:b w:val="0"/>
          <w:bCs/>
          <w:color w:val="auto"/>
          <w:sz w:val="20"/>
        </w:rPr>
        <w:t>an</w:t>
      </w:r>
      <w:proofErr w:type="gramEnd"/>
      <w:r w:rsidR="00590F77" w:rsidRPr="00F97360">
        <w:rPr>
          <w:rStyle w:val="DefTerm"/>
          <w:b w:val="0"/>
          <w:bCs/>
          <w:color w:val="auto"/>
          <w:sz w:val="20"/>
        </w:rPr>
        <w:t xml:space="preserve"> Acquiror</w:t>
      </w:r>
      <w:r w:rsidR="00096C4D" w:rsidRPr="00F97360">
        <w:rPr>
          <w:rStyle w:val="DefTerm"/>
          <w:b w:val="0"/>
          <w:bCs/>
          <w:color w:val="auto"/>
          <w:sz w:val="20"/>
        </w:rPr>
        <w:t xml:space="preserve"> acquires </w:t>
      </w:r>
      <w:r w:rsidRPr="00F97360">
        <w:rPr>
          <w:rStyle w:val="DefTerm"/>
          <w:b w:val="0"/>
          <w:bCs/>
          <w:color w:val="auto"/>
          <w:sz w:val="20"/>
        </w:rPr>
        <w:t>Control of the Company.</w:t>
      </w:r>
    </w:p>
    <w:p w14:paraId="56712D9C" w14:textId="77777777" w:rsidR="007B4FB5" w:rsidRPr="00F97360" w:rsidRDefault="00D8597D" w:rsidP="007B4FB5">
      <w:pPr>
        <w:pStyle w:val="DefinedTermPara"/>
        <w:rPr>
          <w:rStyle w:val="DefTerm"/>
          <w:color w:val="auto"/>
          <w:sz w:val="20"/>
        </w:rPr>
      </w:pPr>
      <w:bookmarkStart w:id="22" w:name="a412777"/>
      <w:bookmarkEnd w:id="21"/>
      <w:r w:rsidRPr="00F97360">
        <w:rPr>
          <w:rStyle w:val="DefTerm"/>
          <w:color w:val="auto"/>
          <w:sz w:val="20"/>
        </w:rPr>
        <w:t>Dealing Day</w:t>
      </w:r>
      <w:r w:rsidRPr="00F97360">
        <w:rPr>
          <w:rFonts w:ascii="Arial" w:hAnsi="Arial" w:cs="Arial"/>
          <w:sz w:val="20"/>
        </w:rPr>
        <w:t>: a day on which the London Stock Exchange is open for business.</w:t>
      </w:r>
      <w:bookmarkEnd w:id="22"/>
    </w:p>
    <w:p w14:paraId="56712D9D" w14:textId="3C98A7D6" w:rsidR="001E029F" w:rsidRPr="00F97360" w:rsidRDefault="00D8597D" w:rsidP="005B420A">
      <w:pPr>
        <w:pStyle w:val="DefinedTermPara"/>
        <w:rPr>
          <w:rFonts w:ascii="Arial" w:hAnsi="Arial" w:cs="Arial"/>
          <w:sz w:val="20"/>
        </w:rPr>
      </w:pPr>
      <w:bookmarkStart w:id="23" w:name="a864027"/>
      <w:r w:rsidRPr="00F97360">
        <w:rPr>
          <w:rStyle w:val="DefTerm"/>
          <w:color w:val="auto"/>
          <w:sz w:val="20"/>
        </w:rPr>
        <w:t>Dealing Restrictions</w:t>
      </w:r>
      <w:r w:rsidRPr="00F97360">
        <w:rPr>
          <w:rFonts w:ascii="Arial" w:hAnsi="Arial" w:cs="Arial"/>
          <w:sz w:val="20"/>
        </w:rPr>
        <w:t xml:space="preserve">: restrictions imposed by the Company’s share dealing code, </w:t>
      </w:r>
      <w:r w:rsidR="00677BF7" w:rsidRPr="00F97360">
        <w:rPr>
          <w:rFonts w:ascii="Arial" w:hAnsi="Arial" w:cs="Arial"/>
          <w:sz w:val="20"/>
        </w:rPr>
        <w:t xml:space="preserve">UK MAR, </w:t>
      </w:r>
      <w:r w:rsidRPr="00F97360">
        <w:rPr>
          <w:rFonts w:ascii="Arial" w:hAnsi="Arial" w:cs="Arial"/>
          <w:sz w:val="20"/>
        </w:rPr>
        <w:t>the Listing Rules</w:t>
      </w:r>
      <w:r w:rsidR="00677BF7" w:rsidRPr="00F97360">
        <w:rPr>
          <w:rFonts w:ascii="Arial" w:hAnsi="Arial" w:cs="Arial"/>
          <w:sz w:val="20"/>
        </w:rPr>
        <w:t xml:space="preserve"> </w:t>
      </w:r>
      <w:r w:rsidR="001E029F" w:rsidRPr="00F97360">
        <w:rPr>
          <w:rFonts w:ascii="Arial" w:hAnsi="Arial" w:cs="Arial"/>
          <w:sz w:val="20"/>
        </w:rPr>
        <w:t>or</w:t>
      </w:r>
      <w:r w:rsidR="00677BF7" w:rsidRPr="00F97360">
        <w:rPr>
          <w:rFonts w:ascii="Arial" w:hAnsi="Arial" w:cs="Arial"/>
          <w:sz w:val="20"/>
        </w:rPr>
        <w:t xml:space="preserve"> </w:t>
      </w:r>
      <w:r w:rsidRPr="00F97360">
        <w:rPr>
          <w:rFonts w:ascii="Arial" w:hAnsi="Arial" w:cs="Arial"/>
          <w:sz w:val="20"/>
        </w:rPr>
        <w:t>any applicable laws</w:t>
      </w:r>
      <w:r w:rsidR="005D46AC" w:rsidRPr="00F97360">
        <w:rPr>
          <w:rFonts w:ascii="Arial" w:hAnsi="Arial" w:cs="Arial"/>
          <w:sz w:val="20"/>
        </w:rPr>
        <w:t xml:space="preserve">, codes </w:t>
      </w:r>
      <w:r w:rsidRPr="00F97360">
        <w:rPr>
          <w:rFonts w:ascii="Arial" w:hAnsi="Arial" w:cs="Arial"/>
          <w:sz w:val="20"/>
        </w:rPr>
        <w:t>or regulations which impose restrictions on dealing</w:t>
      </w:r>
      <w:r w:rsidR="005D46AC" w:rsidRPr="00F97360">
        <w:rPr>
          <w:rFonts w:ascii="Arial" w:hAnsi="Arial" w:cs="Arial"/>
          <w:sz w:val="20"/>
        </w:rPr>
        <w:t xml:space="preserve"> in shares and other securities</w:t>
      </w:r>
      <w:r w:rsidR="00C2027A" w:rsidRPr="00F97360">
        <w:rPr>
          <w:rFonts w:ascii="Arial" w:hAnsi="Arial" w:cs="Arial"/>
          <w:sz w:val="20"/>
        </w:rPr>
        <w:t>.</w:t>
      </w:r>
    </w:p>
    <w:p w14:paraId="498BF9B4" w14:textId="77777777" w:rsidR="007B4FB5" w:rsidRPr="00F97360" w:rsidRDefault="007B4FB5" w:rsidP="007B4FB5">
      <w:pPr>
        <w:pStyle w:val="DefinedTermPara"/>
        <w:rPr>
          <w:rStyle w:val="DefTerm"/>
          <w:color w:val="auto"/>
          <w:sz w:val="20"/>
        </w:rPr>
      </w:pPr>
      <w:r w:rsidRPr="00F97360">
        <w:rPr>
          <w:rStyle w:val="DefTerm"/>
          <w:color w:val="auto"/>
          <w:sz w:val="20"/>
        </w:rPr>
        <w:t>Dilutive Shares</w:t>
      </w:r>
      <w:r w:rsidRPr="00F97360">
        <w:rPr>
          <w:rFonts w:ascii="Arial" w:hAnsi="Arial" w:cs="Arial"/>
          <w:sz w:val="20"/>
        </w:rPr>
        <w:t>: on any date, all shares of the Company which:</w:t>
      </w:r>
    </w:p>
    <w:p w14:paraId="19F74AA1" w14:textId="77777777" w:rsidR="007B4FB5" w:rsidRPr="00F97360" w:rsidRDefault="007B4FB5" w:rsidP="00F97360">
      <w:pPr>
        <w:pStyle w:val="DefinedTermNumber"/>
        <w:tabs>
          <w:tab w:val="clear" w:pos="1554"/>
        </w:tabs>
        <w:ind w:left="1985" w:hanging="567"/>
        <w:rPr>
          <w:rFonts w:ascii="Arial" w:hAnsi="Arial" w:cs="Arial"/>
          <w:sz w:val="20"/>
        </w:rPr>
      </w:pPr>
      <w:r w:rsidRPr="00F97360">
        <w:rPr>
          <w:rFonts w:ascii="Arial" w:hAnsi="Arial" w:cs="Arial"/>
          <w:sz w:val="20"/>
        </w:rPr>
        <w:t xml:space="preserve">have been issued, or transferred out of treasury, on the exercise of options granted, or in satisfaction of any other awards made, under any </w:t>
      </w:r>
      <w:bookmarkStart w:id="24" w:name="_Hlk79402663"/>
      <w:r w:rsidR="00124397" w:rsidRPr="00F97360">
        <w:rPr>
          <w:rFonts w:ascii="Arial" w:hAnsi="Arial" w:cs="Arial"/>
          <w:sz w:val="20"/>
        </w:rPr>
        <w:t>Employees’ Share Scheme</w:t>
      </w:r>
      <w:r w:rsidRPr="00F97360">
        <w:rPr>
          <w:rFonts w:ascii="Arial" w:hAnsi="Arial" w:cs="Arial"/>
          <w:sz w:val="20"/>
        </w:rPr>
        <w:t xml:space="preserve"> </w:t>
      </w:r>
      <w:bookmarkEnd w:id="24"/>
      <w:r w:rsidRPr="00F97360">
        <w:rPr>
          <w:rFonts w:ascii="Arial" w:hAnsi="Arial" w:cs="Arial"/>
          <w:sz w:val="20"/>
        </w:rPr>
        <w:t>(including the Plan) during the shorter of:</w:t>
      </w:r>
    </w:p>
    <w:p w14:paraId="3EF6CCF8" w14:textId="32CDA4C5" w:rsidR="00E72EDF" w:rsidRPr="00F97360" w:rsidRDefault="007134C4" w:rsidP="00E72EDF">
      <w:pPr>
        <w:pStyle w:val="DefinedTermNumber"/>
        <w:numPr>
          <w:ilvl w:val="3"/>
          <w:numId w:val="24"/>
        </w:numPr>
        <w:rPr>
          <w:rFonts w:ascii="Arial" w:hAnsi="Arial" w:cs="Arial"/>
          <w:sz w:val="20"/>
        </w:rPr>
      </w:pPr>
      <w:r w:rsidRPr="00F97360">
        <w:rPr>
          <w:rFonts w:ascii="Arial" w:hAnsi="Arial" w:cs="Arial"/>
          <w:sz w:val="20"/>
        </w:rPr>
        <w:t>the period of ten years ending on (and including) that date</w:t>
      </w:r>
      <w:r w:rsidR="007B4FB5" w:rsidRPr="00F97360">
        <w:rPr>
          <w:rFonts w:ascii="Arial" w:hAnsi="Arial" w:cs="Arial"/>
          <w:sz w:val="20"/>
        </w:rPr>
        <w:t xml:space="preserve">; and </w:t>
      </w:r>
    </w:p>
    <w:p w14:paraId="1D220EB4" w14:textId="77777777" w:rsidR="007B4FB5" w:rsidRPr="00F97360" w:rsidRDefault="007B4FB5" w:rsidP="00E72EDF">
      <w:pPr>
        <w:pStyle w:val="DefinedTermNumber"/>
        <w:numPr>
          <w:ilvl w:val="3"/>
          <w:numId w:val="24"/>
        </w:numPr>
        <w:rPr>
          <w:rFonts w:ascii="Arial" w:hAnsi="Arial" w:cs="Arial"/>
          <w:sz w:val="20"/>
        </w:rPr>
      </w:pPr>
      <w:r w:rsidRPr="00F97360">
        <w:rPr>
          <w:rFonts w:ascii="Arial" w:hAnsi="Arial" w:cs="Arial"/>
          <w:sz w:val="20"/>
        </w:rPr>
        <w:t xml:space="preserve">the period since </w:t>
      </w:r>
      <w:r w:rsidR="00E659DA" w:rsidRPr="00F97360">
        <w:rPr>
          <w:rFonts w:ascii="Arial" w:hAnsi="Arial" w:cs="Arial"/>
          <w:sz w:val="20"/>
        </w:rPr>
        <w:t>the Company’s</w:t>
      </w:r>
      <w:r w:rsidRPr="00F97360">
        <w:rPr>
          <w:rFonts w:ascii="Arial" w:hAnsi="Arial" w:cs="Arial"/>
          <w:sz w:val="20"/>
        </w:rPr>
        <w:t xml:space="preserve"> shares were first admitted to the Official List; and</w:t>
      </w:r>
    </w:p>
    <w:p w14:paraId="3E9AC33E" w14:textId="77777777" w:rsidR="007B4FB5" w:rsidRPr="00F97360" w:rsidRDefault="007B4FB5" w:rsidP="00F97360">
      <w:pPr>
        <w:pStyle w:val="DefinedTermNumber"/>
        <w:tabs>
          <w:tab w:val="clear" w:pos="1554"/>
        </w:tabs>
        <w:ind w:left="1985" w:hanging="567"/>
        <w:rPr>
          <w:rFonts w:ascii="Arial" w:hAnsi="Arial" w:cs="Arial"/>
          <w:sz w:val="20"/>
        </w:rPr>
      </w:pPr>
      <w:r w:rsidRPr="00F97360">
        <w:rPr>
          <w:rFonts w:ascii="Arial" w:hAnsi="Arial" w:cs="Arial"/>
          <w:sz w:val="20"/>
        </w:rPr>
        <w:t>remain capable of issue, or transfer out of treasury, under any Existing Award.</w:t>
      </w:r>
    </w:p>
    <w:p w14:paraId="5240EFAC" w14:textId="77777777" w:rsidR="00AE0AC5" w:rsidRPr="00F97360" w:rsidRDefault="00AE0AC5" w:rsidP="007B4FB5">
      <w:pPr>
        <w:pStyle w:val="DefinedTermPara"/>
        <w:rPr>
          <w:rFonts w:ascii="Arial" w:hAnsi="Arial" w:cs="Arial"/>
          <w:sz w:val="20"/>
        </w:rPr>
      </w:pPr>
      <w:r w:rsidRPr="00F97360">
        <w:rPr>
          <w:rFonts w:ascii="Arial" w:hAnsi="Arial" w:cs="Arial"/>
          <w:sz w:val="20"/>
        </w:rPr>
        <w:t>For the purposes of the above:</w:t>
      </w:r>
    </w:p>
    <w:p w14:paraId="203784A2" w14:textId="42A29BFD" w:rsidR="007B4FB5" w:rsidRPr="00F97360" w:rsidRDefault="008B42A2" w:rsidP="00F97360">
      <w:pPr>
        <w:pStyle w:val="DefinedTermNumber"/>
        <w:tabs>
          <w:tab w:val="clear" w:pos="1554"/>
        </w:tabs>
        <w:ind w:left="1985" w:hanging="567"/>
        <w:rPr>
          <w:rFonts w:ascii="Arial" w:hAnsi="Arial" w:cs="Arial"/>
          <w:sz w:val="20"/>
        </w:rPr>
      </w:pPr>
      <w:r w:rsidRPr="00F97360">
        <w:rPr>
          <w:rFonts w:ascii="Arial" w:hAnsi="Arial" w:cs="Arial"/>
          <w:sz w:val="20"/>
        </w:rPr>
        <w:t xml:space="preserve">Shares subject to </w:t>
      </w:r>
      <w:r w:rsidR="007B4FB5" w:rsidRPr="00F97360">
        <w:rPr>
          <w:rFonts w:ascii="Arial" w:hAnsi="Arial" w:cs="Arial"/>
          <w:sz w:val="20"/>
        </w:rPr>
        <w:t>Transfer Only Awards</w:t>
      </w:r>
      <w:r w:rsidR="00E72EDF" w:rsidRPr="00F97360">
        <w:rPr>
          <w:rFonts w:ascii="Arial" w:hAnsi="Arial" w:cs="Arial"/>
          <w:sz w:val="20"/>
        </w:rPr>
        <w:t xml:space="preserve"> (or similar under any other Employee Share Scheme operated by a Group Company)</w:t>
      </w:r>
      <w:r w:rsidRPr="00F97360">
        <w:rPr>
          <w:rFonts w:ascii="Arial" w:hAnsi="Arial" w:cs="Arial"/>
          <w:sz w:val="20"/>
        </w:rPr>
        <w:t xml:space="preserve">, </w:t>
      </w:r>
      <w:r w:rsidR="007B4FB5" w:rsidRPr="00F97360">
        <w:rPr>
          <w:rFonts w:ascii="Arial" w:hAnsi="Arial" w:cs="Arial"/>
          <w:sz w:val="20"/>
        </w:rPr>
        <w:t xml:space="preserve">are not Dilutive </w:t>
      </w:r>
      <w:proofErr w:type="gramStart"/>
      <w:r w:rsidR="007B4FB5" w:rsidRPr="00F97360">
        <w:rPr>
          <w:rFonts w:ascii="Arial" w:hAnsi="Arial" w:cs="Arial"/>
          <w:sz w:val="20"/>
        </w:rPr>
        <w:t>Shares</w:t>
      </w:r>
      <w:r w:rsidR="00AE0AC5" w:rsidRPr="00F97360">
        <w:rPr>
          <w:rFonts w:ascii="Arial" w:hAnsi="Arial" w:cs="Arial"/>
          <w:sz w:val="20"/>
        </w:rPr>
        <w:t>;</w:t>
      </w:r>
      <w:proofErr w:type="gramEnd"/>
    </w:p>
    <w:p w14:paraId="0CE80AF4" w14:textId="77777777" w:rsidR="00AE0AC5" w:rsidRPr="00F97360" w:rsidRDefault="00736CBB" w:rsidP="00F97360">
      <w:pPr>
        <w:pStyle w:val="DefinedTermNumber"/>
        <w:tabs>
          <w:tab w:val="clear" w:pos="1554"/>
        </w:tabs>
        <w:ind w:left="1985" w:hanging="567"/>
        <w:rPr>
          <w:rFonts w:ascii="Arial" w:hAnsi="Arial" w:cs="Arial"/>
          <w:sz w:val="20"/>
        </w:rPr>
      </w:pPr>
      <w:r w:rsidRPr="00F97360">
        <w:rPr>
          <w:rFonts w:ascii="Arial" w:hAnsi="Arial" w:cs="Arial"/>
          <w:sz w:val="20"/>
        </w:rPr>
        <w:t>s</w:t>
      </w:r>
      <w:r w:rsidR="00AE0AC5" w:rsidRPr="00F97360">
        <w:rPr>
          <w:rFonts w:ascii="Arial" w:hAnsi="Arial" w:cs="Arial"/>
          <w:sz w:val="20"/>
        </w:rPr>
        <w:t xml:space="preserve">hares </w:t>
      </w:r>
      <w:r w:rsidR="00BB23F7" w:rsidRPr="00F97360">
        <w:rPr>
          <w:rFonts w:ascii="Arial" w:hAnsi="Arial" w:cs="Arial"/>
          <w:sz w:val="20"/>
        </w:rPr>
        <w:t xml:space="preserve">which were subject to </w:t>
      </w:r>
      <w:r w:rsidR="00AE0AC5" w:rsidRPr="00F97360">
        <w:rPr>
          <w:rFonts w:ascii="Arial" w:hAnsi="Arial" w:cs="Arial"/>
          <w:sz w:val="20"/>
        </w:rPr>
        <w:t>right</w:t>
      </w:r>
      <w:r w:rsidR="00BB23F7" w:rsidRPr="00F97360">
        <w:rPr>
          <w:rFonts w:ascii="Arial" w:hAnsi="Arial" w:cs="Arial"/>
          <w:sz w:val="20"/>
        </w:rPr>
        <w:t>s which (</w:t>
      </w:r>
      <w:proofErr w:type="spellStart"/>
      <w:r w:rsidR="00BB23F7" w:rsidRPr="00F97360">
        <w:rPr>
          <w:rFonts w:ascii="Arial" w:hAnsi="Arial" w:cs="Arial"/>
          <w:sz w:val="20"/>
        </w:rPr>
        <w:t>i</w:t>
      </w:r>
      <w:proofErr w:type="spellEnd"/>
      <w:r w:rsidR="00BB23F7" w:rsidRPr="00F97360">
        <w:rPr>
          <w:rFonts w:ascii="Arial" w:hAnsi="Arial" w:cs="Arial"/>
          <w:sz w:val="20"/>
        </w:rPr>
        <w:t>) lapsed or</w:t>
      </w:r>
      <w:r w:rsidR="00AE0AC5" w:rsidRPr="00F97360">
        <w:rPr>
          <w:rFonts w:ascii="Arial" w:hAnsi="Arial" w:cs="Arial"/>
          <w:sz w:val="20"/>
        </w:rPr>
        <w:t xml:space="preserve"> </w:t>
      </w:r>
      <w:r w:rsidR="00BB23F7" w:rsidRPr="00F97360">
        <w:rPr>
          <w:rFonts w:ascii="Arial" w:hAnsi="Arial" w:cs="Arial"/>
          <w:sz w:val="20"/>
        </w:rPr>
        <w:t xml:space="preserve">(ii) </w:t>
      </w:r>
      <w:r w:rsidR="00AE0AC5" w:rsidRPr="00F97360">
        <w:rPr>
          <w:rFonts w:ascii="Arial" w:hAnsi="Arial" w:cs="Arial"/>
          <w:sz w:val="20"/>
        </w:rPr>
        <w:t>w</w:t>
      </w:r>
      <w:r w:rsidR="00BB23F7" w:rsidRPr="00F97360">
        <w:rPr>
          <w:rFonts w:ascii="Arial" w:hAnsi="Arial" w:cs="Arial"/>
          <w:sz w:val="20"/>
        </w:rPr>
        <w:t>ere</w:t>
      </w:r>
      <w:r w:rsidR="00AE0AC5" w:rsidRPr="00F97360">
        <w:rPr>
          <w:rFonts w:ascii="Arial" w:hAnsi="Arial" w:cs="Arial"/>
          <w:sz w:val="20"/>
        </w:rPr>
        <w:t xml:space="preserve"> </w:t>
      </w:r>
      <w:r w:rsidR="008A65EA" w:rsidRPr="00F97360">
        <w:rPr>
          <w:rFonts w:ascii="Arial" w:hAnsi="Arial" w:cs="Arial"/>
          <w:sz w:val="20"/>
        </w:rPr>
        <w:t>surrendered</w:t>
      </w:r>
      <w:r w:rsidR="00BB23F7" w:rsidRPr="00F97360">
        <w:rPr>
          <w:rFonts w:ascii="Arial" w:hAnsi="Arial" w:cs="Arial"/>
          <w:sz w:val="20"/>
        </w:rPr>
        <w:t xml:space="preserve"> or </w:t>
      </w:r>
      <w:r w:rsidR="00AE0AC5" w:rsidRPr="00F97360">
        <w:rPr>
          <w:rFonts w:ascii="Arial" w:hAnsi="Arial" w:cs="Arial"/>
          <w:sz w:val="20"/>
        </w:rPr>
        <w:t>cancelled</w:t>
      </w:r>
      <w:r w:rsidR="005D46AC" w:rsidRPr="00F97360">
        <w:rPr>
          <w:rFonts w:ascii="Arial" w:hAnsi="Arial" w:cs="Arial"/>
          <w:sz w:val="20"/>
        </w:rPr>
        <w:t>,</w:t>
      </w:r>
      <w:r w:rsidR="00BB23F7" w:rsidRPr="00F97360">
        <w:rPr>
          <w:rFonts w:ascii="Arial" w:hAnsi="Arial" w:cs="Arial"/>
          <w:sz w:val="20"/>
        </w:rPr>
        <w:t xml:space="preserve"> </w:t>
      </w:r>
      <w:r w:rsidR="00AE0AC5" w:rsidRPr="00F97360">
        <w:rPr>
          <w:rFonts w:ascii="Arial" w:hAnsi="Arial" w:cs="Arial"/>
          <w:sz w:val="20"/>
        </w:rPr>
        <w:t xml:space="preserve">will be </w:t>
      </w:r>
      <w:proofErr w:type="gramStart"/>
      <w:r w:rsidR="00AE0AC5" w:rsidRPr="00F97360">
        <w:rPr>
          <w:rFonts w:ascii="Arial" w:hAnsi="Arial" w:cs="Arial"/>
          <w:sz w:val="20"/>
        </w:rPr>
        <w:t>ignored;</w:t>
      </w:r>
      <w:proofErr w:type="gramEnd"/>
    </w:p>
    <w:p w14:paraId="3CF8ECC9" w14:textId="1527C54A" w:rsidR="00AE0AC5" w:rsidRPr="00F97360" w:rsidRDefault="00AE0AC5" w:rsidP="00F97360">
      <w:pPr>
        <w:pStyle w:val="DefinedTermNumber"/>
        <w:tabs>
          <w:tab w:val="clear" w:pos="1554"/>
          <w:tab w:val="num" w:pos="1985"/>
        </w:tabs>
        <w:ind w:left="1985" w:hanging="567"/>
        <w:rPr>
          <w:rFonts w:ascii="Arial" w:hAnsi="Arial" w:cs="Arial"/>
          <w:sz w:val="20"/>
        </w:rPr>
      </w:pPr>
      <w:r w:rsidRPr="00F97360">
        <w:rPr>
          <w:rFonts w:ascii="Arial" w:hAnsi="Arial" w:cs="Arial"/>
          <w:sz w:val="20"/>
        </w:rPr>
        <w:t xml:space="preserve">if, in the opinion of the </w:t>
      </w:r>
      <w:r w:rsidR="0049460F" w:rsidRPr="00F97360">
        <w:rPr>
          <w:rFonts w:ascii="Arial" w:hAnsi="Arial" w:cs="Arial"/>
          <w:sz w:val="20"/>
        </w:rPr>
        <w:t>Remuneration Committee</w:t>
      </w:r>
      <w:r w:rsidRPr="00F97360">
        <w:rPr>
          <w:rFonts w:ascii="Arial" w:hAnsi="Arial" w:cs="Arial"/>
          <w:sz w:val="20"/>
        </w:rPr>
        <w:t xml:space="preserve">, institutional investor guidelines cease to require treasury shares to be counted toward the above limit, paragraphs a and b </w:t>
      </w:r>
      <w:r w:rsidR="00BB23F7" w:rsidRPr="00F97360">
        <w:rPr>
          <w:rFonts w:ascii="Arial" w:hAnsi="Arial" w:cs="Arial"/>
          <w:sz w:val="20"/>
        </w:rPr>
        <w:t xml:space="preserve">in the definition of Dilutive Shares above </w:t>
      </w:r>
      <w:r w:rsidRPr="00F97360">
        <w:rPr>
          <w:rFonts w:ascii="Arial" w:hAnsi="Arial" w:cs="Arial"/>
          <w:sz w:val="20"/>
        </w:rPr>
        <w:t>shall be read without the words “</w:t>
      </w:r>
      <w:r w:rsidR="009608DD" w:rsidRPr="00F97360">
        <w:rPr>
          <w:rFonts w:ascii="Arial" w:hAnsi="Arial" w:cs="Arial"/>
          <w:sz w:val="20"/>
        </w:rPr>
        <w:t xml:space="preserve">or </w:t>
      </w:r>
      <w:r w:rsidRPr="00F97360">
        <w:rPr>
          <w:rFonts w:ascii="Arial" w:hAnsi="Arial" w:cs="Arial"/>
          <w:sz w:val="20"/>
        </w:rPr>
        <w:t>transferred out of treasury” and “</w:t>
      </w:r>
      <w:r w:rsidR="009608DD" w:rsidRPr="00F97360">
        <w:rPr>
          <w:rFonts w:ascii="Arial" w:hAnsi="Arial" w:cs="Arial"/>
          <w:sz w:val="20"/>
        </w:rPr>
        <w:t xml:space="preserve">or </w:t>
      </w:r>
      <w:r w:rsidRPr="00F97360">
        <w:rPr>
          <w:rFonts w:ascii="Arial" w:hAnsi="Arial" w:cs="Arial"/>
          <w:sz w:val="20"/>
        </w:rPr>
        <w:t>transfer out of treasury” respectively, and</w:t>
      </w:r>
    </w:p>
    <w:p w14:paraId="34A0B310" w14:textId="72FEB7D2" w:rsidR="00AE0AC5" w:rsidRPr="00F97360" w:rsidRDefault="00AE0AC5" w:rsidP="00F97360">
      <w:pPr>
        <w:pStyle w:val="DefinedTermNumber"/>
        <w:tabs>
          <w:tab w:val="clear" w:pos="1554"/>
          <w:tab w:val="num" w:pos="1985"/>
        </w:tabs>
        <w:ind w:left="1985" w:hanging="567"/>
        <w:rPr>
          <w:rFonts w:ascii="Arial" w:hAnsi="Arial" w:cs="Arial"/>
          <w:sz w:val="20"/>
          <w:lang w:eastAsia="en-GB"/>
        </w:rPr>
      </w:pPr>
      <w:r w:rsidRPr="00F97360">
        <w:rPr>
          <w:rFonts w:ascii="Arial" w:hAnsi="Arial" w:cs="Arial"/>
          <w:sz w:val="20"/>
        </w:rPr>
        <w:t>where</w:t>
      </w:r>
      <w:r w:rsidRPr="00F97360">
        <w:rPr>
          <w:rFonts w:ascii="Arial" w:hAnsi="Arial" w:cs="Arial"/>
          <w:sz w:val="20"/>
          <w:lang w:eastAsia="en-GB"/>
        </w:rPr>
        <w:t xml:space="preserve"> </w:t>
      </w:r>
      <w:r w:rsidR="00933762" w:rsidRPr="00F97360">
        <w:rPr>
          <w:rFonts w:ascii="Arial" w:hAnsi="Arial" w:cs="Arial"/>
          <w:sz w:val="20"/>
          <w:lang w:eastAsia="en-GB"/>
        </w:rPr>
        <w:t xml:space="preserve">an event under rule </w:t>
      </w:r>
      <w:r w:rsidR="00933762" w:rsidRPr="00F97360">
        <w:rPr>
          <w:rFonts w:ascii="Arial" w:hAnsi="Arial" w:cs="Arial"/>
          <w:sz w:val="20"/>
          <w:lang w:eastAsia="en-GB"/>
        </w:rPr>
        <w:fldChar w:fldCharType="begin"/>
      </w:r>
      <w:r w:rsidR="00933762" w:rsidRPr="00F97360">
        <w:rPr>
          <w:rFonts w:ascii="Arial" w:hAnsi="Arial" w:cs="Arial"/>
          <w:sz w:val="20"/>
          <w:lang w:eastAsia="en-GB"/>
        </w:rPr>
        <w:instrText xml:space="preserve"> REF a129837 \r \h </w:instrText>
      </w:r>
      <w:r w:rsidR="0037270F" w:rsidRPr="00F97360">
        <w:rPr>
          <w:rFonts w:ascii="Arial" w:hAnsi="Arial" w:cs="Arial"/>
          <w:sz w:val="20"/>
          <w:lang w:eastAsia="en-GB"/>
        </w:rPr>
        <w:instrText xml:space="preserve"> \* MERGEFORMAT </w:instrText>
      </w:r>
      <w:r w:rsidR="00933762" w:rsidRPr="00F97360">
        <w:rPr>
          <w:rFonts w:ascii="Arial" w:hAnsi="Arial" w:cs="Arial"/>
          <w:sz w:val="20"/>
          <w:lang w:eastAsia="en-GB"/>
        </w:rPr>
      </w:r>
      <w:r w:rsidR="00933762" w:rsidRPr="00F97360">
        <w:rPr>
          <w:rFonts w:ascii="Arial" w:hAnsi="Arial" w:cs="Arial"/>
          <w:sz w:val="20"/>
          <w:lang w:eastAsia="en-GB"/>
        </w:rPr>
        <w:fldChar w:fldCharType="separate"/>
      </w:r>
      <w:r w:rsidR="00710210" w:rsidRPr="00F97360">
        <w:rPr>
          <w:rFonts w:ascii="Arial" w:hAnsi="Arial" w:cs="Arial"/>
          <w:sz w:val="20"/>
          <w:lang w:eastAsia="en-GB"/>
        </w:rPr>
        <w:t>22</w:t>
      </w:r>
      <w:r w:rsidR="00933762" w:rsidRPr="00F97360">
        <w:rPr>
          <w:rFonts w:ascii="Arial" w:hAnsi="Arial" w:cs="Arial"/>
          <w:sz w:val="20"/>
          <w:lang w:eastAsia="en-GB"/>
        </w:rPr>
        <w:fldChar w:fldCharType="end"/>
      </w:r>
      <w:r w:rsidR="00933762" w:rsidRPr="00F97360">
        <w:rPr>
          <w:rFonts w:ascii="Arial" w:hAnsi="Arial" w:cs="Arial"/>
          <w:sz w:val="20"/>
          <w:lang w:eastAsia="en-GB"/>
        </w:rPr>
        <w:t xml:space="preserve"> </w:t>
      </w:r>
      <w:r w:rsidRPr="00F97360">
        <w:rPr>
          <w:rFonts w:ascii="Arial" w:hAnsi="Arial" w:cs="Arial"/>
          <w:sz w:val="20"/>
          <w:lang w:eastAsia="en-GB"/>
        </w:rPr>
        <w:t xml:space="preserve">has taken place between the date of issue of the </w:t>
      </w:r>
      <w:r w:rsidR="00736CBB" w:rsidRPr="00F97360">
        <w:rPr>
          <w:rFonts w:ascii="Arial" w:hAnsi="Arial" w:cs="Arial"/>
          <w:sz w:val="20"/>
          <w:lang w:eastAsia="en-GB"/>
        </w:rPr>
        <w:t>s</w:t>
      </w:r>
      <w:r w:rsidRPr="00F97360">
        <w:rPr>
          <w:rFonts w:ascii="Arial" w:hAnsi="Arial" w:cs="Arial"/>
          <w:sz w:val="20"/>
          <w:lang w:eastAsia="en-GB"/>
        </w:rPr>
        <w:t xml:space="preserve">hares and the date on which the limit is to be calculated, the number of </w:t>
      </w:r>
      <w:r w:rsidR="00933762" w:rsidRPr="00F97360">
        <w:rPr>
          <w:rFonts w:ascii="Arial" w:hAnsi="Arial" w:cs="Arial"/>
          <w:sz w:val="20"/>
          <w:lang w:eastAsia="en-GB"/>
        </w:rPr>
        <w:t>s</w:t>
      </w:r>
      <w:r w:rsidRPr="00F97360">
        <w:rPr>
          <w:rFonts w:ascii="Arial" w:hAnsi="Arial" w:cs="Arial"/>
          <w:sz w:val="20"/>
          <w:lang w:eastAsia="en-GB"/>
        </w:rPr>
        <w:t xml:space="preserve">hares to be taken into account for the purposes of </w:t>
      </w:r>
      <w:r w:rsidR="00933762" w:rsidRPr="00F97360">
        <w:rPr>
          <w:rFonts w:ascii="Arial" w:hAnsi="Arial" w:cs="Arial"/>
          <w:sz w:val="20"/>
          <w:lang w:eastAsia="en-GB"/>
        </w:rPr>
        <w:t xml:space="preserve">the above </w:t>
      </w:r>
      <w:r w:rsidRPr="00F97360">
        <w:rPr>
          <w:rFonts w:ascii="Arial" w:hAnsi="Arial" w:cs="Arial"/>
          <w:sz w:val="20"/>
          <w:lang w:eastAsia="en-GB"/>
        </w:rPr>
        <w:t xml:space="preserve">limit will be adjusted in the manner the </w:t>
      </w:r>
      <w:r w:rsidR="0049460F" w:rsidRPr="00F97360">
        <w:rPr>
          <w:rFonts w:ascii="Arial" w:hAnsi="Arial" w:cs="Arial"/>
          <w:sz w:val="20"/>
          <w:lang w:eastAsia="en-GB"/>
        </w:rPr>
        <w:t>Remuneration Committee</w:t>
      </w:r>
      <w:r w:rsidRPr="00F97360">
        <w:rPr>
          <w:rFonts w:ascii="Arial" w:hAnsi="Arial" w:cs="Arial"/>
          <w:sz w:val="20"/>
          <w:lang w:eastAsia="en-GB"/>
        </w:rPr>
        <w:t xml:space="preserve"> considers appropriate to take account of </w:t>
      </w:r>
      <w:r w:rsidR="00933762" w:rsidRPr="00F97360">
        <w:rPr>
          <w:rFonts w:ascii="Arial" w:hAnsi="Arial" w:cs="Arial"/>
          <w:sz w:val="20"/>
          <w:lang w:eastAsia="en-GB"/>
        </w:rPr>
        <w:t>such event</w:t>
      </w:r>
      <w:r w:rsidRPr="00F97360">
        <w:rPr>
          <w:rFonts w:ascii="Arial" w:hAnsi="Arial" w:cs="Arial"/>
          <w:sz w:val="20"/>
          <w:lang w:eastAsia="en-GB"/>
        </w:rPr>
        <w:t>.</w:t>
      </w:r>
    </w:p>
    <w:p w14:paraId="0E73867C" w14:textId="3070D9EA" w:rsidR="007B4FB5" w:rsidRPr="00F97360" w:rsidRDefault="007B4FB5" w:rsidP="00881CFB">
      <w:pPr>
        <w:pStyle w:val="DefinedTermPara"/>
        <w:numPr>
          <w:ilvl w:val="0"/>
          <w:numId w:val="0"/>
        </w:numPr>
        <w:ind w:left="720"/>
        <w:rPr>
          <w:rFonts w:ascii="Arial" w:hAnsi="Arial" w:cs="Arial"/>
          <w:sz w:val="20"/>
        </w:rPr>
      </w:pPr>
      <w:bookmarkStart w:id="25" w:name="a941389"/>
      <w:bookmarkEnd w:id="23"/>
      <w:r w:rsidRPr="00F97360">
        <w:rPr>
          <w:rStyle w:val="DefTerm"/>
          <w:color w:val="auto"/>
          <w:sz w:val="20"/>
        </w:rPr>
        <w:t>Discretionary Dilutive Shares</w:t>
      </w:r>
      <w:r w:rsidRPr="00F97360">
        <w:rPr>
          <w:rFonts w:ascii="Arial" w:hAnsi="Arial" w:cs="Arial"/>
          <w:sz w:val="20"/>
        </w:rPr>
        <w:t>: Dilutive Shares which</w:t>
      </w:r>
      <w:r w:rsidR="00881CFB" w:rsidRPr="00F97360">
        <w:rPr>
          <w:rFonts w:ascii="Arial" w:hAnsi="Arial" w:cs="Arial"/>
          <w:sz w:val="20"/>
        </w:rPr>
        <w:t xml:space="preserve"> </w:t>
      </w:r>
      <w:r w:rsidRPr="00F97360">
        <w:rPr>
          <w:rFonts w:ascii="Arial" w:hAnsi="Arial" w:cs="Arial"/>
          <w:sz w:val="20"/>
        </w:rPr>
        <w:t xml:space="preserve">were acquired </w:t>
      </w:r>
      <w:r w:rsidR="005D46AC" w:rsidRPr="00F97360">
        <w:rPr>
          <w:rFonts w:ascii="Arial" w:hAnsi="Arial" w:cs="Arial"/>
          <w:sz w:val="20"/>
        </w:rPr>
        <w:t>pursuant to</w:t>
      </w:r>
      <w:r w:rsidR="0088433A" w:rsidRPr="00F97360">
        <w:rPr>
          <w:rFonts w:ascii="Arial" w:hAnsi="Arial" w:cs="Arial"/>
          <w:sz w:val="20"/>
        </w:rPr>
        <w:t>, or remain subject to awards</w:t>
      </w:r>
      <w:r w:rsidR="005D46AC" w:rsidRPr="00F97360">
        <w:rPr>
          <w:rFonts w:ascii="Arial" w:hAnsi="Arial" w:cs="Arial"/>
          <w:sz w:val="20"/>
        </w:rPr>
        <w:t xml:space="preserve"> granted under</w:t>
      </w:r>
      <w:r w:rsidR="0088433A" w:rsidRPr="00F97360">
        <w:rPr>
          <w:rFonts w:ascii="Arial" w:hAnsi="Arial" w:cs="Arial"/>
          <w:sz w:val="20"/>
        </w:rPr>
        <w:t xml:space="preserve">, </w:t>
      </w:r>
      <w:r w:rsidR="005D46AC" w:rsidRPr="00F97360">
        <w:rPr>
          <w:rFonts w:ascii="Arial" w:hAnsi="Arial" w:cs="Arial"/>
          <w:sz w:val="20"/>
        </w:rPr>
        <w:t>the Plan or any other discretionary Employees’ Share Scheme</w:t>
      </w:r>
      <w:r w:rsidR="00881CFB" w:rsidRPr="00F97360">
        <w:rPr>
          <w:rFonts w:ascii="Arial" w:hAnsi="Arial" w:cs="Arial"/>
          <w:sz w:val="20"/>
        </w:rPr>
        <w:t>.</w:t>
      </w:r>
    </w:p>
    <w:p w14:paraId="56712D9F" w14:textId="646A979F" w:rsidR="007B4FB5" w:rsidRPr="00F97360" w:rsidRDefault="00D8597D" w:rsidP="007B4FB5">
      <w:pPr>
        <w:pStyle w:val="DefinedTermPara"/>
        <w:rPr>
          <w:rStyle w:val="DefTerm"/>
          <w:color w:val="auto"/>
          <w:sz w:val="20"/>
        </w:rPr>
      </w:pPr>
      <w:bookmarkStart w:id="26" w:name="a144438"/>
      <w:bookmarkEnd w:id="25"/>
      <w:r w:rsidRPr="00F97360">
        <w:rPr>
          <w:rStyle w:val="DefTerm"/>
          <w:color w:val="auto"/>
          <w:sz w:val="20"/>
        </w:rPr>
        <w:t>Dividend Equivalent</w:t>
      </w:r>
      <w:r w:rsidRPr="00F97360">
        <w:rPr>
          <w:rFonts w:ascii="Arial" w:hAnsi="Arial" w:cs="Arial"/>
          <w:sz w:val="20"/>
        </w:rPr>
        <w:t xml:space="preserve">: has the meaning set out in </w:t>
      </w:r>
      <w:r w:rsidRPr="00F97360">
        <w:rPr>
          <w:rFonts w:ascii="Arial" w:hAnsi="Arial" w:cs="Arial"/>
          <w:sz w:val="20"/>
        </w:rPr>
        <w:fldChar w:fldCharType="begin"/>
      </w:r>
      <w:r w:rsidRPr="00F97360">
        <w:rPr>
          <w:rFonts w:ascii="Arial" w:hAnsi="Arial" w:cs="Arial"/>
          <w:sz w:val="20"/>
        </w:rPr>
        <w:instrText>PAGEREF a62542\# "'rule '"  \h</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 xml:space="preserve">rule </w:t>
      </w:r>
      <w:r w:rsidRPr="00F97360">
        <w:rPr>
          <w:rFonts w:ascii="Arial" w:hAnsi="Arial" w:cs="Arial"/>
          <w:sz w:val="20"/>
        </w:rPr>
        <w:fldChar w:fldCharType="end"/>
      </w:r>
      <w:r w:rsidRPr="00F97360">
        <w:rPr>
          <w:rFonts w:ascii="Arial" w:hAnsi="Arial" w:cs="Arial"/>
          <w:sz w:val="20"/>
        </w:rPr>
        <w:fldChar w:fldCharType="begin"/>
      </w:r>
      <w:r w:rsidRPr="00F97360">
        <w:rPr>
          <w:rFonts w:ascii="Arial" w:hAnsi="Arial" w:cs="Arial"/>
          <w:sz w:val="20"/>
          <w:highlight w:val="lightGray"/>
        </w:rPr>
        <w:instrText>REF a62542 \h \w</w:instrText>
      </w:r>
      <w:r w:rsidR="0037270F"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highlight w:val="lightGray"/>
        </w:rPr>
        <w:t>5</w:t>
      </w:r>
      <w:r w:rsidRPr="00F97360">
        <w:rPr>
          <w:rFonts w:ascii="Arial" w:hAnsi="Arial" w:cs="Arial"/>
          <w:sz w:val="20"/>
        </w:rPr>
        <w:fldChar w:fldCharType="end"/>
      </w:r>
      <w:r w:rsidRPr="00F97360">
        <w:rPr>
          <w:rFonts w:ascii="Arial" w:hAnsi="Arial" w:cs="Arial"/>
          <w:sz w:val="20"/>
        </w:rPr>
        <w:t>.</w:t>
      </w:r>
      <w:bookmarkEnd w:id="26"/>
    </w:p>
    <w:p w14:paraId="56712DA0" w14:textId="1AA83880" w:rsidR="007B4FB5" w:rsidRPr="00F97360" w:rsidRDefault="00D8597D" w:rsidP="007B4FB5">
      <w:pPr>
        <w:pStyle w:val="DefinedTermPara"/>
        <w:rPr>
          <w:rFonts w:ascii="Arial" w:eastAsia="Arial" w:hAnsi="Arial" w:cs="Arial"/>
          <w:b/>
          <w:sz w:val="20"/>
        </w:rPr>
      </w:pPr>
      <w:bookmarkStart w:id="27" w:name="a931618"/>
      <w:r w:rsidRPr="00F97360">
        <w:rPr>
          <w:rStyle w:val="DefTerm"/>
          <w:color w:val="auto"/>
          <w:sz w:val="20"/>
        </w:rPr>
        <w:t>Employee</w:t>
      </w:r>
      <w:r w:rsidRPr="00F97360">
        <w:rPr>
          <w:rFonts w:ascii="Arial" w:hAnsi="Arial" w:cs="Arial"/>
          <w:sz w:val="20"/>
        </w:rPr>
        <w:t xml:space="preserve">: any individual who is an employee (including an </w:t>
      </w:r>
      <w:r w:rsidR="00A404F5" w:rsidRPr="00F97360">
        <w:rPr>
          <w:rFonts w:ascii="Arial" w:hAnsi="Arial" w:cs="Arial"/>
          <w:sz w:val="20"/>
        </w:rPr>
        <w:t>E</w:t>
      </w:r>
      <w:r w:rsidRPr="00F97360">
        <w:rPr>
          <w:rFonts w:ascii="Arial" w:hAnsi="Arial" w:cs="Arial"/>
          <w:sz w:val="20"/>
        </w:rPr>
        <w:t xml:space="preserve">xecutive </w:t>
      </w:r>
      <w:r w:rsidR="00A404F5" w:rsidRPr="00F97360">
        <w:rPr>
          <w:rFonts w:ascii="Arial" w:hAnsi="Arial" w:cs="Arial"/>
          <w:sz w:val="20"/>
        </w:rPr>
        <w:t>D</w:t>
      </w:r>
      <w:r w:rsidRPr="00F97360">
        <w:rPr>
          <w:rFonts w:ascii="Arial" w:hAnsi="Arial" w:cs="Arial"/>
          <w:sz w:val="20"/>
        </w:rPr>
        <w:t>irector) of a Group Company</w:t>
      </w:r>
      <w:bookmarkEnd w:id="27"/>
      <w:r w:rsidR="00B8145D" w:rsidRPr="00F97360">
        <w:rPr>
          <w:rFonts w:ascii="Arial" w:hAnsi="Arial" w:cs="Arial"/>
          <w:sz w:val="20"/>
        </w:rPr>
        <w:t>.</w:t>
      </w:r>
    </w:p>
    <w:p w14:paraId="56712DA1" w14:textId="77777777" w:rsidR="007B4FB5" w:rsidRPr="00F97360" w:rsidRDefault="00D8597D" w:rsidP="006D3077">
      <w:pPr>
        <w:pStyle w:val="DefinedTermPara"/>
        <w:rPr>
          <w:rFonts w:ascii="Arial" w:eastAsia="Arial" w:hAnsi="Arial" w:cs="Arial"/>
          <w:b/>
          <w:sz w:val="20"/>
        </w:rPr>
      </w:pPr>
      <w:bookmarkStart w:id="28" w:name="a876732"/>
      <w:r w:rsidRPr="00F97360">
        <w:rPr>
          <w:rStyle w:val="DefTerm"/>
          <w:color w:val="auto"/>
          <w:sz w:val="20"/>
        </w:rPr>
        <w:t>Employer Company</w:t>
      </w:r>
      <w:r w:rsidRPr="00F97360">
        <w:rPr>
          <w:rFonts w:ascii="Arial" w:hAnsi="Arial" w:cs="Arial"/>
          <w:sz w:val="20"/>
        </w:rPr>
        <w:t xml:space="preserve">: </w:t>
      </w:r>
      <w:proofErr w:type="gramStart"/>
      <w:r w:rsidRPr="00F97360">
        <w:rPr>
          <w:rFonts w:ascii="Arial" w:hAnsi="Arial" w:cs="Arial"/>
          <w:sz w:val="20"/>
        </w:rPr>
        <w:t>the</w:t>
      </w:r>
      <w:proofErr w:type="gramEnd"/>
      <w:r w:rsidRPr="00F97360">
        <w:rPr>
          <w:rFonts w:ascii="Arial" w:hAnsi="Arial" w:cs="Arial"/>
          <w:sz w:val="20"/>
        </w:rPr>
        <w:t xml:space="preserve"> Award Holder's employer</w:t>
      </w:r>
      <w:r w:rsidR="004B5D3E" w:rsidRPr="00F97360">
        <w:rPr>
          <w:rFonts w:ascii="Arial" w:hAnsi="Arial" w:cs="Arial"/>
          <w:sz w:val="20"/>
        </w:rPr>
        <w:t xml:space="preserve"> or</w:t>
      </w:r>
      <w:r w:rsidR="00E72045" w:rsidRPr="00F97360">
        <w:rPr>
          <w:rFonts w:ascii="Arial" w:hAnsi="Arial" w:cs="Arial"/>
          <w:sz w:val="20"/>
        </w:rPr>
        <w:t xml:space="preserve"> </w:t>
      </w:r>
      <w:r w:rsidRPr="00F97360">
        <w:rPr>
          <w:rFonts w:ascii="Arial" w:hAnsi="Arial" w:cs="Arial"/>
          <w:sz w:val="20"/>
        </w:rPr>
        <w:t>former employer.</w:t>
      </w:r>
      <w:bookmarkEnd w:id="28"/>
    </w:p>
    <w:p w14:paraId="56712DA3" w14:textId="36EC6C8B" w:rsidR="007B4FB5" w:rsidRPr="00F97360" w:rsidRDefault="00D8597D" w:rsidP="007B4FB5">
      <w:pPr>
        <w:pStyle w:val="DefinedTermPara"/>
        <w:rPr>
          <w:rStyle w:val="DefTerm"/>
          <w:color w:val="auto"/>
          <w:sz w:val="20"/>
        </w:rPr>
      </w:pPr>
      <w:bookmarkStart w:id="29" w:name="a428462"/>
      <w:r w:rsidRPr="00F97360">
        <w:rPr>
          <w:rStyle w:val="DefTerm"/>
          <w:color w:val="auto"/>
          <w:sz w:val="20"/>
        </w:rPr>
        <w:lastRenderedPageBreak/>
        <w:t>Employer NICs</w:t>
      </w:r>
      <w:r w:rsidRPr="00F97360">
        <w:rPr>
          <w:rFonts w:ascii="Arial" w:hAnsi="Arial" w:cs="Arial"/>
          <w:sz w:val="20"/>
        </w:rPr>
        <w:t xml:space="preserve">: any secondary class 1 (employer) NICs (or the equivalent in any jurisdiction) </w:t>
      </w:r>
      <w:bookmarkStart w:id="30" w:name="_Hlk102669286"/>
      <w:r w:rsidRPr="00F97360">
        <w:rPr>
          <w:rFonts w:ascii="Arial" w:hAnsi="Arial" w:cs="Arial"/>
          <w:sz w:val="20"/>
        </w:rPr>
        <w:t xml:space="preserve">that any </w:t>
      </w:r>
      <w:r w:rsidR="0088433A" w:rsidRPr="00F97360">
        <w:rPr>
          <w:rFonts w:ascii="Arial" w:hAnsi="Arial" w:cs="Arial"/>
          <w:sz w:val="20"/>
        </w:rPr>
        <w:t>Relevant</w:t>
      </w:r>
      <w:r w:rsidRPr="00F97360">
        <w:rPr>
          <w:rFonts w:ascii="Arial" w:hAnsi="Arial" w:cs="Arial"/>
          <w:sz w:val="20"/>
        </w:rPr>
        <w:t xml:space="preserve"> Company is liable to pay (or reasonably believes it is liable to pay) as a result of any Taxable Event (or which it would be liable to pay in the absence of an election referred to in</w:t>
      </w:r>
      <w:r w:rsidR="00292AA3" w:rsidRPr="00F97360">
        <w:rPr>
          <w:rFonts w:ascii="Arial" w:hAnsi="Arial" w:cs="Arial"/>
          <w:sz w:val="20"/>
        </w:rPr>
        <w:t xml:space="preserve"> </w:t>
      </w:r>
      <w:r w:rsidR="007B4FB5" w:rsidRPr="00F97360">
        <w:rPr>
          <w:rFonts w:ascii="Arial" w:hAnsi="Arial" w:cs="Arial"/>
          <w:sz w:val="20"/>
        </w:rPr>
        <w:fldChar w:fldCharType="begin"/>
      </w:r>
      <w:r w:rsidR="007B4FB5" w:rsidRPr="00F97360">
        <w:rPr>
          <w:rFonts w:ascii="Arial" w:hAnsi="Arial" w:cs="Arial"/>
          <w:sz w:val="20"/>
        </w:rPr>
        <w:instrText>PAGEREF a260250\# "'rule '"  \h</w:instrText>
      </w:r>
      <w:r w:rsidR="007B4FB5" w:rsidRPr="00F97360">
        <w:rPr>
          <w:rFonts w:ascii="Arial" w:hAnsi="Arial" w:cs="Arial"/>
          <w:sz w:val="20"/>
        </w:rPr>
      </w:r>
      <w:r w:rsidR="007B4FB5" w:rsidRPr="00F97360">
        <w:rPr>
          <w:rFonts w:ascii="Arial" w:hAnsi="Arial" w:cs="Arial"/>
          <w:sz w:val="20"/>
        </w:rPr>
        <w:fldChar w:fldCharType="separate"/>
      </w:r>
      <w:r w:rsidR="00710210" w:rsidRPr="00F97360">
        <w:rPr>
          <w:rFonts w:ascii="Arial" w:hAnsi="Arial" w:cs="Arial"/>
          <w:sz w:val="20"/>
        </w:rPr>
        <w:t xml:space="preserve">rule </w:t>
      </w:r>
      <w:r w:rsidR="007B4FB5" w:rsidRPr="00F97360">
        <w:rPr>
          <w:rFonts w:ascii="Arial" w:hAnsi="Arial" w:cs="Arial"/>
          <w:sz w:val="20"/>
        </w:rPr>
        <w:fldChar w:fldCharType="end"/>
      </w:r>
      <w:r w:rsidR="007B4FB5" w:rsidRPr="00F97360">
        <w:rPr>
          <w:rFonts w:ascii="Arial" w:hAnsi="Arial" w:cs="Arial"/>
          <w:sz w:val="20"/>
        </w:rPr>
        <w:fldChar w:fldCharType="begin"/>
      </w:r>
      <w:r w:rsidR="007B4FB5" w:rsidRPr="00F97360">
        <w:rPr>
          <w:rFonts w:ascii="Arial" w:hAnsi="Arial" w:cs="Arial"/>
          <w:sz w:val="20"/>
          <w:highlight w:val="lightGray"/>
        </w:rPr>
        <w:instrText>REF a260250 \h \w</w:instrText>
      </w:r>
      <w:r w:rsidR="0037270F" w:rsidRPr="00F97360">
        <w:rPr>
          <w:rFonts w:ascii="Arial" w:hAnsi="Arial" w:cs="Arial"/>
          <w:sz w:val="20"/>
        </w:rPr>
        <w:instrText xml:space="preserve"> \* MERGEFORMAT </w:instrText>
      </w:r>
      <w:r w:rsidR="007B4FB5" w:rsidRPr="00F97360">
        <w:rPr>
          <w:rFonts w:ascii="Arial" w:hAnsi="Arial" w:cs="Arial"/>
          <w:sz w:val="20"/>
        </w:rPr>
      </w:r>
      <w:r w:rsidR="007B4FB5" w:rsidRPr="00F97360">
        <w:rPr>
          <w:rFonts w:ascii="Arial" w:hAnsi="Arial" w:cs="Arial"/>
          <w:sz w:val="20"/>
        </w:rPr>
        <w:fldChar w:fldCharType="separate"/>
      </w:r>
      <w:r w:rsidR="00710210" w:rsidRPr="00F97360">
        <w:rPr>
          <w:rFonts w:ascii="Arial" w:hAnsi="Arial" w:cs="Arial"/>
          <w:sz w:val="20"/>
          <w:highlight w:val="lightGray"/>
        </w:rPr>
        <w:t>23.1(g)</w:t>
      </w:r>
      <w:r w:rsidR="007B4FB5" w:rsidRPr="00F97360">
        <w:rPr>
          <w:rFonts w:ascii="Arial" w:hAnsi="Arial" w:cs="Arial"/>
          <w:sz w:val="20"/>
        </w:rPr>
        <w:fldChar w:fldCharType="end"/>
      </w:r>
      <w:r w:rsidRPr="00F97360">
        <w:rPr>
          <w:rFonts w:ascii="Arial" w:hAnsi="Arial" w:cs="Arial"/>
          <w:sz w:val="20"/>
        </w:rPr>
        <w:t>) and which may be lawfully recovered from the Award Holder.</w:t>
      </w:r>
      <w:bookmarkEnd w:id="29"/>
      <w:bookmarkEnd w:id="30"/>
    </w:p>
    <w:p w14:paraId="56712DA5" w14:textId="77777777" w:rsidR="00124397" w:rsidRPr="00F97360" w:rsidRDefault="00D8597D" w:rsidP="00124397">
      <w:pPr>
        <w:pStyle w:val="DefinedTermPara"/>
        <w:rPr>
          <w:rFonts w:ascii="Arial" w:eastAsia="Arial" w:hAnsi="Arial" w:cs="Arial"/>
          <w:b/>
          <w:sz w:val="20"/>
        </w:rPr>
      </w:pPr>
      <w:bookmarkStart w:id="31" w:name="a158298"/>
      <w:bookmarkStart w:id="32" w:name="a127719"/>
      <w:r w:rsidRPr="00F97360">
        <w:rPr>
          <w:rStyle w:val="DefTerm"/>
          <w:color w:val="auto"/>
          <w:sz w:val="20"/>
        </w:rPr>
        <w:t>Employees' Share Scheme</w:t>
      </w:r>
      <w:r w:rsidRPr="00F97360">
        <w:rPr>
          <w:rFonts w:ascii="Arial" w:hAnsi="Arial" w:cs="Arial"/>
          <w:sz w:val="20"/>
        </w:rPr>
        <w:t>:</w:t>
      </w:r>
      <w:bookmarkEnd w:id="31"/>
      <w:r w:rsidRPr="00F97360">
        <w:rPr>
          <w:rFonts w:ascii="Arial" w:hAnsi="Arial" w:cs="Arial"/>
          <w:sz w:val="20"/>
        </w:rPr>
        <w:t xml:space="preserve"> has the meaning given to it by section 1166 of the Companies Act 2006.</w:t>
      </w:r>
    </w:p>
    <w:p w14:paraId="56712DA6" w14:textId="5347ADD7" w:rsidR="009353DF" w:rsidRPr="00F97360" w:rsidRDefault="00D8597D" w:rsidP="00B70F52">
      <w:pPr>
        <w:pStyle w:val="DefinedTermPara"/>
        <w:rPr>
          <w:rStyle w:val="DefTerm"/>
          <w:color w:val="auto"/>
          <w:sz w:val="20"/>
        </w:rPr>
      </w:pPr>
      <w:r w:rsidRPr="00F97360">
        <w:rPr>
          <w:rStyle w:val="DefTerm"/>
          <w:color w:val="auto"/>
          <w:sz w:val="20"/>
        </w:rPr>
        <w:t>Executive Director</w:t>
      </w:r>
      <w:r w:rsidRPr="00F97360">
        <w:rPr>
          <w:rStyle w:val="DefTerm"/>
          <w:b w:val="0"/>
          <w:color w:val="auto"/>
          <w:sz w:val="20"/>
        </w:rPr>
        <w:t xml:space="preserve">: </w:t>
      </w:r>
      <w:r w:rsidR="00D171AC" w:rsidRPr="00F97360">
        <w:rPr>
          <w:rStyle w:val="DefTerm"/>
          <w:b w:val="0"/>
          <w:color w:val="auto"/>
          <w:sz w:val="20"/>
        </w:rPr>
        <w:t xml:space="preserve">(a) </w:t>
      </w:r>
      <w:r w:rsidRPr="00F97360">
        <w:rPr>
          <w:rStyle w:val="DefTerm"/>
          <w:b w:val="0"/>
          <w:color w:val="auto"/>
          <w:sz w:val="20"/>
        </w:rPr>
        <w:t xml:space="preserve">a director of the Company </w:t>
      </w:r>
      <w:r w:rsidR="00EF1B9A" w:rsidRPr="00F97360">
        <w:rPr>
          <w:rStyle w:val="DefTerm"/>
          <w:b w:val="0"/>
          <w:color w:val="auto"/>
          <w:sz w:val="20"/>
        </w:rPr>
        <w:t xml:space="preserve">who is </w:t>
      </w:r>
      <w:r w:rsidR="00D171AC" w:rsidRPr="00F97360">
        <w:rPr>
          <w:rStyle w:val="DefTerm"/>
          <w:b w:val="0"/>
          <w:color w:val="auto"/>
          <w:sz w:val="20"/>
        </w:rPr>
        <w:t xml:space="preserve">a member of the </w:t>
      </w:r>
      <w:r w:rsidR="0049460F" w:rsidRPr="00F97360">
        <w:rPr>
          <w:rStyle w:val="DefTerm"/>
          <w:b w:val="0"/>
          <w:color w:val="auto"/>
          <w:sz w:val="20"/>
        </w:rPr>
        <w:t>B</w:t>
      </w:r>
      <w:r w:rsidR="00387CF0" w:rsidRPr="00F97360">
        <w:rPr>
          <w:rStyle w:val="DefTerm"/>
          <w:b w:val="0"/>
          <w:color w:val="auto"/>
          <w:sz w:val="20"/>
        </w:rPr>
        <w:t xml:space="preserve">oard </w:t>
      </w:r>
      <w:r w:rsidR="00EF1B9A" w:rsidRPr="00F97360">
        <w:rPr>
          <w:rStyle w:val="DefTerm"/>
          <w:b w:val="0"/>
          <w:color w:val="auto"/>
          <w:sz w:val="20"/>
        </w:rPr>
        <w:t xml:space="preserve">but </w:t>
      </w:r>
      <w:r w:rsidRPr="00F97360">
        <w:rPr>
          <w:rStyle w:val="DefTerm"/>
          <w:b w:val="0"/>
          <w:color w:val="auto"/>
          <w:sz w:val="20"/>
        </w:rPr>
        <w:t xml:space="preserve">is not </w:t>
      </w:r>
      <w:r w:rsidR="005A4906" w:rsidRPr="00F97360">
        <w:rPr>
          <w:rStyle w:val="DefTerm"/>
          <w:b w:val="0"/>
          <w:color w:val="auto"/>
          <w:sz w:val="20"/>
        </w:rPr>
        <w:t>a</w:t>
      </w:r>
      <w:r w:rsidRPr="00F97360">
        <w:rPr>
          <w:rStyle w:val="DefTerm"/>
          <w:b w:val="0"/>
          <w:color w:val="auto"/>
          <w:sz w:val="20"/>
        </w:rPr>
        <w:t xml:space="preserve"> </w:t>
      </w:r>
      <w:r w:rsidR="0099613A" w:rsidRPr="00F97360">
        <w:rPr>
          <w:rStyle w:val="DefTerm"/>
          <w:b w:val="0"/>
          <w:color w:val="auto"/>
          <w:sz w:val="20"/>
        </w:rPr>
        <w:t>n</w:t>
      </w:r>
      <w:r w:rsidRPr="00F97360">
        <w:rPr>
          <w:rStyle w:val="DefTerm"/>
          <w:b w:val="0"/>
          <w:color w:val="auto"/>
          <w:sz w:val="20"/>
        </w:rPr>
        <w:t>on-</w:t>
      </w:r>
      <w:r w:rsidR="0099613A" w:rsidRPr="00F97360">
        <w:rPr>
          <w:rStyle w:val="DefTerm"/>
          <w:b w:val="0"/>
          <w:color w:val="auto"/>
          <w:sz w:val="20"/>
        </w:rPr>
        <w:t>e</w:t>
      </w:r>
      <w:r w:rsidRPr="00F97360">
        <w:rPr>
          <w:rStyle w:val="DefTerm"/>
          <w:b w:val="0"/>
          <w:color w:val="auto"/>
          <w:sz w:val="20"/>
        </w:rPr>
        <w:t xml:space="preserve">xecutive </w:t>
      </w:r>
      <w:r w:rsidR="0099613A" w:rsidRPr="00F97360">
        <w:rPr>
          <w:rStyle w:val="DefTerm"/>
          <w:b w:val="0"/>
          <w:color w:val="auto"/>
          <w:sz w:val="20"/>
        </w:rPr>
        <w:t>d</w:t>
      </w:r>
      <w:r w:rsidRPr="00F97360">
        <w:rPr>
          <w:rStyle w:val="DefTerm"/>
          <w:b w:val="0"/>
          <w:color w:val="auto"/>
          <w:sz w:val="20"/>
        </w:rPr>
        <w:t>irector</w:t>
      </w:r>
      <w:r w:rsidR="00CF2BBD" w:rsidRPr="00F97360">
        <w:rPr>
          <w:rStyle w:val="DefTerm"/>
          <w:b w:val="0"/>
          <w:color w:val="auto"/>
          <w:sz w:val="20"/>
        </w:rPr>
        <w:t xml:space="preserve">, </w:t>
      </w:r>
      <w:r w:rsidR="002B07C5" w:rsidRPr="00F97360">
        <w:rPr>
          <w:rStyle w:val="DefTerm"/>
          <w:b w:val="0"/>
          <w:color w:val="auto"/>
          <w:sz w:val="20"/>
        </w:rPr>
        <w:t>and</w:t>
      </w:r>
      <w:r w:rsidR="00C52B34" w:rsidRPr="00F97360">
        <w:rPr>
          <w:rStyle w:val="DefTerm"/>
          <w:b w:val="0"/>
          <w:color w:val="auto"/>
          <w:sz w:val="20"/>
        </w:rPr>
        <w:t xml:space="preserve"> (b)</w:t>
      </w:r>
      <w:r w:rsidR="00CF2BBD" w:rsidRPr="00F97360">
        <w:rPr>
          <w:rStyle w:val="DefTerm"/>
          <w:b w:val="0"/>
          <w:color w:val="auto"/>
          <w:sz w:val="20"/>
        </w:rPr>
        <w:t xml:space="preserve"> where </w:t>
      </w:r>
      <w:r w:rsidR="001C3F66" w:rsidRPr="00F97360">
        <w:rPr>
          <w:rStyle w:val="DefTerm"/>
          <w:b w:val="0"/>
          <w:color w:val="auto"/>
          <w:sz w:val="20"/>
        </w:rPr>
        <w:t>applicable</w:t>
      </w:r>
      <w:r w:rsidR="00D36F93" w:rsidRPr="00F97360">
        <w:rPr>
          <w:rStyle w:val="DefTerm"/>
          <w:b w:val="0"/>
          <w:color w:val="auto"/>
          <w:sz w:val="20"/>
        </w:rPr>
        <w:t>,</w:t>
      </w:r>
      <w:r w:rsidR="00CF2BBD" w:rsidRPr="00F97360">
        <w:rPr>
          <w:rStyle w:val="DefTerm"/>
          <w:b w:val="0"/>
          <w:color w:val="auto"/>
          <w:sz w:val="20"/>
        </w:rPr>
        <w:t xml:space="preserve"> </w:t>
      </w:r>
      <w:r w:rsidRPr="00F97360">
        <w:rPr>
          <w:rStyle w:val="DefTerm"/>
          <w:b w:val="0"/>
          <w:color w:val="auto"/>
          <w:sz w:val="20"/>
        </w:rPr>
        <w:t>a person who is not a director of the Company but who is (</w:t>
      </w:r>
      <w:proofErr w:type="spellStart"/>
      <w:r w:rsidRPr="00F97360">
        <w:rPr>
          <w:rStyle w:val="DefTerm"/>
          <w:b w:val="0"/>
          <w:color w:val="auto"/>
          <w:sz w:val="20"/>
        </w:rPr>
        <w:t>i</w:t>
      </w:r>
      <w:proofErr w:type="spellEnd"/>
      <w:r w:rsidRPr="00F97360">
        <w:rPr>
          <w:rStyle w:val="DefTerm"/>
          <w:b w:val="0"/>
          <w:color w:val="auto"/>
          <w:sz w:val="20"/>
        </w:rPr>
        <w:t>) its chief executive officer, or (</w:t>
      </w:r>
      <w:r w:rsidR="002E5592" w:rsidRPr="00F97360">
        <w:rPr>
          <w:rStyle w:val="DefTerm"/>
          <w:b w:val="0"/>
          <w:color w:val="auto"/>
          <w:sz w:val="20"/>
        </w:rPr>
        <w:t>ii</w:t>
      </w:r>
      <w:r w:rsidRPr="00F97360">
        <w:rPr>
          <w:rStyle w:val="DefTerm"/>
          <w:b w:val="0"/>
          <w:color w:val="auto"/>
          <w:sz w:val="20"/>
        </w:rPr>
        <w:t>) where such a function exists in the Company, its deputy chief executive officer (</w:t>
      </w:r>
      <w:r w:rsidR="00103D4F" w:rsidRPr="00F97360">
        <w:rPr>
          <w:rStyle w:val="DefTerm"/>
          <w:b w:val="0"/>
          <w:color w:val="auto"/>
          <w:sz w:val="20"/>
        </w:rPr>
        <w:t xml:space="preserve">in each case, </w:t>
      </w:r>
      <w:r w:rsidRPr="00F97360">
        <w:rPr>
          <w:rStyle w:val="DefTerm"/>
          <w:b w:val="0"/>
          <w:color w:val="auto"/>
          <w:sz w:val="20"/>
        </w:rPr>
        <w:t>however described).</w:t>
      </w:r>
    </w:p>
    <w:p w14:paraId="56712DA7" w14:textId="7D16B088" w:rsidR="007B4FB5" w:rsidRPr="00F97360" w:rsidRDefault="00D8597D" w:rsidP="007B4FB5">
      <w:pPr>
        <w:pStyle w:val="DefinedTermPara"/>
        <w:rPr>
          <w:rStyle w:val="DefTerm"/>
          <w:color w:val="auto"/>
          <w:sz w:val="20"/>
        </w:rPr>
      </w:pPr>
      <w:r w:rsidRPr="00F97360">
        <w:rPr>
          <w:rStyle w:val="DefTerm"/>
          <w:color w:val="auto"/>
          <w:sz w:val="20"/>
        </w:rPr>
        <w:t>Exercise Date</w:t>
      </w:r>
      <w:r w:rsidRPr="00F97360">
        <w:rPr>
          <w:rFonts w:ascii="Arial" w:hAnsi="Arial" w:cs="Arial"/>
          <w:sz w:val="20"/>
        </w:rPr>
        <w:t>: in relation to an Option, the date on which it is</w:t>
      </w:r>
      <w:r w:rsidR="00390736" w:rsidRPr="00F97360">
        <w:rPr>
          <w:rFonts w:ascii="Arial" w:hAnsi="Arial" w:cs="Arial"/>
          <w:sz w:val="20"/>
        </w:rPr>
        <w:t xml:space="preserve"> validly</w:t>
      </w:r>
      <w:r w:rsidRPr="00F97360">
        <w:rPr>
          <w:rFonts w:ascii="Arial" w:hAnsi="Arial" w:cs="Arial"/>
          <w:sz w:val="20"/>
        </w:rPr>
        <w:t xml:space="preserve"> exercised.</w:t>
      </w:r>
      <w:bookmarkEnd w:id="32"/>
    </w:p>
    <w:p w14:paraId="56712DA8" w14:textId="50834A8D" w:rsidR="007B4FB5" w:rsidRPr="00F97360" w:rsidRDefault="00D8597D" w:rsidP="007B4FB5">
      <w:pPr>
        <w:pStyle w:val="DefinedTermPara"/>
        <w:rPr>
          <w:rStyle w:val="DefTerm"/>
          <w:color w:val="auto"/>
          <w:sz w:val="20"/>
        </w:rPr>
      </w:pPr>
      <w:bookmarkStart w:id="33" w:name="a401428"/>
      <w:r w:rsidRPr="00F97360">
        <w:rPr>
          <w:rStyle w:val="DefTerm"/>
          <w:color w:val="auto"/>
          <w:sz w:val="20"/>
        </w:rPr>
        <w:t>Exercise Notice</w:t>
      </w:r>
      <w:r w:rsidRPr="00F97360">
        <w:rPr>
          <w:rFonts w:ascii="Arial" w:hAnsi="Arial" w:cs="Arial"/>
          <w:sz w:val="20"/>
        </w:rPr>
        <w:t xml:space="preserve">: </w:t>
      </w:r>
      <w:r w:rsidR="00707AD5" w:rsidRPr="00F97360">
        <w:rPr>
          <w:rFonts w:ascii="Arial" w:hAnsi="Arial" w:cs="Arial"/>
          <w:sz w:val="20"/>
        </w:rPr>
        <w:t xml:space="preserve">a document in the form </w:t>
      </w:r>
      <w:r w:rsidR="002633D5" w:rsidRPr="00F97360">
        <w:rPr>
          <w:rFonts w:ascii="Arial" w:hAnsi="Arial" w:cs="Arial"/>
          <w:sz w:val="20"/>
        </w:rPr>
        <w:t xml:space="preserve">prescribed by the </w:t>
      </w:r>
      <w:r w:rsidR="00B00B6F" w:rsidRPr="00F97360">
        <w:rPr>
          <w:rFonts w:ascii="Arial" w:hAnsi="Arial" w:cs="Arial"/>
          <w:sz w:val="20"/>
        </w:rPr>
        <w:t>Remuneration Committee</w:t>
      </w:r>
      <w:r w:rsidR="002633D5" w:rsidRPr="00F97360">
        <w:rPr>
          <w:rFonts w:ascii="Arial" w:hAnsi="Arial" w:cs="Arial"/>
          <w:sz w:val="20"/>
        </w:rPr>
        <w:t xml:space="preserve"> from time to time</w:t>
      </w:r>
      <w:r w:rsidR="00707AD5" w:rsidRPr="00F97360">
        <w:rPr>
          <w:rFonts w:ascii="Arial" w:hAnsi="Arial" w:cs="Arial"/>
          <w:sz w:val="20"/>
        </w:rPr>
        <w:t xml:space="preserve"> </w:t>
      </w:r>
      <w:r w:rsidRPr="00F97360">
        <w:rPr>
          <w:rFonts w:ascii="Arial" w:hAnsi="Arial" w:cs="Arial"/>
          <w:sz w:val="20"/>
        </w:rPr>
        <w:t xml:space="preserve">that the Award Holder must </w:t>
      </w:r>
      <w:r w:rsidR="000D3A4B" w:rsidRPr="00F97360">
        <w:rPr>
          <w:rFonts w:ascii="Arial" w:hAnsi="Arial" w:cs="Arial"/>
          <w:sz w:val="20"/>
        </w:rPr>
        <w:t xml:space="preserve">complete and </w:t>
      </w:r>
      <w:r w:rsidRPr="00F97360">
        <w:rPr>
          <w:rFonts w:ascii="Arial" w:hAnsi="Arial" w:cs="Arial"/>
          <w:sz w:val="20"/>
        </w:rPr>
        <w:t xml:space="preserve">return </w:t>
      </w:r>
      <w:r w:rsidR="000D3A4B" w:rsidRPr="00F97360">
        <w:rPr>
          <w:rFonts w:ascii="Arial" w:hAnsi="Arial" w:cs="Arial"/>
          <w:sz w:val="20"/>
        </w:rPr>
        <w:t xml:space="preserve">(together with any other documents or payments required under the Plan) to the Company </w:t>
      </w:r>
      <w:proofErr w:type="gramStart"/>
      <w:r w:rsidRPr="00F97360">
        <w:rPr>
          <w:rFonts w:ascii="Arial" w:hAnsi="Arial" w:cs="Arial"/>
          <w:sz w:val="20"/>
        </w:rPr>
        <w:t>in order to</w:t>
      </w:r>
      <w:proofErr w:type="gramEnd"/>
      <w:r w:rsidRPr="00F97360">
        <w:rPr>
          <w:rFonts w:ascii="Arial" w:hAnsi="Arial" w:cs="Arial"/>
          <w:sz w:val="20"/>
        </w:rPr>
        <w:t xml:space="preserve"> exercise an Option.</w:t>
      </w:r>
      <w:bookmarkEnd w:id="33"/>
    </w:p>
    <w:p w14:paraId="4E7D193B" w14:textId="0F92C850" w:rsidR="007B4FB5" w:rsidRPr="00F97360" w:rsidRDefault="007B4FB5" w:rsidP="007B4FB5">
      <w:pPr>
        <w:pStyle w:val="DefinedTermPara"/>
        <w:rPr>
          <w:rFonts w:ascii="Arial" w:hAnsi="Arial" w:cs="Arial"/>
          <w:sz w:val="20"/>
        </w:rPr>
      </w:pPr>
      <w:bookmarkStart w:id="34" w:name="a286297"/>
      <w:r w:rsidRPr="00F97360">
        <w:rPr>
          <w:rStyle w:val="DefTerm"/>
          <w:color w:val="auto"/>
          <w:sz w:val="20"/>
        </w:rPr>
        <w:t>Existing Award</w:t>
      </w:r>
      <w:r w:rsidRPr="00F97360">
        <w:rPr>
          <w:rFonts w:ascii="Arial" w:hAnsi="Arial" w:cs="Arial"/>
          <w:sz w:val="20"/>
        </w:rPr>
        <w:t xml:space="preserve">: an option or any other right or award under which shares in the Company may be acquired or received, granted under any </w:t>
      </w:r>
      <w:r w:rsidR="00124397" w:rsidRPr="00F97360">
        <w:rPr>
          <w:rFonts w:ascii="Arial" w:hAnsi="Arial" w:cs="Arial"/>
          <w:sz w:val="20"/>
        </w:rPr>
        <w:t>Employees’ Share Scheme</w:t>
      </w:r>
      <w:r w:rsidRPr="00F97360">
        <w:rPr>
          <w:rFonts w:ascii="Arial" w:hAnsi="Arial" w:cs="Arial"/>
          <w:sz w:val="20"/>
        </w:rPr>
        <w:t xml:space="preserve"> (including the Plan)</w:t>
      </w:r>
      <w:r w:rsidR="00B962C0" w:rsidRPr="00F97360">
        <w:rPr>
          <w:rFonts w:ascii="Arial" w:hAnsi="Arial" w:cs="Arial"/>
          <w:sz w:val="20"/>
        </w:rPr>
        <w:t xml:space="preserve"> after the</w:t>
      </w:r>
      <w:r w:rsidR="00A176BC" w:rsidRPr="00F97360">
        <w:rPr>
          <w:rFonts w:ascii="Arial" w:hAnsi="Arial" w:cs="Arial"/>
          <w:sz w:val="20"/>
        </w:rPr>
        <w:t xml:space="preserve"> </w:t>
      </w:r>
      <w:r w:rsidR="00991250" w:rsidRPr="00F97360">
        <w:rPr>
          <w:rFonts w:ascii="Arial" w:hAnsi="Arial" w:cs="Arial"/>
          <w:sz w:val="20"/>
        </w:rPr>
        <w:t>S</w:t>
      </w:r>
      <w:r w:rsidR="00A176BC" w:rsidRPr="00F97360">
        <w:rPr>
          <w:rFonts w:ascii="Arial" w:hAnsi="Arial" w:cs="Arial"/>
          <w:sz w:val="20"/>
        </w:rPr>
        <w:t xml:space="preserve">hares were first admitted to </w:t>
      </w:r>
      <w:r w:rsidR="00985063" w:rsidRPr="00F97360">
        <w:rPr>
          <w:rFonts w:ascii="Arial" w:hAnsi="Arial" w:cs="Arial"/>
          <w:sz w:val="20"/>
        </w:rPr>
        <w:t>the Official List</w:t>
      </w:r>
      <w:r w:rsidRPr="00F97360">
        <w:rPr>
          <w:rFonts w:ascii="Arial" w:hAnsi="Arial" w:cs="Arial"/>
          <w:sz w:val="20"/>
        </w:rPr>
        <w:t>.</w:t>
      </w:r>
      <w:bookmarkEnd w:id="34"/>
    </w:p>
    <w:p w14:paraId="56712DAA" w14:textId="77777777" w:rsidR="000C405B" w:rsidRPr="00F97360" w:rsidRDefault="00D8597D" w:rsidP="001B21E5">
      <w:pPr>
        <w:pStyle w:val="DefinedTermPara"/>
        <w:rPr>
          <w:rFonts w:ascii="Arial" w:hAnsi="Arial" w:cs="Arial"/>
          <w:sz w:val="20"/>
        </w:rPr>
      </w:pPr>
      <w:r w:rsidRPr="00F97360">
        <w:rPr>
          <w:rStyle w:val="DefTerm"/>
          <w:color w:val="auto"/>
          <w:sz w:val="20"/>
        </w:rPr>
        <w:t>Good Leaver</w:t>
      </w:r>
      <w:r w:rsidRPr="00F97360">
        <w:rPr>
          <w:rStyle w:val="DefTerm"/>
          <w:b w:val="0"/>
          <w:bCs/>
          <w:color w:val="auto"/>
          <w:sz w:val="20"/>
        </w:rPr>
        <w:t xml:space="preserve">: </w:t>
      </w:r>
      <w:r w:rsidR="00AA32FF" w:rsidRPr="00F97360">
        <w:rPr>
          <w:rStyle w:val="DefTerm"/>
          <w:b w:val="0"/>
          <w:bCs/>
          <w:color w:val="auto"/>
          <w:sz w:val="20"/>
        </w:rPr>
        <w:t>an Award Holder</w:t>
      </w:r>
      <w:r w:rsidRPr="00F97360">
        <w:rPr>
          <w:rStyle w:val="DefTerm"/>
          <w:b w:val="0"/>
          <w:bCs/>
          <w:color w:val="auto"/>
          <w:sz w:val="20"/>
        </w:rPr>
        <w:t xml:space="preserve"> who </w:t>
      </w:r>
      <w:bookmarkStart w:id="35" w:name="a665049"/>
      <w:r w:rsidRPr="00F97360">
        <w:rPr>
          <w:rFonts w:ascii="Arial" w:hAnsi="Arial" w:cs="Arial"/>
          <w:sz w:val="20"/>
        </w:rPr>
        <w:t>ceases to be an Employee due to any of the following reasons:</w:t>
      </w:r>
    </w:p>
    <w:p w14:paraId="56712DAB" w14:textId="77777777" w:rsidR="007E62A2" w:rsidRPr="00F97360" w:rsidRDefault="00D8597D" w:rsidP="00FB7B41">
      <w:pPr>
        <w:pStyle w:val="DefinedTermNumber"/>
        <w:rPr>
          <w:rFonts w:ascii="Arial" w:hAnsi="Arial" w:cs="Arial"/>
          <w:sz w:val="20"/>
        </w:rPr>
      </w:pPr>
      <w:bookmarkStart w:id="36" w:name="a812437"/>
      <w:proofErr w:type="gramStart"/>
      <w:r w:rsidRPr="00F97360">
        <w:rPr>
          <w:rFonts w:ascii="Arial" w:hAnsi="Arial" w:cs="Arial"/>
          <w:sz w:val="20"/>
        </w:rPr>
        <w:t>death;</w:t>
      </w:r>
      <w:proofErr w:type="gramEnd"/>
    </w:p>
    <w:p w14:paraId="56712DAC" w14:textId="4FBFC404" w:rsidR="000C405B" w:rsidRPr="00F97360" w:rsidRDefault="000C405B" w:rsidP="00D04464">
      <w:pPr>
        <w:pStyle w:val="DefinedTermNumber"/>
        <w:ind w:left="2160" w:hanging="606"/>
        <w:rPr>
          <w:rFonts w:ascii="Arial" w:hAnsi="Arial" w:cs="Arial"/>
          <w:sz w:val="20"/>
        </w:rPr>
      </w:pPr>
      <w:r w:rsidRPr="00F97360">
        <w:rPr>
          <w:rFonts w:ascii="Arial" w:hAnsi="Arial" w:cs="Arial"/>
          <w:sz w:val="20"/>
        </w:rPr>
        <w:t>ill health</w:t>
      </w:r>
      <w:bookmarkStart w:id="37" w:name="a211311"/>
      <w:bookmarkEnd w:id="36"/>
      <w:r w:rsidR="00C50D83" w:rsidRPr="00F97360">
        <w:rPr>
          <w:rFonts w:ascii="Arial" w:hAnsi="Arial" w:cs="Arial"/>
          <w:sz w:val="20"/>
        </w:rPr>
        <w:t xml:space="preserve">, injury </w:t>
      </w:r>
      <w:r w:rsidR="00D8597D" w:rsidRPr="00F97360">
        <w:rPr>
          <w:rFonts w:ascii="Arial" w:hAnsi="Arial" w:cs="Arial"/>
          <w:sz w:val="20"/>
        </w:rPr>
        <w:t>or</w:t>
      </w:r>
      <w:bookmarkStart w:id="38" w:name="a991047"/>
      <w:bookmarkEnd w:id="37"/>
      <w:r w:rsidR="00D8597D" w:rsidRPr="00F97360">
        <w:rPr>
          <w:rFonts w:ascii="Arial" w:hAnsi="Arial" w:cs="Arial"/>
          <w:sz w:val="20"/>
        </w:rPr>
        <w:t xml:space="preserve"> disability (in each case evidenced to the satisfaction of the </w:t>
      </w:r>
      <w:r w:rsidR="00623047" w:rsidRPr="00F97360">
        <w:rPr>
          <w:rFonts w:ascii="Arial" w:hAnsi="Arial" w:cs="Arial"/>
          <w:sz w:val="20"/>
        </w:rPr>
        <w:t>Remuneration Committee</w:t>
      </w:r>
      <w:proofErr w:type="gramStart"/>
      <w:r w:rsidR="00D8597D" w:rsidRPr="00F97360">
        <w:rPr>
          <w:rFonts w:ascii="Arial" w:hAnsi="Arial" w:cs="Arial"/>
          <w:sz w:val="20"/>
        </w:rPr>
        <w:t>);</w:t>
      </w:r>
      <w:bookmarkEnd w:id="38"/>
      <w:proofErr w:type="gramEnd"/>
    </w:p>
    <w:p w14:paraId="56712DAF" w14:textId="77777777" w:rsidR="000C405B" w:rsidRPr="00F97360" w:rsidRDefault="00D8597D" w:rsidP="00FB7B41">
      <w:pPr>
        <w:pStyle w:val="DefinedTermNumber"/>
        <w:rPr>
          <w:rFonts w:ascii="Arial" w:hAnsi="Arial" w:cs="Arial"/>
          <w:sz w:val="20"/>
        </w:rPr>
      </w:pPr>
      <w:bookmarkStart w:id="39" w:name="a757512"/>
      <w:r w:rsidRPr="00F97360">
        <w:rPr>
          <w:rFonts w:ascii="Arial" w:hAnsi="Arial" w:cs="Arial"/>
          <w:sz w:val="20"/>
        </w:rPr>
        <w:t>the</w:t>
      </w:r>
      <w:r w:rsidR="00AF7636" w:rsidRPr="00F97360">
        <w:rPr>
          <w:rFonts w:ascii="Arial" w:hAnsi="Arial" w:cs="Arial"/>
          <w:sz w:val="20"/>
        </w:rPr>
        <w:t>ir</w:t>
      </w:r>
      <w:r w:rsidRPr="00F97360">
        <w:rPr>
          <w:rFonts w:ascii="Arial" w:hAnsi="Arial" w:cs="Arial"/>
          <w:sz w:val="20"/>
        </w:rPr>
        <w:t xml:space="preserve"> Employer Company ceasing to be a Group Company</w:t>
      </w:r>
      <w:r w:rsidR="00AF7636" w:rsidRPr="00F97360">
        <w:rPr>
          <w:rFonts w:ascii="Arial" w:hAnsi="Arial" w:cs="Arial"/>
          <w:sz w:val="20"/>
        </w:rPr>
        <w:t>,</w:t>
      </w:r>
      <w:r w:rsidRPr="00F97360">
        <w:rPr>
          <w:rFonts w:ascii="Arial" w:hAnsi="Arial" w:cs="Arial"/>
          <w:sz w:val="20"/>
        </w:rPr>
        <w:t xml:space="preserve"> or</w:t>
      </w:r>
      <w:r w:rsidRPr="00F97360">
        <w:rPr>
          <w:rFonts w:ascii="Arial" w:hAnsi="Arial" w:cs="Arial"/>
          <w:sz w:val="20"/>
        </w:rPr>
        <w:fldChar w:fldCharType="begin"/>
      </w:r>
      <w:r w:rsidRPr="00F97360">
        <w:rPr>
          <w:rFonts w:ascii="Arial" w:hAnsi="Arial" w:cs="Arial"/>
          <w:sz w:val="20"/>
        </w:rPr>
        <w:fldChar w:fldCharType="end"/>
      </w:r>
      <w:bookmarkEnd w:id="39"/>
    </w:p>
    <w:p w14:paraId="56712DB0" w14:textId="5B52AA73" w:rsidR="007F7243" w:rsidRPr="00F97360" w:rsidRDefault="00D8597D" w:rsidP="00D02C1F">
      <w:pPr>
        <w:pStyle w:val="DefinedTermNumber"/>
        <w:rPr>
          <w:rFonts w:ascii="Arial" w:hAnsi="Arial" w:cs="Arial"/>
          <w:sz w:val="20"/>
        </w:rPr>
      </w:pPr>
      <w:bookmarkStart w:id="40" w:name="a1024545"/>
      <w:r w:rsidRPr="00F97360">
        <w:rPr>
          <w:rFonts w:ascii="Arial" w:hAnsi="Arial" w:cs="Arial"/>
          <w:sz w:val="20"/>
        </w:rPr>
        <w:t xml:space="preserve">the transfer of the business that employs the Award Holder to a person that </w:t>
      </w:r>
      <w:r w:rsidR="006875FE" w:rsidRPr="00F97360">
        <w:rPr>
          <w:rFonts w:ascii="Arial" w:hAnsi="Arial" w:cs="Arial"/>
          <w:sz w:val="20"/>
        </w:rPr>
        <w:tab/>
      </w:r>
      <w:r w:rsidRPr="00F97360">
        <w:rPr>
          <w:rFonts w:ascii="Arial" w:hAnsi="Arial" w:cs="Arial"/>
          <w:sz w:val="20"/>
        </w:rPr>
        <w:t>is not a Group Company,</w:t>
      </w:r>
    </w:p>
    <w:p w14:paraId="56712DB1" w14:textId="56D9AD45" w:rsidR="000C405B" w:rsidRPr="00F97360" w:rsidRDefault="000F7E4D" w:rsidP="000F7E4D">
      <w:pPr>
        <w:pStyle w:val="DefinedTermPara"/>
        <w:numPr>
          <w:ilvl w:val="0"/>
          <w:numId w:val="0"/>
        </w:numPr>
        <w:ind w:left="720"/>
        <w:rPr>
          <w:rFonts w:ascii="Arial" w:hAnsi="Arial" w:cs="Arial"/>
          <w:sz w:val="20"/>
        </w:rPr>
      </w:pPr>
      <w:r w:rsidRPr="00F97360">
        <w:rPr>
          <w:rFonts w:ascii="Arial" w:hAnsi="Arial" w:cs="Arial"/>
          <w:sz w:val="20"/>
        </w:rPr>
        <w:t xml:space="preserve">or </w:t>
      </w:r>
      <w:r w:rsidR="00121AD7" w:rsidRPr="00F97360">
        <w:rPr>
          <w:rFonts w:ascii="Arial" w:hAnsi="Arial" w:cs="Arial"/>
          <w:sz w:val="20"/>
        </w:rPr>
        <w:t xml:space="preserve">for any other reason at the Remuneration Committee’s discretion </w:t>
      </w:r>
      <w:r w:rsidR="006875FE" w:rsidRPr="00F97360">
        <w:rPr>
          <w:rFonts w:ascii="Arial" w:hAnsi="Arial" w:cs="Arial"/>
          <w:sz w:val="20"/>
        </w:rPr>
        <w:t>(except where a</w:t>
      </w:r>
      <w:r w:rsidR="002E361E" w:rsidRPr="00F97360">
        <w:rPr>
          <w:rFonts w:ascii="Arial" w:hAnsi="Arial" w:cs="Arial"/>
          <w:sz w:val="20"/>
        </w:rPr>
        <w:t xml:space="preserve">n Award Holder </w:t>
      </w:r>
      <w:r w:rsidR="006875FE" w:rsidRPr="00F97360">
        <w:rPr>
          <w:rFonts w:ascii="Arial" w:hAnsi="Arial" w:cs="Arial"/>
          <w:sz w:val="20"/>
        </w:rPr>
        <w:t>is summarily dismissed)</w:t>
      </w:r>
      <w:r w:rsidR="00D8597D" w:rsidRPr="00F97360">
        <w:rPr>
          <w:rFonts w:ascii="Arial" w:hAnsi="Arial" w:cs="Arial"/>
          <w:sz w:val="20"/>
        </w:rPr>
        <w:t>.</w:t>
      </w:r>
      <w:r w:rsidR="00D8597D" w:rsidRPr="00F97360">
        <w:rPr>
          <w:rFonts w:ascii="Arial" w:hAnsi="Arial" w:cs="Arial"/>
          <w:sz w:val="20"/>
        </w:rPr>
        <w:fldChar w:fldCharType="begin"/>
      </w:r>
      <w:r w:rsidR="00D8597D" w:rsidRPr="00F97360">
        <w:rPr>
          <w:rFonts w:ascii="Arial" w:hAnsi="Arial" w:cs="Arial"/>
          <w:sz w:val="20"/>
        </w:rPr>
        <w:fldChar w:fldCharType="end"/>
      </w:r>
      <w:bookmarkEnd w:id="40"/>
    </w:p>
    <w:p w14:paraId="56712DB2" w14:textId="5F2BDD1D" w:rsidR="007B4FB5" w:rsidRPr="00F97360" w:rsidRDefault="00D8597D" w:rsidP="007B4FB5">
      <w:pPr>
        <w:pStyle w:val="DefinedTermPara"/>
        <w:rPr>
          <w:rStyle w:val="DefTerm"/>
          <w:color w:val="auto"/>
          <w:sz w:val="20"/>
        </w:rPr>
      </w:pPr>
      <w:r w:rsidRPr="00F97360">
        <w:rPr>
          <w:rStyle w:val="DefTerm"/>
          <w:color w:val="auto"/>
          <w:sz w:val="20"/>
        </w:rPr>
        <w:t>Grant Date</w:t>
      </w:r>
      <w:r w:rsidRPr="00F97360">
        <w:rPr>
          <w:rFonts w:ascii="Arial" w:hAnsi="Arial" w:cs="Arial"/>
          <w:sz w:val="20"/>
        </w:rPr>
        <w:t xml:space="preserve">: the date on which </w:t>
      </w:r>
      <w:r w:rsidR="00D93C59" w:rsidRPr="00F97360">
        <w:rPr>
          <w:rFonts w:ascii="Arial" w:hAnsi="Arial" w:cs="Arial"/>
          <w:sz w:val="20"/>
        </w:rPr>
        <w:t>an Award</w:t>
      </w:r>
      <w:r w:rsidRPr="00F97360">
        <w:rPr>
          <w:rFonts w:ascii="Arial" w:hAnsi="Arial" w:cs="Arial"/>
          <w:sz w:val="20"/>
        </w:rPr>
        <w:t xml:space="preserve"> is, was, or is to be granted.</w:t>
      </w:r>
      <w:bookmarkEnd w:id="35"/>
    </w:p>
    <w:p w14:paraId="56712DB3" w14:textId="682C8813" w:rsidR="005013C4" w:rsidRPr="00F97360" w:rsidRDefault="00D8597D" w:rsidP="00D04464">
      <w:pPr>
        <w:pStyle w:val="DefinedTermPara"/>
        <w:numPr>
          <w:ilvl w:val="0"/>
          <w:numId w:val="0"/>
        </w:numPr>
        <w:ind w:left="720"/>
        <w:rPr>
          <w:rFonts w:ascii="Arial" w:hAnsi="Arial" w:cs="Arial"/>
          <w:bCs/>
          <w:sz w:val="20"/>
        </w:rPr>
      </w:pPr>
      <w:bookmarkStart w:id="41" w:name="a252466"/>
      <w:r w:rsidRPr="00F97360">
        <w:rPr>
          <w:rStyle w:val="DefTerm"/>
          <w:color w:val="auto"/>
          <w:sz w:val="20"/>
        </w:rPr>
        <w:t>Grant Period</w:t>
      </w:r>
      <w:r w:rsidRPr="00F97360">
        <w:rPr>
          <w:rStyle w:val="DefTerm"/>
          <w:b w:val="0"/>
          <w:bCs/>
          <w:color w:val="auto"/>
          <w:sz w:val="20"/>
        </w:rPr>
        <w:t xml:space="preserve">: </w:t>
      </w:r>
      <w:r w:rsidRPr="00F97360">
        <w:rPr>
          <w:rFonts w:ascii="Arial" w:hAnsi="Arial" w:cs="Arial"/>
          <w:sz w:val="20"/>
        </w:rPr>
        <w:t>the period of</w:t>
      </w:r>
      <w:r w:rsidR="00B02DEE" w:rsidRPr="00F97360">
        <w:rPr>
          <w:rFonts w:ascii="Arial" w:hAnsi="Arial" w:cs="Arial"/>
          <w:sz w:val="20"/>
        </w:rPr>
        <w:t xml:space="preserve"> </w:t>
      </w:r>
      <w:r w:rsidR="00033F38" w:rsidRPr="00F97360">
        <w:rPr>
          <w:rFonts w:ascii="Arial" w:hAnsi="Arial" w:cs="Arial"/>
          <w:sz w:val="20"/>
        </w:rPr>
        <w:t xml:space="preserve">42 days </w:t>
      </w:r>
      <w:r w:rsidR="00033F38" w:rsidRPr="00F97360">
        <w:rPr>
          <w:rFonts w:ascii="Arial" w:hAnsi="Arial" w:cs="Arial"/>
          <w:bCs/>
          <w:sz w:val="20"/>
        </w:rPr>
        <w:t xml:space="preserve">commencing on </w:t>
      </w:r>
      <w:r w:rsidR="003A0070" w:rsidRPr="00F97360">
        <w:rPr>
          <w:rFonts w:ascii="Arial" w:hAnsi="Arial" w:cs="Arial"/>
          <w:bCs/>
          <w:sz w:val="20"/>
        </w:rPr>
        <w:t xml:space="preserve">the </w:t>
      </w:r>
      <w:r w:rsidR="00932461" w:rsidRPr="00F97360">
        <w:rPr>
          <w:rFonts w:ascii="Arial" w:hAnsi="Arial" w:cs="Arial"/>
          <w:bCs/>
          <w:sz w:val="20"/>
        </w:rPr>
        <w:t>Adoption Date</w:t>
      </w:r>
      <w:r w:rsidR="003A0070" w:rsidRPr="00F97360">
        <w:rPr>
          <w:rFonts w:ascii="Arial" w:hAnsi="Arial" w:cs="Arial"/>
          <w:bCs/>
          <w:sz w:val="20"/>
        </w:rPr>
        <w:t xml:space="preserve"> </w:t>
      </w:r>
      <w:r w:rsidR="00136ABB" w:rsidRPr="00F97360">
        <w:rPr>
          <w:rFonts w:ascii="Arial" w:hAnsi="Arial" w:cs="Arial"/>
          <w:bCs/>
          <w:sz w:val="20"/>
        </w:rPr>
        <w:t>and, thereafter, the period of</w:t>
      </w:r>
      <w:r w:rsidR="009E7E7A" w:rsidRPr="00F97360">
        <w:rPr>
          <w:rFonts w:ascii="Arial" w:hAnsi="Arial" w:cs="Arial"/>
          <w:bCs/>
          <w:sz w:val="20"/>
        </w:rPr>
        <w:t xml:space="preserve"> </w:t>
      </w:r>
      <w:r w:rsidR="00033F38" w:rsidRPr="00F97360">
        <w:rPr>
          <w:rFonts w:ascii="Arial" w:hAnsi="Arial" w:cs="Arial"/>
          <w:bCs/>
          <w:sz w:val="20"/>
        </w:rPr>
        <w:t xml:space="preserve">42 days commencing on </w:t>
      </w:r>
      <w:r w:rsidRPr="00F97360">
        <w:rPr>
          <w:rFonts w:ascii="Arial" w:hAnsi="Arial" w:cs="Arial"/>
          <w:bCs/>
          <w:sz w:val="20"/>
        </w:rPr>
        <w:t xml:space="preserve">the Dealing Day immediately after the </w:t>
      </w:r>
      <w:r w:rsidR="003F10EE" w:rsidRPr="00F97360">
        <w:rPr>
          <w:rFonts w:ascii="Arial" w:hAnsi="Arial" w:cs="Arial"/>
          <w:bCs/>
          <w:sz w:val="20"/>
        </w:rPr>
        <w:t>Company’s announcement of its results for any period</w:t>
      </w:r>
      <w:r w:rsidR="009E7E7A" w:rsidRPr="00F97360">
        <w:rPr>
          <w:rFonts w:ascii="Arial" w:hAnsi="Arial" w:cs="Arial"/>
          <w:bCs/>
          <w:sz w:val="20"/>
        </w:rPr>
        <w:t xml:space="preserve"> (</w:t>
      </w:r>
      <w:r w:rsidRPr="00F97360">
        <w:rPr>
          <w:rFonts w:ascii="Arial" w:hAnsi="Arial" w:cs="Arial"/>
          <w:bCs/>
          <w:sz w:val="20"/>
        </w:rPr>
        <w:t>unless</w:t>
      </w:r>
      <w:r w:rsidR="00892A72" w:rsidRPr="00F97360">
        <w:rPr>
          <w:rFonts w:ascii="Arial" w:hAnsi="Arial" w:cs="Arial"/>
          <w:bCs/>
          <w:sz w:val="20"/>
        </w:rPr>
        <w:t xml:space="preserve">, in each case, </w:t>
      </w:r>
      <w:r w:rsidRPr="00F97360">
        <w:rPr>
          <w:rFonts w:ascii="Arial" w:hAnsi="Arial" w:cs="Arial"/>
          <w:bCs/>
          <w:sz w:val="20"/>
        </w:rPr>
        <w:t xml:space="preserve">the Company is restricted from granting </w:t>
      </w:r>
      <w:r w:rsidR="00D62C51" w:rsidRPr="00F97360">
        <w:rPr>
          <w:rFonts w:ascii="Arial" w:hAnsi="Arial" w:cs="Arial"/>
          <w:bCs/>
          <w:sz w:val="20"/>
        </w:rPr>
        <w:t>Awards</w:t>
      </w:r>
      <w:r w:rsidRPr="00F97360">
        <w:rPr>
          <w:rFonts w:ascii="Arial" w:hAnsi="Arial" w:cs="Arial"/>
          <w:bCs/>
          <w:sz w:val="20"/>
        </w:rPr>
        <w:t xml:space="preserve"> during </w:t>
      </w:r>
      <w:r w:rsidR="009E7E7A" w:rsidRPr="00F97360">
        <w:rPr>
          <w:rFonts w:ascii="Arial" w:hAnsi="Arial" w:cs="Arial"/>
          <w:bCs/>
          <w:sz w:val="20"/>
        </w:rPr>
        <w:t>such</w:t>
      </w:r>
      <w:r w:rsidRPr="00F97360">
        <w:rPr>
          <w:rFonts w:ascii="Arial" w:hAnsi="Arial" w:cs="Arial"/>
          <w:bCs/>
          <w:sz w:val="20"/>
        </w:rPr>
        <w:t xml:space="preserve"> periods as a result of any Dealing Restrictions, in which case the relevant Grant Period will be 42 days</w:t>
      </w:r>
      <w:r w:rsidR="00033F38" w:rsidRPr="00F97360">
        <w:rPr>
          <w:rFonts w:ascii="Arial" w:hAnsi="Arial" w:cs="Arial"/>
          <w:bCs/>
          <w:sz w:val="20"/>
        </w:rPr>
        <w:t xml:space="preserve"> </w:t>
      </w:r>
      <w:r w:rsidRPr="00F97360">
        <w:rPr>
          <w:rFonts w:ascii="Arial" w:hAnsi="Arial" w:cs="Arial"/>
          <w:bCs/>
          <w:sz w:val="20"/>
        </w:rPr>
        <w:t>commencing on the Dealing Day after such Dealing Restrictions are lifted</w:t>
      </w:r>
      <w:r w:rsidR="009E7E7A" w:rsidRPr="00F97360">
        <w:rPr>
          <w:rFonts w:ascii="Arial" w:hAnsi="Arial" w:cs="Arial"/>
          <w:bCs/>
          <w:sz w:val="20"/>
        </w:rPr>
        <w:t>)</w:t>
      </w:r>
      <w:r w:rsidR="00892A72" w:rsidRPr="00F97360">
        <w:rPr>
          <w:rFonts w:ascii="Arial" w:hAnsi="Arial" w:cs="Arial"/>
          <w:bCs/>
          <w:sz w:val="20"/>
        </w:rPr>
        <w:t>.</w:t>
      </w:r>
    </w:p>
    <w:p w14:paraId="56712DB4" w14:textId="1C6F3DB4" w:rsidR="00E33C23" w:rsidRPr="00F97360" w:rsidRDefault="00D8597D" w:rsidP="005B420A">
      <w:pPr>
        <w:pStyle w:val="DefinedTermPara"/>
        <w:rPr>
          <w:rFonts w:ascii="Arial" w:hAnsi="Arial" w:cs="Arial"/>
          <w:sz w:val="20"/>
        </w:rPr>
      </w:pPr>
      <w:r w:rsidRPr="00F97360">
        <w:rPr>
          <w:rStyle w:val="DefTerm"/>
          <w:color w:val="auto"/>
          <w:sz w:val="20"/>
        </w:rPr>
        <w:t>Group</w:t>
      </w:r>
      <w:r w:rsidRPr="00F97360">
        <w:rPr>
          <w:rFonts w:ascii="Arial" w:hAnsi="Arial" w:cs="Arial"/>
          <w:sz w:val="20"/>
        </w:rPr>
        <w:t>: the Company</w:t>
      </w:r>
      <w:bookmarkStart w:id="42" w:name="_Ref48205753"/>
      <w:bookmarkEnd w:id="41"/>
      <w:r w:rsidRPr="00F97360">
        <w:rPr>
          <w:rFonts w:ascii="Arial" w:hAnsi="Arial" w:cs="Arial"/>
          <w:sz w:val="20"/>
        </w:rPr>
        <w:t>, any Subsidiary of the Company, any holding company of the Company (within the meaning of section 1159 of the Companies Act 2006) or any Subsidiary of the Company's holding company</w:t>
      </w:r>
      <w:bookmarkEnd w:id="42"/>
      <w:r w:rsidRPr="00F97360">
        <w:rPr>
          <w:rFonts w:ascii="Arial" w:hAnsi="Arial" w:cs="Arial"/>
          <w:sz w:val="20"/>
        </w:rPr>
        <w:t>, each from time to time.</w:t>
      </w:r>
    </w:p>
    <w:p w14:paraId="56712DB5" w14:textId="77777777" w:rsidR="007B4FB5" w:rsidRPr="00F97360" w:rsidRDefault="00D8597D" w:rsidP="007B4FB5">
      <w:pPr>
        <w:pStyle w:val="DefinedTermPara"/>
        <w:rPr>
          <w:rStyle w:val="DefTerm"/>
          <w:color w:val="auto"/>
          <w:sz w:val="20"/>
        </w:rPr>
      </w:pPr>
      <w:bookmarkStart w:id="43" w:name="a654583"/>
      <w:r w:rsidRPr="00F97360">
        <w:rPr>
          <w:rStyle w:val="DefTerm"/>
          <w:color w:val="auto"/>
          <w:sz w:val="20"/>
        </w:rPr>
        <w:t>Group Company</w:t>
      </w:r>
      <w:r w:rsidRPr="00F97360">
        <w:rPr>
          <w:rFonts w:ascii="Arial" w:hAnsi="Arial" w:cs="Arial"/>
          <w:sz w:val="20"/>
        </w:rPr>
        <w:t>: any member of the Group</w:t>
      </w:r>
      <w:r w:rsidR="002F3375" w:rsidRPr="00F97360">
        <w:rPr>
          <w:rFonts w:ascii="Arial" w:hAnsi="Arial" w:cs="Arial"/>
          <w:sz w:val="20"/>
        </w:rPr>
        <w:t xml:space="preserve"> from time to time</w:t>
      </w:r>
      <w:r w:rsidRPr="00F97360">
        <w:rPr>
          <w:rFonts w:ascii="Arial" w:hAnsi="Arial" w:cs="Arial"/>
          <w:sz w:val="20"/>
        </w:rPr>
        <w:t>.</w:t>
      </w:r>
      <w:bookmarkEnd w:id="43"/>
    </w:p>
    <w:p w14:paraId="56712DB7" w14:textId="4969BB35" w:rsidR="007B4FB5" w:rsidRPr="00F97360" w:rsidRDefault="00D8597D" w:rsidP="007B4FB5">
      <w:pPr>
        <w:pStyle w:val="DefinedTermPara"/>
        <w:rPr>
          <w:rStyle w:val="DefTerm"/>
          <w:color w:val="auto"/>
          <w:sz w:val="20"/>
        </w:rPr>
      </w:pPr>
      <w:bookmarkStart w:id="44" w:name="a653324"/>
      <w:r w:rsidRPr="00F97360">
        <w:rPr>
          <w:rStyle w:val="DefTerm"/>
          <w:color w:val="auto"/>
          <w:sz w:val="20"/>
        </w:rPr>
        <w:lastRenderedPageBreak/>
        <w:t>Holding Period</w:t>
      </w:r>
      <w:r w:rsidRPr="00F97360">
        <w:rPr>
          <w:rFonts w:ascii="Arial" w:hAnsi="Arial" w:cs="Arial"/>
          <w:sz w:val="20"/>
        </w:rPr>
        <w:t xml:space="preserve">: the period that starts on the </w:t>
      </w:r>
      <w:r w:rsidR="00D44FC6" w:rsidRPr="00F97360">
        <w:rPr>
          <w:rFonts w:ascii="Arial" w:hAnsi="Arial" w:cs="Arial"/>
          <w:sz w:val="20"/>
        </w:rPr>
        <w:t>Vesting Date</w:t>
      </w:r>
      <w:r w:rsidRPr="00F97360">
        <w:rPr>
          <w:rFonts w:ascii="Arial" w:hAnsi="Arial" w:cs="Arial"/>
          <w:sz w:val="20"/>
        </w:rPr>
        <w:t xml:space="preserve"> and ends on such date as the </w:t>
      </w:r>
      <w:r w:rsidR="00623047" w:rsidRPr="00F97360">
        <w:rPr>
          <w:rFonts w:ascii="Arial" w:hAnsi="Arial" w:cs="Arial"/>
          <w:sz w:val="20"/>
        </w:rPr>
        <w:t>Remuneration Committee</w:t>
      </w:r>
      <w:r w:rsidRPr="00F97360">
        <w:rPr>
          <w:rFonts w:ascii="Arial" w:hAnsi="Arial" w:cs="Arial"/>
          <w:sz w:val="20"/>
        </w:rPr>
        <w:t xml:space="preserve"> may specify, not </w:t>
      </w:r>
      <w:r w:rsidR="001B21E5" w:rsidRPr="00F97360">
        <w:rPr>
          <w:rFonts w:ascii="Arial" w:hAnsi="Arial" w:cs="Arial"/>
          <w:sz w:val="20"/>
        </w:rPr>
        <w:t xml:space="preserve">ordinarily </w:t>
      </w:r>
      <w:r w:rsidRPr="00F97360">
        <w:rPr>
          <w:rFonts w:ascii="Arial" w:hAnsi="Arial" w:cs="Arial"/>
          <w:sz w:val="20"/>
        </w:rPr>
        <w:t xml:space="preserve">being earlier than </w:t>
      </w:r>
      <w:r w:rsidR="0036462A" w:rsidRPr="00F97360">
        <w:rPr>
          <w:rFonts w:ascii="Arial" w:hAnsi="Arial" w:cs="Arial"/>
          <w:sz w:val="20"/>
        </w:rPr>
        <w:t xml:space="preserve">two years from the </w:t>
      </w:r>
      <w:r w:rsidR="00D44FC6" w:rsidRPr="00F97360">
        <w:rPr>
          <w:rFonts w:ascii="Arial" w:hAnsi="Arial" w:cs="Arial"/>
          <w:sz w:val="20"/>
        </w:rPr>
        <w:t>Vesting Date</w:t>
      </w:r>
      <w:r w:rsidRPr="00F97360">
        <w:rPr>
          <w:rFonts w:ascii="Arial" w:hAnsi="Arial" w:cs="Arial"/>
          <w:sz w:val="20"/>
        </w:rPr>
        <w:t>.</w:t>
      </w:r>
      <w:bookmarkEnd w:id="44"/>
    </w:p>
    <w:p w14:paraId="56712DB8" w14:textId="77777777" w:rsidR="007B4FB5" w:rsidRPr="00F97360" w:rsidRDefault="00D8597D" w:rsidP="007B4FB5">
      <w:pPr>
        <w:pStyle w:val="DefinedTermPara"/>
        <w:rPr>
          <w:rStyle w:val="DefTerm"/>
          <w:color w:val="auto"/>
          <w:sz w:val="20"/>
        </w:rPr>
      </w:pPr>
      <w:bookmarkStart w:id="45" w:name="a223120"/>
      <w:r w:rsidRPr="00F97360">
        <w:rPr>
          <w:rStyle w:val="DefTerm"/>
          <w:color w:val="auto"/>
          <w:sz w:val="20"/>
        </w:rPr>
        <w:t>ITEPA 2003</w:t>
      </w:r>
      <w:r w:rsidRPr="00F97360">
        <w:rPr>
          <w:rFonts w:ascii="Arial" w:hAnsi="Arial" w:cs="Arial"/>
          <w:sz w:val="20"/>
        </w:rPr>
        <w:t>: the Income Tax (Earnings and Pensions) Act 2003.</w:t>
      </w:r>
      <w:bookmarkEnd w:id="45"/>
    </w:p>
    <w:p w14:paraId="56712DB9" w14:textId="45EA10F9" w:rsidR="007A00F1" w:rsidRPr="00F97360" w:rsidRDefault="00D8597D" w:rsidP="007A00F1">
      <w:pPr>
        <w:pStyle w:val="DefinedTermPara"/>
        <w:rPr>
          <w:rFonts w:ascii="Arial" w:hAnsi="Arial" w:cs="Arial"/>
          <w:sz w:val="20"/>
        </w:rPr>
      </w:pPr>
      <w:bookmarkStart w:id="46" w:name="a518404"/>
      <w:r w:rsidRPr="00F97360">
        <w:rPr>
          <w:rFonts w:ascii="Arial" w:hAnsi="Arial" w:cs="Arial"/>
          <w:b/>
          <w:bCs/>
          <w:sz w:val="20"/>
        </w:rPr>
        <w:t>Listed</w:t>
      </w:r>
      <w:r w:rsidRPr="00F97360">
        <w:rPr>
          <w:rFonts w:ascii="Arial" w:hAnsi="Arial" w:cs="Arial"/>
          <w:sz w:val="20"/>
        </w:rPr>
        <w:t xml:space="preserve">: </w:t>
      </w:r>
      <w:r w:rsidRPr="00F97360">
        <w:rPr>
          <w:rFonts w:ascii="Arial" w:hAnsi="Arial" w:cs="Arial"/>
          <w:bCs/>
          <w:sz w:val="20"/>
        </w:rPr>
        <w:t xml:space="preserve">means that </w:t>
      </w:r>
      <w:r w:rsidRPr="00F97360">
        <w:rPr>
          <w:rFonts w:ascii="Arial" w:hAnsi="Arial" w:cs="Arial"/>
          <w:sz w:val="20"/>
        </w:rPr>
        <w:t>any</w:t>
      </w:r>
      <w:r w:rsidR="00BC139F" w:rsidRPr="00F97360">
        <w:rPr>
          <w:rFonts w:ascii="Arial" w:hAnsi="Arial" w:cs="Arial"/>
          <w:sz w:val="20"/>
        </w:rPr>
        <w:t xml:space="preserve"> part</w:t>
      </w:r>
      <w:r w:rsidRPr="00F97360">
        <w:rPr>
          <w:rFonts w:ascii="Arial" w:hAnsi="Arial" w:cs="Arial"/>
          <w:sz w:val="20"/>
        </w:rPr>
        <w:t xml:space="preserve"> of the Company’s ordinary share capital is admitted to</w:t>
      </w:r>
      <w:r w:rsidR="00CE1586" w:rsidRPr="00F97360">
        <w:rPr>
          <w:rFonts w:ascii="Arial" w:hAnsi="Arial" w:cs="Arial"/>
          <w:sz w:val="20"/>
        </w:rPr>
        <w:t xml:space="preserve"> </w:t>
      </w:r>
      <w:r w:rsidRPr="00F97360">
        <w:rPr>
          <w:rFonts w:ascii="Arial" w:hAnsi="Arial" w:cs="Arial"/>
          <w:sz w:val="20"/>
        </w:rPr>
        <w:t xml:space="preserve">the Official List (with consequent admission to </w:t>
      </w:r>
      <w:r w:rsidR="00EB12FF" w:rsidRPr="00F97360">
        <w:rPr>
          <w:rFonts w:ascii="Arial" w:hAnsi="Arial" w:cs="Arial"/>
          <w:sz w:val="20"/>
        </w:rPr>
        <w:t xml:space="preserve">trading on the </w:t>
      </w:r>
      <w:r w:rsidRPr="00F97360">
        <w:rPr>
          <w:rFonts w:ascii="Arial" w:hAnsi="Arial" w:cs="Arial"/>
          <w:sz w:val="20"/>
        </w:rPr>
        <w:t>Main Market of</w:t>
      </w:r>
      <w:r w:rsidR="00CE1586" w:rsidRPr="00F97360">
        <w:rPr>
          <w:rFonts w:ascii="Arial" w:hAnsi="Arial" w:cs="Arial"/>
          <w:sz w:val="20"/>
        </w:rPr>
        <w:t xml:space="preserve"> </w:t>
      </w:r>
      <w:r w:rsidR="00EB12FF" w:rsidRPr="00F97360">
        <w:rPr>
          <w:rFonts w:ascii="Arial" w:hAnsi="Arial" w:cs="Arial"/>
          <w:sz w:val="20"/>
        </w:rPr>
        <w:t xml:space="preserve">the </w:t>
      </w:r>
      <w:r w:rsidRPr="00F97360">
        <w:rPr>
          <w:rFonts w:ascii="Arial" w:hAnsi="Arial" w:cs="Arial"/>
          <w:sz w:val="20"/>
        </w:rPr>
        <w:t>London Stock Exchange</w:t>
      </w:r>
      <w:r w:rsidR="007A00F1" w:rsidRPr="00F97360">
        <w:rPr>
          <w:rFonts w:ascii="Arial" w:hAnsi="Arial" w:cs="Arial"/>
          <w:sz w:val="20"/>
        </w:rPr>
        <w:t>)</w:t>
      </w:r>
      <w:r w:rsidRPr="00F97360">
        <w:rPr>
          <w:rFonts w:ascii="Arial" w:hAnsi="Arial" w:cs="Arial"/>
          <w:sz w:val="20"/>
        </w:rPr>
        <w:t xml:space="preserve"> or any other internationally recognised investment exchange (which shall for these purposes be construed as the stock exchanges that are determined "recognised stock exchanges" in accordance with section 1005 of the Income Tax Act 2007 plus the Alternative Investment Market of the London Stock Exchange).</w:t>
      </w:r>
    </w:p>
    <w:p w14:paraId="56712DBA" w14:textId="4FA296DE" w:rsidR="007B4FB5" w:rsidRPr="00F97360" w:rsidRDefault="00D8597D" w:rsidP="007B4FB5">
      <w:pPr>
        <w:pStyle w:val="DefinedTermPara"/>
        <w:rPr>
          <w:rFonts w:ascii="Arial" w:hAnsi="Arial" w:cs="Arial"/>
          <w:sz w:val="20"/>
        </w:rPr>
      </w:pPr>
      <w:r w:rsidRPr="00F97360">
        <w:rPr>
          <w:rStyle w:val="DefTerm"/>
          <w:color w:val="auto"/>
          <w:sz w:val="20"/>
        </w:rPr>
        <w:t>Listing Rules</w:t>
      </w:r>
      <w:r w:rsidRPr="00F97360">
        <w:rPr>
          <w:rFonts w:ascii="Arial" w:hAnsi="Arial" w:cs="Arial"/>
          <w:sz w:val="20"/>
        </w:rPr>
        <w:t>: the Listing Rules issued by the Financial Conduct Authority, as amended from time to time.</w:t>
      </w:r>
    </w:p>
    <w:p w14:paraId="56712DBB" w14:textId="33B36426" w:rsidR="007A00F1" w:rsidRPr="00F97360" w:rsidRDefault="00D8597D" w:rsidP="007A00F1">
      <w:pPr>
        <w:pStyle w:val="DefinedTermPara"/>
        <w:rPr>
          <w:rFonts w:ascii="Arial" w:hAnsi="Arial" w:cs="Arial"/>
          <w:sz w:val="20"/>
        </w:rPr>
      </w:pPr>
      <w:bookmarkStart w:id="47" w:name="_Hlk43920314"/>
      <w:r w:rsidRPr="00F97360">
        <w:rPr>
          <w:rFonts w:ascii="Arial" w:hAnsi="Arial" w:cs="Arial"/>
          <w:b/>
          <w:bCs/>
          <w:sz w:val="20"/>
        </w:rPr>
        <w:t>London Stock Exchange</w:t>
      </w:r>
      <w:r w:rsidRPr="00F97360">
        <w:rPr>
          <w:rFonts w:ascii="Arial" w:hAnsi="Arial" w:cs="Arial"/>
          <w:sz w:val="20"/>
        </w:rPr>
        <w:t>: London Stock Exchange plc or any successor body carrying on the business of the London Stock Exchange.</w:t>
      </w:r>
    </w:p>
    <w:p w14:paraId="015F5042" w14:textId="37E875FE" w:rsidR="00E37D0F" w:rsidRPr="00F97360" w:rsidRDefault="00E37D0F" w:rsidP="00E37D0F">
      <w:pPr>
        <w:pStyle w:val="DefinedTermPara"/>
        <w:rPr>
          <w:rFonts w:ascii="Arial" w:hAnsi="Arial"/>
          <w:sz w:val="20"/>
        </w:rPr>
      </w:pPr>
      <w:bookmarkStart w:id="48" w:name="a885893"/>
      <w:bookmarkStart w:id="49" w:name="a538746"/>
      <w:bookmarkEnd w:id="46"/>
      <w:bookmarkEnd w:id="47"/>
      <w:r w:rsidRPr="00F97360">
        <w:rPr>
          <w:rStyle w:val="DefTerm"/>
          <w:color w:val="auto"/>
          <w:sz w:val="20"/>
        </w:rPr>
        <w:t>Market Value</w:t>
      </w:r>
      <w:r w:rsidRPr="00F97360">
        <w:rPr>
          <w:rFonts w:ascii="Arial" w:hAnsi="Arial"/>
          <w:sz w:val="20"/>
        </w:rPr>
        <w:t xml:space="preserve">: </w:t>
      </w:r>
      <w:bookmarkEnd w:id="48"/>
      <w:r w:rsidRPr="00F97360">
        <w:rPr>
          <w:rFonts w:ascii="Arial" w:hAnsi="Arial"/>
          <w:sz w:val="20"/>
        </w:rPr>
        <w:t>means</w:t>
      </w:r>
      <w:r w:rsidR="00D11A4B" w:rsidRPr="00F97360">
        <w:rPr>
          <w:rFonts w:ascii="Arial" w:hAnsi="Arial"/>
          <w:sz w:val="20"/>
        </w:rPr>
        <w:t xml:space="preserve"> </w:t>
      </w:r>
      <w:r w:rsidRPr="00F97360">
        <w:rPr>
          <w:rFonts w:ascii="Arial" w:hAnsi="Arial"/>
          <w:sz w:val="20"/>
        </w:rPr>
        <w:t>the market value of a Share as determined by the Remuneration Committee (acting fairly and reasonably)</w:t>
      </w:r>
      <w:r w:rsidR="00DD30D7" w:rsidRPr="00F97360">
        <w:rPr>
          <w:rFonts w:ascii="Arial" w:hAnsi="Arial"/>
          <w:sz w:val="20"/>
        </w:rPr>
        <w:t xml:space="preserve"> </w:t>
      </w:r>
      <w:r w:rsidR="00710210" w:rsidRPr="00F97360">
        <w:rPr>
          <w:rFonts w:ascii="Arial" w:hAnsi="Arial"/>
          <w:sz w:val="20"/>
        </w:rPr>
        <w:t xml:space="preserve">normally based on </w:t>
      </w:r>
      <w:r w:rsidR="00AD2ED6" w:rsidRPr="00F97360">
        <w:rPr>
          <w:rFonts w:ascii="Arial" w:hAnsi="Arial"/>
          <w:sz w:val="20"/>
        </w:rPr>
        <w:t xml:space="preserve">the average of the Middle Market Quotations for a period not exceeding the five consecutive Dealing Days immediately preceding the </w:t>
      </w:r>
      <w:r w:rsidR="00EB5DA5" w:rsidRPr="00F97360">
        <w:rPr>
          <w:rFonts w:ascii="Arial" w:hAnsi="Arial"/>
          <w:sz w:val="20"/>
        </w:rPr>
        <w:t>relevant d</w:t>
      </w:r>
      <w:r w:rsidR="00AD2ED6" w:rsidRPr="00F97360">
        <w:rPr>
          <w:rFonts w:ascii="Arial" w:hAnsi="Arial"/>
          <w:sz w:val="20"/>
        </w:rPr>
        <w:t>ate (but excluding any Dealing Days that fall in a Closed Period)</w:t>
      </w:r>
      <w:r w:rsidRPr="00F97360">
        <w:rPr>
          <w:rFonts w:ascii="Arial" w:hAnsi="Arial"/>
          <w:sz w:val="20"/>
        </w:rPr>
        <w:t>.</w:t>
      </w:r>
    </w:p>
    <w:p w14:paraId="1CFAC7EA" w14:textId="684985B3" w:rsidR="00A624E6" w:rsidRPr="00F97360" w:rsidRDefault="00A624E6" w:rsidP="007B4FB5">
      <w:pPr>
        <w:pStyle w:val="DefinedTermPara"/>
        <w:rPr>
          <w:rStyle w:val="DefTerm"/>
          <w:color w:val="auto"/>
          <w:sz w:val="20"/>
        </w:rPr>
      </w:pPr>
      <w:r w:rsidRPr="00F97360">
        <w:rPr>
          <w:rStyle w:val="DefTerm"/>
          <w:color w:val="auto"/>
          <w:sz w:val="20"/>
        </w:rPr>
        <w:t xml:space="preserve">Middle Market Quotation: </w:t>
      </w:r>
      <w:r w:rsidRPr="00F97360">
        <w:rPr>
          <w:rFonts w:ascii="Arial" w:hAnsi="Arial"/>
          <w:sz w:val="20"/>
        </w:rPr>
        <w:t>the mid-point between the closing ‘</w:t>
      </w:r>
      <w:proofErr w:type="gramStart"/>
      <w:r w:rsidRPr="00F97360">
        <w:rPr>
          <w:rFonts w:ascii="Arial" w:hAnsi="Arial"/>
          <w:sz w:val="20"/>
        </w:rPr>
        <w:t>buy</w:t>
      </w:r>
      <w:proofErr w:type="gramEnd"/>
      <w:r w:rsidRPr="00F97360">
        <w:rPr>
          <w:rFonts w:ascii="Arial" w:hAnsi="Arial"/>
          <w:sz w:val="20"/>
        </w:rPr>
        <w:t>’ and ‘sell’ prices quoted on the relevant date (where the Shares are listed on the Official List and traded on the London Stock Exchange's market for listed securities, as derived from the Daily Official List).</w:t>
      </w:r>
    </w:p>
    <w:p w14:paraId="56712DC1" w14:textId="75C18AE7" w:rsidR="007B4FB5" w:rsidRPr="00F97360" w:rsidRDefault="00D8597D" w:rsidP="007B4FB5">
      <w:pPr>
        <w:pStyle w:val="DefinedTermPara"/>
        <w:rPr>
          <w:rStyle w:val="DefTerm"/>
          <w:color w:val="auto"/>
          <w:sz w:val="20"/>
        </w:rPr>
      </w:pPr>
      <w:r w:rsidRPr="00F97360">
        <w:rPr>
          <w:rStyle w:val="DefTerm"/>
          <w:color w:val="auto"/>
          <w:sz w:val="20"/>
        </w:rPr>
        <w:t>NICs</w:t>
      </w:r>
      <w:r w:rsidRPr="00F97360">
        <w:rPr>
          <w:rFonts w:ascii="Arial" w:hAnsi="Arial" w:cs="Arial"/>
          <w:sz w:val="20"/>
        </w:rPr>
        <w:t>: National Insurance contributions</w:t>
      </w:r>
      <w:r w:rsidR="001314D0" w:rsidRPr="00F97360">
        <w:rPr>
          <w:rFonts w:ascii="Arial" w:hAnsi="Arial" w:cs="Arial"/>
          <w:sz w:val="20"/>
        </w:rPr>
        <w:t xml:space="preserve"> or equivalent social security contributions in any other relevant jurisdiction</w:t>
      </w:r>
      <w:r w:rsidRPr="00F97360">
        <w:rPr>
          <w:rFonts w:ascii="Arial" w:hAnsi="Arial" w:cs="Arial"/>
          <w:sz w:val="20"/>
        </w:rPr>
        <w:t>.</w:t>
      </w:r>
      <w:bookmarkEnd w:id="49"/>
    </w:p>
    <w:p w14:paraId="56712DC2" w14:textId="77777777" w:rsidR="007B4FB5" w:rsidRPr="00F97360" w:rsidRDefault="00D8597D" w:rsidP="007B4FB5">
      <w:pPr>
        <w:pStyle w:val="DefinedTermPara"/>
        <w:rPr>
          <w:rStyle w:val="DefTerm"/>
          <w:color w:val="auto"/>
          <w:sz w:val="20"/>
        </w:rPr>
      </w:pPr>
      <w:bookmarkStart w:id="50" w:name="a610983"/>
      <w:r w:rsidRPr="00F97360">
        <w:rPr>
          <w:rStyle w:val="DefTerm"/>
          <w:color w:val="auto"/>
          <w:sz w:val="20"/>
        </w:rPr>
        <w:t>Nil Cost Option</w:t>
      </w:r>
      <w:r w:rsidRPr="00F97360">
        <w:rPr>
          <w:rFonts w:ascii="Arial" w:hAnsi="Arial" w:cs="Arial"/>
          <w:sz w:val="20"/>
        </w:rPr>
        <w:t xml:space="preserve">: an </w:t>
      </w:r>
      <w:r w:rsidR="0012296E" w:rsidRPr="00F97360">
        <w:rPr>
          <w:rFonts w:ascii="Arial" w:hAnsi="Arial" w:cs="Arial"/>
          <w:sz w:val="20"/>
        </w:rPr>
        <w:t>o</w:t>
      </w:r>
      <w:r w:rsidRPr="00F97360">
        <w:rPr>
          <w:rFonts w:ascii="Arial" w:hAnsi="Arial" w:cs="Arial"/>
          <w:sz w:val="20"/>
        </w:rPr>
        <w:t>ption to acquire Shares for no payment.</w:t>
      </w:r>
      <w:bookmarkEnd w:id="50"/>
    </w:p>
    <w:p w14:paraId="56712DC3" w14:textId="6B5FB9F7" w:rsidR="007B4FB5" w:rsidRPr="00F97360" w:rsidRDefault="00D8597D" w:rsidP="007B4FB5">
      <w:pPr>
        <w:pStyle w:val="DefinedTermPara"/>
        <w:rPr>
          <w:rStyle w:val="DefTerm"/>
          <w:color w:val="auto"/>
          <w:sz w:val="20"/>
        </w:rPr>
      </w:pPr>
      <w:bookmarkStart w:id="51" w:name="a773299"/>
      <w:r w:rsidRPr="00F97360">
        <w:rPr>
          <w:rStyle w:val="DefTerm"/>
          <w:color w:val="auto"/>
          <w:sz w:val="20"/>
        </w:rPr>
        <w:t>Nominee</w:t>
      </w:r>
      <w:r w:rsidRPr="00F97360">
        <w:rPr>
          <w:rFonts w:ascii="Arial" w:hAnsi="Arial" w:cs="Arial"/>
          <w:sz w:val="20"/>
        </w:rPr>
        <w:t>: the person (including a trustee</w:t>
      </w:r>
      <w:r w:rsidR="00745361" w:rsidRPr="00F97360">
        <w:rPr>
          <w:rFonts w:ascii="Arial" w:hAnsi="Arial" w:cs="Arial"/>
          <w:sz w:val="20"/>
        </w:rPr>
        <w:t xml:space="preserve"> of an employee benefit trust</w:t>
      </w:r>
      <w:r w:rsidRPr="00F97360">
        <w:rPr>
          <w:rFonts w:ascii="Arial" w:hAnsi="Arial" w:cs="Arial"/>
          <w:sz w:val="20"/>
        </w:rPr>
        <w:t xml:space="preserve">) nominated by the </w:t>
      </w:r>
      <w:r w:rsidR="00623047" w:rsidRPr="00F97360">
        <w:rPr>
          <w:rFonts w:ascii="Arial" w:hAnsi="Arial" w:cs="Arial"/>
          <w:sz w:val="20"/>
        </w:rPr>
        <w:t>Remuneration Committee</w:t>
      </w:r>
      <w:r w:rsidRPr="00F97360">
        <w:rPr>
          <w:rFonts w:ascii="Arial" w:hAnsi="Arial" w:cs="Arial"/>
          <w:sz w:val="20"/>
        </w:rPr>
        <w:t xml:space="preserve"> to hold Shares on </w:t>
      </w:r>
      <w:r w:rsidR="00745361" w:rsidRPr="00F97360">
        <w:rPr>
          <w:rFonts w:ascii="Arial" w:hAnsi="Arial" w:cs="Arial"/>
          <w:sz w:val="20"/>
        </w:rPr>
        <w:t xml:space="preserve">bare trust for </w:t>
      </w:r>
      <w:r w:rsidRPr="00F97360">
        <w:rPr>
          <w:rFonts w:ascii="Arial" w:hAnsi="Arial" w:cs="Arial"/>
          <w:sz w:val="20"/>
        </w:rPr>
        <w:t>the Award Holder subject to the rules</w:t>
      </w:r>
      <w:r w:rsidR="00745361" w:rsidRPr="00F97360">
        <w:rPr>
          <w:rFonts w:ascii="Arial" w:hAnsi="Arial" w:cs="Arial"/>
          <w:sz w:val="20"/>
        </w:rPr>
        <w:t xml:space="preserve"> and the terms of </w:t>
      </w:r>
      <w:r w:rsidR="006F4460" w:rsidRPr="00F97360">
        <w:rPr>
          <w:rFonts w:ascii="Arial" w:hAnsi="Arial" w:cs="Arial"/>
          <w:sz w:val="20"/>
        </w:rPr>
        <w:t>the</w:t>
      </w:r>
      <w:r w:rsidR="00745361" w:rsidRPr="00F97360">
        <w:rPr>
          <w:rFonts w:ascii="Arial" w:hAnsi="Arial" w:cs="Arial"/>
          <w:sz w:val="20"/>
        </w:rPr>
        <w:t xml:space="preserve"> </w:t>
      </w:r>
      <w:r w:rsidR="006F4460" w:rsidRPr="00F97360">
        <w:rPr>
          <w:rFonts w:ascii="Arial" w:hAnsi="Arial" w:cs="Arial"/>
          <w:sz w:val="20"/>
        </w:rPr>
        <w:t>Nominee Agreement</w:t>
      </w:r>
      <w:r w:rsidRPr="00F97360">
        <w:rPr>
          <w:rFonts w:ascii="Arial" w:hAnsi="Arial" w:cs="Arial"/>
          <w:sz w:val="20"/>
        </w:rPr>
        <w:t>.</w:t>
      </w:r>
      <w:bookmarkEnd w:id="51"/>
    </w:p>
    <w:p w14:paraId="56712DC4" w14:textId="1B8C2940" w:rsidR="007B4FB5" w:rsidRPr="00F97360" w:rsidRDefault="00D8597D" w:rsidP="005C7475">
      <w:pPr>
        <w:pStyle w:val="DefinedTermPara"/>
        <w:rPr>
          <w:rFonts w:ascii="Arial" w:eastAsia="Arial" w:hAnsi="Arial" w:cs="Arial"/>
          <w:b/>
          <w:sz w:val="20"/>
        </w:rPr>
      </w:pPr>
      <w:bookmarkStart w:id="52" w:name="a832039"/>
      <w:r w:rsidRPr="00F97360">
        <w:rPr>
          <w:rStyle w:val="DefTerm"/>
          <w:color w:val="auto"/>
          <w:sz w:val="20"/>
        </w:rPr>
        <w:t>Nominee Agreement</w:t>
      </w:r>
      <w:r w:rsidRPr="00F97360">
        <w:rPr>
          <w:rFonts w:ascii="Arial" w:hAnsi="Arial" w:cs="Arial"/>
          <w:sz w:val="20"/>
        </w:rPr>
        <w:t xml:space="preserve">: </w:t>
      </w:r>
      <w:r w:rsidR="00707AD5" w:rsidRPr="00F97360">
        <w:rPr>
          <w:rFonts w:ascii="Arial" w:hAnsi="Arial" w:cs="Arial"/>
          <w:sz w:val="20"/>
        </w:rPr>
        <w:t xml:space="preserve">a document in the form </w:t>
      </w:r>
      <w:r w:rsidR="002633D5" w:rsidRPr="00F97360">
        <w:rPr>
          <w:rFonts w:ascii="Arial" w:hAnsi="Arial" w:cs="Arial"/>
          <w:sz w:val="20"/>
        </w:rPr>
        <w:t xml:space="preserve">prescribed by the </w:t>
      </w:r>
      <w:r w:rsidR="00623047" w:rsidRPr="00F97360">
        <w:rPr>
          <w:rFonts w:ascii="Arial" w:hAnsi="Arial" w:cs="Arial"/>
          <w:sz w:val="20"/>
        </w:rPr>
        <w:t>Remuneration Committee</w:t>
      </w:r>
      <w:r w:rsidR="002633D5" w:rsidRPr="00F97360">
        <w:rPr>
          <w:rFonts w:ascii="Arial" w:hAnsi="Arial" w:cs="Arial"/>
          <w:sz w:val="20"/>
        </w:rPr>
        <w:t xml:space="preserve"> from time to time</w:t>
      </w:r>
      <w:r w:rsidR="0080232E" w:rsidRPr="00F97360">
        <w:rPr>
          <w:rFonts w:ascii="Arial" w:hAnsi="Arial" w:cs="Arial"/>
          <w:sz w:val="20"/>
        </w:rPr>
        <w:t>,</w:t>
      </w:r>
      <w:r w:rsidR="00707AD5" w:rsidRPr="00F97360">
        <w:rPr>
          <w:rFonts w:ascii="Arial" w:hAnsi="Arial" w:cs="Arial"/>
          <w:sz w:val="20"/>
        </w:rPr>
        <w:t xml:space="preserve"> </w:t>
      </w:r>
      <w:r w:rsidRPr="00F97360">
        <w:rPr>
          <w:rFonts w:ascii="Arial" w:hAnsi="Arial" w:cs="Arial"/>
          <w:sz w:val="20"/>
        </w:rPr>
        <w:t>executed by the Nominee</w:t>
      </w:r>
      <w:r w:rsidR="006F4460" w:rsidRPr="00F97360">
        <w:rPr>
          <w:rFonts w:ascii="Arial" w:hAnsi="Arial" w:cs="Arial"/>
          <w:sz w:val="20"/>
        </w:rPr>
        <w:t xml:space="preserve"> and </w:t>
      </w:r>
      <w:r w:rsidRPr="00F97360">
        <w:rPr>
          <w:rFonts w:ascii="Arial" w:hAnsi="Arial" w:cs="Arial"/>
          <w:sz w:val="20"/>
        </w:rPr>
        <w:t>the Award Holder</w:t>
      </w:r>
      <w:r w:rsidR="00873952" w:rsidRPr="00F97360">
        <w:rPr>
          <w:rFonts w:ascii="Arial" w:hAnsi="Arial" w:cs="Arial"/>
          <w:sz w:val="20"/>
        </w:rPr>
        <w:t xml:space="preserve"> </w:t>
      </w:r>
      <w:r w:rsidRPr="00F97360">
        <w:rPr>
          <w:rFonts w:ascii="Arial" w:hAnsi="Arial" w:cs="Arial"/>
          <w:sz w:val="20"/>
        </w:rPr>
        <w:t>that sets out the terms on which the Nominee holds Shares</w:t>
      </w:r>
      <w:r w:rsidR="0012296E" w:rsidRPr="00F97360">
        <w:rPr>
          <w:rFonts w:ascii="Arial" w:hAnsi="Arial" w:cs="Arial"/>
          <w:sz w:val="20"/>
        </w:rPr>
        <w:t xml:space="preserve"> for the Award Holder (or former Award Holder)</w:t>
      </w:r>
      <w:r w:rsidRPr="00F97360">
        <w:rPr>
          <w:rFonts w:ascii="Arial" w:hAnsi="Arial" w:cs="Arial"/>
          <w:sz w:val="20"/>
        </w:rPr>
        <w:t>.</w:t>
      </w:r>
      <w:bookmarkEnd w:id="52"/>
    </w:p>
    <w:p w14:paraId="4BFA6136" w14:textId="77777777" w:rsidR="005473BF" w:rsidRPr="00F97360" w:rsidRDefault="00D8597D" w:rsidP="005C4219">
      <w:pPr>
        <w:pStyle w:val="DefinedTermPara"/>
        <w:rPr>
          <w:rFonts w:ascii="Arial" w:hAnsi="Arial" w:cs="Arial"/>
          <w:sz w:val="20"/>
        </w:rPr>
      </w:pPr>
      <w:bookmarkStart w:id="53" w:name="a650407"/>
      <w:r w:rsidRPr="00F97360">
        <w:rPr>
          <w:rStyle w:val="DefTerm"/>
          <w:color w:val="auto"/>
          <w:sz w:val="20"/>
        </w:rPr>
        <w:t>Non-Option Award</w:t>
      </w:r>
      <w:r w:rsidRPr="00F97360">
        <w:rPr>
          <w:rFonts w:ascii="Arial" w:hAnsi="Arial" w:cs="Arial"/>
          <w:sz w:val="20"/>
        </w:rPr>
        <w:t xml:space="preserve">: </w:t>
      </w:r>
      <w:bookmarkEnd w:id="53"/>
      <w:proofErr w:type="gramStart"/>
      <w:r w:rsidRPr="00F97360">
        <w:rPr>
          <w:rFonts w:ascii="Arial" w:hAnsi="Arial" w:cs="Arial"/>
          <w:sz w:val="20"/>
        </w:rPr>
        <w:t>a</w:t>
      </w:r>
      <w:proofErr w:type="gramEnd"/>
      <w:r w:rsidRPr="00F97360">
        <w:rPr>
          <w:rFonts w:ascii="Arial" w:hAnsi="Arial" w:cs="Arial"/>
          <w:sz w:val="20"/>
        </w:rPr>
        <w:t xml:space="preserve"> Conditional Share Award</w:t>
      </w:r>
      <w:r w:rsidR="005473BF" w:rsidRPr="00F97360">
        <w:rPr>
          <w:rFonts w:ascii="Arial" w:hAnsi="Arial" w:cs="Arial"/>
          <w:sz w:val="20"/>
        </w:rPr>
        <w:t xml:space="preserve"> or </w:t>
      </w:r>
      <w:r w:rsidRPr="00F97360">
        <w:rPr>
          <w:rFonts w:ascii="Arial" w:hAnsi="Arial" w:cs="Arial"/>
          <w:sz w:val="20"/>
        </w:rPr>
        <w:t>a Phantom Share Award</w:t>
      </w:r>
      <w:r w:rsidR="005473BF" w:rsidRPr="00F97360">
        <w:rPr>
          <w:rFonts w:ascii="Arial" w:hAnsi="Arial" w:cs="Arial"/>
          <w:sz w:val="20"/>
        </w:rPr>
        <w:t>.</w:t>
      </w:r>
    </w:p>
    <w:p w14:paraId="56712DC8" w14:textId="77777777" w:rsidR="00622E8E" w:rsidRPr="00F97360" w:rsidRDefault="00D8597D" w:rsidP="007B4FB5">
      <w:pPr>
        <w:pStyle w:val="DefinedTermPara"/>
        <w:rPr>
          <w:rStyle w:val="DefTerm"/>
          <w:color w:val="auto"/>
          <w:sz w:val="20"/>
        </w:rPr>
      </w:pPr>
      <w:bookmarkStart w:id="54" w:name="a541559"/>
      <w:r w:rsidRPr="00F97360">
        <w:rPr>
          <w:rFonts w:ascii="Arial" w:hAnsi="Arial" w:cs="Arial"/>
          <w:b/>
          <w:bCs/>
          <w:sz w:val="20"/>
        </w:rPr>
        <w:t>Official List</w:t>
      </w:r>
      <w:r w:rsidRPr="00F97360">
        <w:rPr>
          <w:rFonts w:ascii="Arial" w:hAnsi="Arial" w:cs="Arial"/>
          <w:sz w:val="20"/>
        </w:rPr>
        <w:t>: means the Official List maintained by the Financial Conduct Authority.</w:t>
      </w:r>
    </w:p>
    <w:p w14:paraId="56712DC9" w14:textId="08304780" w:rsidR="007B4FB5" w:rsidRPr="00F97360" w:rsidRDefault="00D8597D" w:rsidP="007B4FB5">
      <w:pPr>
        <w:pStyle w:val="DefinedTermPara"/>
        <w:rPr>
          <w:rStyle w:val="DefTerm"/>
          <w:color w:val="auto"/>
          <w:sz w:val="20"/>
        </w:rPr>
      </w:pPr>
      <w:r w:rsidRPr="00F97360">
        <w:rPr>
          <w:rStyle w:val="DefTerm"/>
          <w:color w:val="auto"/>
          <w:sz w:val="20"/>
        </w:rPr>
        <w:t>Option</w:t>
      </w:r>
      <w:r w:rsidRPr="00F97360">
        <w:rPr>
          <w:rFonts w:ascii="Arial" w:hAnsi="Arial" w:cs="Arial"/>
          <w:sz w:val="20"/>
        </w:rPr>
        <w:t xml:space="preserve">: </w:t>
      </w:r>
      <w:proofErr w:type="gramStart"/>
      <w:r w:rsidR="007B4FB5" w:rsidRPr="00F97360">
        <w:rPr>
          <w:rFonts w:ascii="Arial" w:hAnsi="Arial" w:cs="Arial"/>
          <w:sz w:val="20"/>
        </w:rPr>
        <w:t>a</w:t>
      </w:r>
      <w:proofErr w:type="gramEnd"/>
      <w:r w:rsidR="007B4FB5" w:rsidRPr="00F97360">
        <w:rPr>
          <w:rFonts w:ascii="Arial" w:hAnsi="Arial" w:cs="Arial"/>
          <w:sz w:val="20"/>
        </w:rPr>
        <w:t xml:space="preserve"> </w:t>
      </w:r>
      <w:r w:rsidRPr="00F97360">
        <w:rPr>
          <w:rFonts w:ascii="Arial" w:hAnsi="Arial" w:cs="Arial"/>
          <w:sz w:val="20"/>
        </w:rPr>
        <w:t>Nil Cost Option</w:t>
      </w:r>
      <w:r w:rsidR="00A24F2B" w:rsidRPr="00F97360">
        <w:rPr>
          <w:rFonts w:ascii="Arial" w:hAnsi="Arial" w:cs="Arial"/>
          <w:sz w:val="20"/>
        </w:rPr>
        <w:t xml:space="preserve"> </w:t>
      </w:r>
      <w:r w:rsidRPr="00F97360">
        <w:rPr>
          <w:rFonts w:ascii="Arial" w:hAnsi="Arial" w:cs="Arial"/>
          <w:sz w:val="20"/>
        </w:rPr>
        <w:t>or a Phantom Option.</w:t>
      </w:r>
      <w:bookmarkEnd w:id="54"/>
    </w:p>
    <w:p w14:paraId="56712DCA" w14:textId="7EA7A642" w:rsidR="00223AA2" w:rsidRPr="00F97360" w:rsidRDefault="00D8597D" w:rsidP="00223AA2">
      <w:pPr>
        <w:pStyle w:val="DefinedTermPara"/>
        <w:rPr>
          <w:rStyle w:val="DefTerm"/>
          <w:color w:val="auto"/>
          <w:sz w:val="20"/>
        </w:rPr>
      </w:pPr>
      <w:bookmarkStart w:id="55" w:name="a728966"/>
      <w:r w:rsidRPr="00F97360">
        <w:rPr>
          <w:rStyle w:val="DefTerm"/>
          <w:color w:val="auto"/>
          <w:sz w:val="20"/>
        </w:rPr>
        <w:t xml:space="preserve">Ordinary </w:t>
      </w:r>
      <w:r w:rsidR="00D44FC6" w:rsidRPr="00F97360">
        <w:rPr>
          <w:rStyle w:val="DefTerm"/>
          <w:color w:val="auto"/>
          <w:sz w:val="20"/>
        </w:rPr>
        <w:t>Vesting Date</w:t>
      </w:r>
      <w:r w:rsidRPr="00F97360">
        <w:rPr>
          <w:rStyle w:val="DefTerm"/>
          <w:color w:val="auto"/>
          <w:sz w:val="20"/>
        </w:rPr>
        <w:t xml:space="preserve">: </w:t>
      </w:r>
      <w:bookmarkStart w:id="56" w:name="a390464"/>
      <w:r w:rsidR="000C79AC" w:rsidRPr="00F97360">
        <w:rPr>
          <w:rStyle w:val="DefTerm"/>
          <w:b w:val="0"/>
          <w:bCs/>
          <w:color w:val="auto"/>
          <w:sz w:val="20"/>
        </w:rPr>
        <w:t>in respect of an Award,</w:t>
      </w:r>
      <w:r w:rsidR="000C79AC" w:rsidRPr="00F97360">
        <w:rPr>
          <w:rStyle w:val="DefTerm"/>
          <w:color w:val="auto"/>
          <w:sz w:val="20"/>
        </w:rPr>
        <w:t xml:space="preserve"> </w:t>
      </w:r>
      <w:r w:rsidR="000C79AC" w:rsidRPr="00F97360">
        <w:rPr>
          <w:rStyle w:val="DefTerm"/>
          <w:b w:val="0"/>
          <w:bCs/>
          <w:color w:val="auto"/>
          <w:sz w:val="20"/>
        </w:rPr>
        <w:t xml:space="preserve">the later of (a) the </w:t>
      </w:r>
      <w:r w:rsidR="000C79AC" w:rsidRPr="00F97360">
        <w:rPr>
          <w:rStyle w:val="DefTerm"/>
          <w:b w:val="0"/>
          <w:color w:val="auto"/>
          <w:sz w:val="20"/>
        </w:rPr>
        <w:t xml:space="preserve">Performance </w:t>
      </w:r>
      <w:r w:rsidR="000C79AC" w:rsidRPr="00F97360">
        <w:rPr>
          <w:rStyle w:val="DefTerm"/>
          <w:b w:val="0"/>
          <w:bCs/>
          <w:color w:val="auto"/>
          <w:sz w:val="20"/>
        </w:rPr>
        <w:t xml:space="preserve">Measurement Date (if any, or, where the Award has multiple Performance Measurement Dates, the final Performance Measurement Date) and (b) the first Dealing Day following the end of the Vesting </w:t>
      </w:r>
      <w:r w:rsidR="000C79AC" w:rsidRPr="00F97360">
        <w:rPr>
          <w:rStyle w:val="DefTerm"/>
          <w:b w:val="0"/>
          <w:bCs/>
          <w:color w:val="auto"/>
          <w:sz w:val="20"/>
        </w:rPr>
        <w:lastRenderedPageBreak/>
        <w:t>Period (or where that date falls in a Closed Period, the first Dealing Day following the end of that Closed Period).</w:t>
      </w:r>
      <w:bookmarkEnd w:id="56"/>
    </w:p>
    <w:p w14:paraId="56712DCC" w14:textId="2C0E66E7" w:rsidR="00E70136" w:rsidRPr="00F97360" w:rsidRDefault="00D8597D" w:rsidP="00E70136">
      <w:pPr>
        <w:pStyle w:val="DefinedTermPara"/>
        <w:rPr>
          <w:rStyle w:val="DefTerm"/>
          <w:color w:val="auto"/>
          <w:sz w:val="20"/>
        </w:rPr>
      </w:pPr>
      <w:bookmarkStart w:id="57" w:name="a967923"/>
      <w:bookmarkEnd w:id="55"/>
      <w:r w:rsidRPr="00F97360">
        <w:rPr>
          <w:rStyle w:val="DefTerm"/>
          <w:color w:val="auto"/>
          <w:sz w:val="20"/>
        </w:rPr>
        <w:t xml:space="preserve">Performance </w:t>
      </w:r>
      <w:r w:rsidR="007B4FB5" w:rsidRPr="00F97360">
        <w:rPr>
          <w:rStyle w:val="DefTerm"/>
          <w:color w:val="auto"/>
          <w:sz w:val="20"/>
        </w:rPr>
        <w:t>Condition</w:t>
      </w:r>
      <w:r w:rsidRPr="00F97360">
        <w:rPr>
          <w:rFonts w:ascii="Arial" w:hAnsi="Arial" w:cs="Arial"/>
          <w:sz w:val="20"/>
        </w:rPr>
        <w:t xml:space="preserve">: a condition set </w:t>
      </w:r>
      <w:r w:rsidR="0075563D" w:rsidRPr="00F97360">
        <w:rPr>
          <w:rFonts w:ascii="Arial" w:hAnsi="Arial" w:cs="Arial"/>
          <w:sz w:val="20"/>
        </w:rPr>
        <w:t xml:space="preserve">under </w:t>
      </w:r>
      <w:r w:rsidR="007B4FB5" w:rsidRPr="00F97360">
        <w:rPr>
          <w:rFonts w:ascii="Arial" w:hAnsi="Arial" w:cs="Arial"/>
          <w:sz w:val="20"/>
        </w:rPr>
        <w:fldChar w:fldCharType="begin"/>
      </w:r>
      <w:r w:rsidR="007B4FB5" w:rsidRPr="00F97360">
        <w:rPr>
          <w:rFonts w:ascii="Arial" w:hAnsi="Arial" w:cs="Arial"/>
          <w:sz w:val="20"/>
        </w:rPr>
        <w:instrText>PAGEREF a920421\# "'rule '"  \h</w:instrText>
      </w:r>
      <w:r w:rsidR="007B4FB5" w:rsidRPr="00F97360">
        <w:rPr>
          <w:rFonts w:ascii="Arial" w:hAnsi="Arial" w:cs="Arial"/>
          <w:sz w:val="20"/>
        </w:rPr>
      </w:r>
      <w:r w:rsidR="007B4FB5" w:rsidRPr="00F97360">
        <w:rPr>
          <w:rFonts w:ascii="Arial" w:hAnsi="Arial" w:cs="Arial"/>
          <w:sz w:val="20"/>
        </w:rPr>
        <w:fldChar w:fldCharType="separate"/>
      </w:r>
      <w:r w:rsidR="00710210" w:rsidRPr="00F97360">
        <w:rPr>
          <w:rFonts w:ascii="Arial" w:hAnsi="Arial" w:cs="Arial"/>
          <w:sz w:val="20"/>
        </w:rPr>
        <w:t xml:space="preserve">rule </w:t>
      </w:r>
      <w:r w:rsidR="007B4FB5" w:rsidRPr="00F97360">
        <w:rPr>
          <w:rFonts w:ascii="Arial" w:hAnsi="Arial" w:cs="Arial"/>
          <w:sz w:val="20"/>
        </w:rPr>
        <w:fldChar w:fldCharType="end"/>
      </w:r>
      <w:r w:rsidR="007B4FB5" w:rsidRPr="00F97360">
        <w:rPr>
          <w:rFonts w:ascii="Arial" w:hAnsi="Arial" w:cs="Arial"/>
          <w:sz w:val="20"/>
        </w:rPr>
        <w:fldChar w:fldCharType="begin"/>
      </w:r>
      <w:r w:rsidR="007B4FB5" w:rsidRPr="00F97360">
        <w:rPr>
          <w:rFonts w:ascii="Arial" w:hAnsi="Arial" w:cs="Arial"/>
          <w:sz w:val="20"/>
          <w:highlight w:val="lightGray"/>
        </w:rPr>
        <w:instrText>REF a920421 \h \w</w:instrText>
      </w:r>
      <w:r w:rsidR="0037270F" w:rsidRPr="00F97360">
        <w:rPr>
          <w:rFonts w:ascii="Arial" w:hAnsi="Arial" w:cs="Arial"/>
          <w:sz w:val="20"/>
        </w:rPr>
        <w:instrText xml:space="preserve"> \* MERGEFORMAT </w:instrText>
      </w:r>
      <w:r w:rsidR="007B4FB5" w:rsidRPr="00F97360">
        <w:rPr>
          <w:rFonts w:ascii="Arial" w:hAnsi="Arial" w:cs="Arial"/>
          <w:sz w:val="20"/>
        </w:rPr>
      </w:r>
      <w:r w:rsidR="007B4FB5" w:rsidRPr="00F97360">
        <w:rPr>
          <w:rFonts w:ascii="Arial" w:hAnsi="Arial" w:cs="Arial"/>
          <w:sz w:val="20"/>
        </w:rPr>
        <w:fldChar w:fldCharType="separate"/>
      </w:r>
      <w:r w:rsidR="00710210" w:rsidRPr="00F97360">
        <w:rPr>
          <w:rFonts w:ascii="Arial" w:hAnsi="Arial" w:cs="Arial"/>
          <w:sz w:val="20"/>
          <w:highlight w:val="lightGray"/>
        </w:rPr>
        <w:t>3</w:t>
      </w:r>
      <w:r w:rsidR="007B4FB5" w:rsidRPr="00F97360">
        <w:rPr>
          <w:rFonts w:ascii="Arial" w:hAnsi="Arial" w:cs="Arial"/>
          <w:sz w:val="20"/>
        </w:rPr>
        <w:fldChar w:fldCharType="end"/>
      </w:r>
      <w:r w:rsidR="007B4FB5" w:rsidRPr="00F97360">
        <w:rPr>
          <w:rFonts w:ascii="Arial" w:hAnsi="Arial" w:cs="Arial"/>
          <w:sz w:val="20"/>
        </w:rPr>
        <w:t xml:space="preserve"> </w:t>
      </w:r>
      <w:r w:rsidR="0074782C" w:rsidRPr="00F97360">
        <w:rPr>
          <w:rFonts w:ascii="Arial" w:hAnsi="Arial" w:cs="Arial"/>
          <w:sz w:val="20"/>
        </w:rPr>
        <w:t>which</w:t>
      </w:r>
      <w:r w:rsidRPr="00F97360">
        <w:rPr>
          <w:rFonts w:ascii="Arial" w:hAnsi="Arial" w:cs="Arial"/>
          <w:sz w:val="20"/>
        </w:rPr>
        <w:t>:</w:t>
      </w:r>
    </w:p>
    <w:p w14:paraId="56712DCD" w14:textId="32CAC54E" w:rsidR="00E70136" w:rsidRPr="00F97360" w:rsidRDefault="00D8597D" w:rsidP="00F97360">
      <w:pPr>
        <w:pStyle w:val="DefinedTermNumber"/>
        <w:tabs>
          <w:tab w:val="clear" w:pos="1554"/>
          <w:tab w:val="num" w:pos="1985"/>
        </w:tabs>
        <w:ind w:left="1985" w:hanging="567"/>
        <w:rPr>
          <w:rFonts w:ascii="Arial" w:hAnsi="Arial" w:cs="Arial"/>
          <w:sz w:val="20"/>
        </w:rPr>
      </w:pPr>
      <w:r w:rsidRPr="00F97360">
        <w:rPr>
          <w:rFonts w:ascii="Arial" w:hAnsi="Arial" w:cs="Arial"/>
          <w:sz w:val="20"/>
        </w:rPr>
        <w:t>must</w:t>
      </w:r>
      <w:r w:rsidR="0013473B" w:rsidRPr="00F97360">
        <w:rPr>
          <w:rFonts w:ascii="Arial" w:hAnsi="Arial" w:cs="Arial"/>
          <w:sz w:val="20"/>
        </w:rPr>
        <w:t xml:space="preserve"> </w:t>
      </w:r>
      <w:r w:rsidRPr="00F97360">
        <w:rPr>
          <w:rFonts w:ascii="Arial" w:hAnsi="Arial" w:cs="Arial"/>
          <w:sz w:val="20"/>
        </w:rPr>
        <w:t xml:space="preserve">be satisfied before </w:t>
      </w:r>
      <w:r w:rsidR="00D93C59" w:rsidRPr="00F97360">
        <w:rPr>
          <w:rFonts w:ascii="Arial" w:hAnsi="Arial" w:cs="Arial"/>
          <w:sz w:val="20"/>
        </w:rPr>
        <w:t>an Award</w:t>
      </w:r>
      <w:r w:rsidR="00FB3532" w:rsidRPr="00F97360">
        <w:rPr>
          <w:rFonts w:ascii="Arial" w:hAnsi="Arial" w:cs="Arial"/>
          <w:sz w:val="20"/>
        </w:rPr>
        <w:t xml:space="preserve"> (or part thereof) can</w:t>
      </w:r>
      <w:r w:rsidRPr="00F97360">
        <w:rPr>
          <w:rFonts w:ascii="Arial" w:hAnsi="Arial" w:cs="Arial"/>
          <w:sz w:val="20"/>
        </w:rPr>
        <w:t xml:space="preserve"> </w:t>
      </w:r>
      <w:r w:rsidR="005664F4" w:rsidRPr="00F97360">
        <w:rPr>
          <w:rFonts w:ascii="Arial" w:hAnsi="Arial" w:cs="Arial"/>
          <w:sz w:val="20"/>
        </w:rPr>
        <w:t>Vest</w:t>
      </w:r>
      <w:r w:rsidR="00625B45" w:rsidRPr="00F97360">
        <w:rPr>
          <w:rFonts w:ascii="Arial" w:hAnsi="Arial" w:cs="Arial"/>
          <w:sz w:val="20"/>
        </w:rPr>
        <w:t>,</w:t>
      </w:r>
      <w:r w:rsidRPr="00F97360">
        <w:rPr>
          <w:rFonts w:ascii="Arial" w:hAnsi="Arial" w:cs="Arial"/>
          <w:sz w:val="20"/>
        </w:rPr>
        <w:t xml:space="preserve"> and</w:t>
      </w:r>
    </w:p>
    <w:p w14:paraId="56712DCE" w14:textId="462FB8A0" w:rsidR="00E70136" w:rsidRPr="00F97360" w:rsidRDefault="00D8597D" w:rsidP="00F97360">
      <w:pPr>
        <w:pStyle w:val="DefinedTermNumber"/>
        <w:tabs>
          <w:tab w:val="clear" w:pos="1554"/>
          <w:tab w:val="num" w:pos="1985"/>
        </w:tabs>
        <w:ind w:left="1985" w:hanging="567"/>
        <w:rPr>
          <w:rFonts w:ascii="Arial" w:hAnsi="Arial" w:cs="Arial"/>
          <w:sz w:val="20"/>
        </w:rPr>
      </w:pPr>
      <w:r w:rsidRPr="00F97360">
        <w:rPr>
          <w:rFonts w:ascii="Arial" w:hAnsi="Arial" w:cs="Arial"/>
          <w:sz w:val="20"/>
        </w:rPr>
        <w:t>is specified in the Award Certificate.</w:t>
      </w:r>
    </w:p>
    <w:p w14:paraId="25189D52" w14:textId="46009629" w:rsidR="007B4FB5" w:rsidRPr="00F97360" w:rsidRDefault="007B4FB5" w:rsidP="004B3B0C">
      <w:pPr>
        <w:pStyle w:val="DefinedTermPara"/>
        <w:rPr>
          <w:rFonts w:ascii="Arial" w:hAnsi="Arial" w:cs="Arial"/>
          <w:sz w:val="20"/>
        </w:rPr>
      </w:pPr>
      <w:bookmarkStart w:id="58" w:name="_Hlk79406381"/>
      <w:bookmarkStart w:id="59" w:name="a508988"/>
      <w:r w:rsidRPr="00F97360">
        <w:rPr>
          <w:rStyle w:val="DefTerm"/>
          <w:color w:val="auto"/>
          <w:sz w:val="20"/>
        </w:rPr>
        <w:t>Performance Measurement Date</w:t>
      </w:r>
      <w:r w:rsidRPr="00F97360">
        <w:rPr>
          <w:rFonts w:ascii="Arial" w:hAnsi="Arial" w:cs="Arial"/>
          <w:sz w:val="20"/>
        </w:rPr>
        <w:t xml:space="preserve">: the date on which the </w:t>
      </w:r>
      <w:r w:rsidR="00B00B6F" w:rsidRPr="00F97360">
        <w:rPr>
          <w:rFonts w:ascii="Arial" w:hAnsi="Arial" w:cs="Arial"/>
          <w:sz w:val="20"/>
        </w:rPr>
        <w:t>Remuneration Committee</w:t>
      </w:r>
      <w:r w:rsidRPr="00F97360">
        <w:rPr>
          <w:rFonts w:ascii="Arial" w:hAnsi="Arial" w:cs="Arial"/>
          <w:sz w:val="20"/>
        </w:rPr>
        <w:t xml:space="preserve"> determines </w:t>
      </w:r>
      <w:r w:rsidR="0012296E" w:rsidRPr="00F97360">
        <w:rPr>
          <w:rFonts w:ascii="Arial" w:hAnsi="Arial" w:cs="Arial"/>
          <w:sz w:val="20"/>
        </w:rPr>
        <w:t>the extent to which</w:t>
      </w:r>
      <w:r w:rsidRPr="00F97360">
        <w:rPr>
          <w:rFonts w:ascii="Arial" w:hAnsi="Arial" w:cs="Arial"/>
          <w:sz w:val="20"/>
        </w:rPr>
        <w:t xml:space="preserve"> any Performance Condition</w:t>
      </w:r>
      <w:r w:rsidR="0012296E" w:rsidRPr="00F97360">
        <w:rPr>
          <w:rFonts w:ascii="Arial" w:hAnsi="Arial" w:cs="Arial"/>
          <w:sz w:val="20"/>
        </w:rPr>
        <w:t>(s)</w:t>
      </w:r>
      <w:r w:rsidRPr="00F97360">
        <w:rPr>
          <w:rFonts w:ascii="Arial" w:hAnsi="Arial" w:cs="Arial"/>
          <w:sz w:val="20"/>
        </w:rPr>
        <w:t xml:space="preserve"> </w:t>
      </w:r>
      <w:r w:rsidR="006F4460" w:rsidRPr="00F97360">
        <w:rPr>
          <w:rFonts w:ascii="Arial" w:hAnsi="Arial" w:cs="Arial"/>
          <w:sz w:val="20"/>
        </w:rPr>
        <w:t>to which</w:t>
      </w:r>
      <w:r w:rsidRPr="00F97360">
        <w:rPr>
          <w:rFonts w:ascii="Arial" w:hAnsi="Arial" w:cs="Arial"/>
          <w:sz w:val="20"/>
        </w:rPr>
        <w:t xml:space="preserve"> the </w:t>
      </w:r>
      <w:r w:rsidR="005664F4" w:rsidRPr="00F97360">
        <w:rPr>
          <w:rFonts w:ascii="Arial" w:hAnsi="Arial" w:cs="Arial"/>
          <w:sz w:val="20"/>
        </w:rPr>
        <w:t>Vesting</w:t>
      </w:r>
      <w:r w:rsidRPr="00F97360">
        <w:rPr>
          <w:rFonts w:ascii="Arial" w:hAnsi="Arial" w:cs="Arial"/>
          <w:sz w:val="20"/>
        </w:rPr>
        <w:t xml:space="preserve"> of the Award </w:t>
      </w:r>
      <w:r w:rsidR="00021D92" w:rsidRPr="00F97360">
        <w:rPr>
          <w:rFonts w:ascii="Arial" w:hAnsi="Arial" w:cs="Arial"/>
          <w:sz w:val="20"/>
        </w:rPr>
        <w:t xml:space="preserve">(or part thereof) </w:t>
      </w:r>
      <w:r w:rsidR="006F4460" w:rsidRPr="00F97360">
        <w:rPr>
          <w:rFonts w:ascii="Arial" w:hAnsi="Arial" w:cs="Arial"/>
          <w:sz w:val="20"/>
        </w:rPr>
        <w:t xml:space="preserve">is subject </w:t>
      </w:r>
      <w:r w:rsidRPr="00F97360">
        <w:rPr>
          <w:rFonts w:ascii="Arial" w:hAnsi="Arial" w:cs="Arial"/>
          <w:sz w:val="20"/>
        </w:rPr>
        <w:t>has</w:t>
      </w:r>
      <w:r w:rsidR="0012296E" w:rsidRPr="00F97360">
        <w:rPr>
          <w:rFonts w:ascii="Arial" w:hAnsi="Arial" w:cs="Arial"/>
          <w:sz w:val="20"/>
        </w:rPr>
        <w:t xml:space="preserve">/have </w:t>
      </w:r>
      <w:r w:rsidRPr="00F97360">
        <w:rPr>
          <w:rFonts w:ascii="Arial" w:hAnsi="Arial" w:cs="Arial"/>
          <w:sz w:val="20"/>
        </w:rPr>
        <w:t>been satisfied</w:t>
      </w:r>
      <w:bookmarkEnd w:id="58"/>
      <w:r w:rsidRPr="00F97360">
        <w:rPr>
          <w:rFonts w:ascii="Arial" w:hAnsi="Arial" w:cs="Arial"/>
          <w:sz w:val="20"/>
        </w:rPr>
        <w:t xml:space="preserve">. </w:t>
      </w:r>
      <w:bookmarkEnd w:id="59"/>
      <w:r w:rsidR="00B84560" w:rsidRPr="00F97360">
        <w:rPr>
          <w:rFonts w:ascii="Arial" w:hAnsi="Arial" w:cs="Arial"/>
          <w:sz w:val="20"/>
        </w:rPr>
        <w:t>A</w:t>
      </w:r>
      <w:r w:rsidRPr="00F97360">
        <w:rPr>
          <w:rFonts w:ascii="Arial" w:hAnsi="Arial" w:cs="Arial"/>
          <w:sz w:val="20"/>
        </w:rPr>
        <w:t>n Award may have more than one Performance Measurement Date.</w:t>
      </w:r>
    </w:p>
    <w:p w14:paraId="3C5816E6" w14:textId="38ABDDBA" w:rsidR="007B4FB5" w:rsidRPr="00F97360" w:rsidRDefault="007B4FB5" w:rsidP="007B4FB5">
      <w:pPr>
        <w:pStyle w:val="DefinedTermPara"/>
        <w:rPr>
          <w:rStyle w:val="DefTerm"/>
          <w:color w:val="auto"/>
          <w:sz w:val="20"/>
        </w:rPr>
      </w:pPr>
      <w:bookmarkStart w:id="60" w:name="a303970"/>
      <w:r w:rsidRPr="00F97360">
        <w:rPr>
          <w:rStyle w:val="DefTerm"/>
          <w:color w:val="auto"/>
          <w:sz w:val="20"/>
        </w:rPr>
        <w:t>Performance Period</w:t>
      </w:r>
      <w:r w:rsidRPr="00F97360">
        <w:rPr>
          <w:rFonts w:ascii="Arial" w:hAnsi="Arial" w:cs="Arial"/>
          <w:sz w:val="20"/>
        </w:rPr>
        <w:t xml:space="preserve">: the period over which performance is measured to determine </w:t>
      </w:r>
      <w:r w:rsidR="003A055D" w:rsidRPr="00F97360">
        <w:rPr>
          <w:rFonts w:ascii="Arial" w:hAnsi="Arial" w:cs="Arial"/>
          <w:sz w:val="20"/>
        </w:rPr>
        <w:t xml:space="preserve">the extent to which any Performance Condition(s) </w:t>
      </w:r>
      <w:r w:rsidRPr="00F97360">
        <w:rPr>
          <w:rFonts w:ascii="Arial" w:hAnsi="Arial" w:cs="Arial"/>
          <w:sz w:val="20"/>
        </w:rPr>
        <w:t>has</w:t>
      </w:r>
      <w:r w:rsidR="003A055D" w:rsidRPr="00F97360">
        <w:rPr>
          <w:rFonts w:ascii="Arial" w:hAnsi="Arial" w:cs="Arial"/>
          <w:sz w:val="20"/>
        </w:rPr>
        <w:t>/have</w:t>
      </w:r>
      <w:r w:rsidRPr="00F97360">
        <w:rPr>
          <w:rFonts w:ascii="Arial" w:hAnsi="Arial" w:cs="Arial"/>
          <w:sz w:val="20"/>
        </w:rPr>
        <w:t xml:space="preserve"> been achieved, which</w:t>
      </w:r>
      <w:r w:rsidR="00931AF7" w:rsidRPr="00F97360">
        <w:rPr>
          <w:rFonts w:ascii="Arial" w:hAnsi="Arial" w:cs="Arial"/>
          <w:sz w:val="20"/>
        </w:rPr>
        <w:t xml:space="preserve"> in respect of Awards granted to Executive Directors</w:t>
      </w:r>
      <w:r w:rsidRPr="00F97360">
        <w:rPr>
          <w:rFonts w:ascii="Arial" w:hAnsi="Arial" w:cs="Arial"/>
          <w:sz w:val="20"/>
        </w:rPr>
        <w:t xml:space="preserve"> shall not </w:t>
      </w:r>
      <w:r w:rsidR="001B21E5" w:rsidRPr="00F97360">
        <w:rPr>
          <w:rFonts w:ascii="Arial" w:hAnsi="Arial" w:cs="Arial"/>
          <w:sz w:val="20"/>
        </w:rPr>
        <w:t xml:space="preserve">ordinarily </w:t>
      </w:r>
      <w:r w:rsidRPr="00F97360">
        <w:rPr>
          <w:rFonts w:ascii="Arial" w:hAnsi="Arial" w:cs="Arial"/>
          <w:sz w:val="20"/>
        </w:rPr>
        <w:t>be less than three years.</w:t>
      </w:r>
      <w:bookmarkEnd w:id="60"/>
    </w:p>
    <w:p w14:paraId="56712DCF" w14:textId="1583EBC4" w:rsidR="007B4FB5" w:rsidRPr="00F97360" w:rsidRDefault="00D8597D" w:rsidP="007B4FB5">
      <w:pPr>
        <w:pStyle w:val="DefinedTermPara"/>
        <w:rPr>
          <w:rStyle w:val="DefTerm"/>
          <w:color w:val="auto"/>
          <w:sz w:val="20"/>
        </w:rPr>
      </w:pPr>
      <w:r w:rsidRPr="00F97360">
        <w:rPr>
          <w:rStyle w:val="DefTerm"/>
          <w:color w:val="auto"/>
          <w:sz w:val="20"/>
        </w:rPr>
        <w:t>Phantom Option</w:t>
      </w:r>
      <w:r w:rsidRPr="00F97360">
        <w:rPr>
          <w:rFonts w:ascii="Arial" w:hAnsi="Arial" w:cs="Arial"/>
          <w:sz w:val="20"/>
        </w:rPr>
        <w:t xml:space="preserve">: an </w:t>
      </w:r>
      <w:r w:rsidR="003A055D" w:rsidRPr="00F97360">
        <w:rPr>
          <w:rFonts w:ascii="Arial" w:hAnsi="Arial" w:cs="Arial"/>
          <w:sz w:val="20"/>
        </w:rPr>
        <w:t>o</w:t>
      </w:r>
      <w:r w:rsidRPr="00F97360">
        <w:rPr>
          <w:rFonts w:ascii="Arial" w:hAnsi="Arial" w:cs="Arial"/>
          <w:sz w:val="20"/>
        </w:rPr>
        <w:t>ption to receive</w:t>
      </w:r>
      <w:r w:rsidR="004A1D8A" w:rsidRPr="00F97360">
        <w:rPr>
          <w:rFonts w:ascii="Arial" w:hAnsi="Arial" w:cs="Arial"/>
          <w:sz w:val="20"/>
        </w:rPr>
        <w:t xml:space="preserve"> </w:t>
      </w:r>
      <w:r w:rsidRPr="00F97360">
        <w:rPr>
          <w:rFonts w:ascii="Arial" w:hAnsi="Arial" w:cs="Arial"/>
          <w:sz w:val="20"/>
        </w:rPr>
        <w:t>a cash payment on</w:t>
      </w:r>
      <w:r w:rsidR="001314D0" w:rsidRPr="00F97360">
        <w:rPr>
          <w:rFonts w:ascii="Arial" w:hAnsi="Arial" w:cs="Arial"/>
          <w:sz w:val="20"/>
        </w:rPr>
        <w:t xml:space="preserve"> </w:t>
      </w:r>
      <w:r w:rsidRPr="00F97360">
        <w:rPr>
          <w:rFonts w:ascii="Arial" w:hAnsi="Arial" w:cs="Arial"/>
          <w:sz w:val="20"/>
        </w:rPr>
        <w:t>exercise equal to the Market Value of a specified number of Shares.</w:t>
      </w:r>
      <w:bookmarkEnd w:id="57"/>
    </w:p>
    <w:p w14:paraId="56712DD0" w14:textId="17109A17" w:rsidR="007B4FB5" w:rsidRPr="00F97360" w:rsidRDefault="00D8597D" w:rsidP="007B4FB5">
      <w:pPr>
        <w:pStyle w:val="DefinedTermPara"/>
        <w:rPr>
          <w:rStyle w:val="DefTerm"/>
          <w:color w:val="auto"/>
          <w:sz w:val="20"/>
        </w:rPr>
      </w:pPr>
      <w:bookmarkStart w:id="61" w:name="a869952"/>
      <w:r w:rsidRPr="00F97360">
        <w:rPr>
          <w:rStyle w:val="DefTerm"/>
          <w:color w:val="auto"/>
          <w:sz w:val="20"/>
        </w:rPr>
        <w:t>Phantom Share Award</w:t>
      </w:r>
      <w:r w:rsidRPr="00F97360">
        <w:rPr>
          <w:rFonts w:ascii="Arial" w:hAnsi="Arial" w:cs="Arial"/>
          <w:sz w:val="20"/>
        </w:rPr>
        <w:t xml:space="preserve">: a right to receive a cash payment on the </w:t>
      </w:r>
      <w:r w:rsidR="00D44FC6" w:rsidRPr="00F97360">
        <w:rPr>
          <w:rFonts w:ascii="Arial" w:hAnsi="Arial" w:cs="Arial"/>
          <w:sz w:val="20"/>
        </w:rPr>
        <w:t>Vesting Date</w:t>
      </w:r>
      <w:r w:rsidRPr="00F97360">
        <w:rPr>
          <w:rFonts w:ascii="Arial" w:hAnsi="Arial" w:cs="Arial"/>
          <w:sz w:val="20"/>
        </w:rPr>
        <w:t xml:space="preserve"> equal to the Market Value of a specified number of Shares.</w:t>
      </w:r>
      <w:bookmarkEnd w:id="61"/>
    </w:p>
    <w:p w14:paraId="56712DD1" w14:textId="6D7B5B55" w:rsidR="007B4FB5" w:rsidRPr="00F97360" w:rsidRDefault="00D8597D" w:rsidP="007B4FB5">
      <w:pPr>
        <w:pStyle w:val="DefinedTermPara"/>
        <w:rPr>
          <w:rStyle w:val="DefTerm"/>
          <w:color w:val="auto"/>
          <w:sz w:val="20"/>
        </w:rPr>
      </w:pPr>
      <w:bookmarkStart w:id="62" w:name="a441532"/>
      <w:r w:rsidRPr="00F97360">
        <w:rPr>
          <w:rStyle w:val="DefTerm"/>
          <w:color w:val="auto"/>
          <w:sz w:val="20"/>
        </w:rPr>
        <w:t>Plan</w:t>
      </w:r>
      <w:r w:rsidRPr="00F97360">
        <w:rPr>
          <w:rFonts w:ascii="Arial" w:hAnsi="Arial" w:cs="Arial"/>
          <w:sz w:val="20"/>
        </w:rPr>
        <w:t xml:space="preserve">: the </w:t>
      </w:r>
      <w:r w:rsidR="006F4460" w:rsidRPr="00F97360">
        <w:rPr>
          <w:rFonts w:ascii="Arial" w:hAnsi="Arial" w:cs="Arial"/>
          <w:sz w:val="20"/>
        </w:rPr>
        <w:t>E</w:t>
      </w:r>
      <w:r w:rsidRPr="00F97360">
        <w:rPr>
          <w:rFonts w:ascii="Arial" w:hAnsi="Arial" w:cs="Arial"/>
          <w:sz w:val="20"/>
        </w:rPr>
        <w:t>mployee</w:t>
      </w:r>
      <w:r w:rsidR="00E11C32" w:rsidRPr="00F97360">
        <w:rPr>
          <w:rFonts w:ascii="Arial" w:hAnsi="Arial" w:cs="Arial"/>
          <w:sz w:val="20"/>
        </w:rPr>
        <w:t>s’</w:t>
      </w:r>
      <w:r w:rsidRPr="00F97360">
        <w:rPr>
          <w:rFonts w:ascii="Arial" w:hAnsi="Arial" w:cs="Arial"/>
          <w:sz w:val="20"/>
        </w:rPr>
        <w:t xml:space="preserve"> </w:t>
      </w:r>
      <w:r w:rsidR="006F4460" w:rsidRPr="00F97360">
        <w:rPr>
          <w:rFonts w:ascii="Arial" w:hAnsi="Arial" w:cs="Arial"/>
          <w:sz w:val="20"/>
        </w:rPr>
        <w:t>S</w:t>
      </w:r>
      <w:r w:rsidRPr="00F97360">
        <w:rPr>
          <w:rFonts w:ascii="Arial" w:hAnsi="Arial" w:cs="Arial"/>
          <w:sz w:val="20"/>
        </w:rPr>
        <w:t xml:space="preserve">hare </w:t>
      </w:r>
      <w:r w:rsidR="006F4460" w:rsidRPr="00F97360">
        <w:rPr>
          <w:rFonts w:ascii="Arial" w:hAnsi="Arial" w:cs="Arial"/>
          <w:sz w:val="20"/>
        </w:rPr>
        <w:t>Scheme</w:t>
      </w:r>
      <w:r w:rsidRPr="00F97360">
        <w:rPr>
          <w:rFonts w:ascii="Arial" w:hAnsi="Arial" w:cs="Arial"/>
          <w:sz w:val="20"/>
        </w:rPr>
        <w:t xml:space="preserve"> constituted and governed by these rules, as amended from time to time.</w:t>
      </w:r>
      <w:bookmarkEnd w:id="62"/>
    </w:p>
    <w:p w14:paraId="6876E27C" w14:textId="77777777" w:rsidR="006F712F" w:rsidRPr="00F97360" w:rsidRDefault="006F712F" w:rsidP="006F712F">
      <w:pPr>
        <w:pStyle w:val="DefinedTermPara"/>
        <w:rPr>
          <w:rStyle w:val="DefTerm"/>
          <w:color w:val="auto"/>
          <w:sz w:val="20"/>
        </w:rPr>
      </w:pPr>
      <w:bookmarkStart w:id="63" w:name="_Hlk86414447"/>
      <w:bookmarkStart w:id="64" w:name="a946238"/>
      <w:bookmarkStart w:id="65" w:name="a284081"/>
      <w:bookmarkStart w:id="66" w:name="_Hlk103767786"/>
      <w:bookmarkStart w:id="67" w:name="a607221"/>
      <w:r w:rsidRPr="00F97360">
        <w:rPr>
          <w:rStyle w:val="DefTerm"/>
          <w:color w:val="auto"/>
          <w:sz w:val="20"/>
        </w:rPr>
        <w:t>Relevant Company</w:t>
      </w:r>
      <w:r w:rsidRPr="00F97360">
        <w:rPr>
          <w:rStyle w:val="DefTerm"/>
          <w:b w:val="0"/>
          <w:bCs/>
          <w:color w:val="auto"/>
          <w:sz w:val="20"/>
        </w:rPr>
        <w:t xml:space="preserve">: </w:t>
      </w:r>
      <w:r w:rsidRPr="00F97360">
        <w:rPr>
          <w:rFonts w:ascii="Arial" w:hAnsi="Arial" w:cs="Arial"/>
          <w:sz w:val="20"/>
        </w:rPr>
        <w:t>the Award Holder's</w:t>
      </w:r>
      <w:r w:rsidRPr="00F97360">
        <w:rPr>
          <w:rFonts w:ascii="Arial" w:hAnsi="Arial" w:cs="Arial"/>
          <w:b/>
          <w:sz w:val="20"/>
        </w:rPr>
        <w:t xml:space="preserve"> </w:t>
      </w:r>
      <w:r w:rsidRPr="00F97360">
        <w:rPr>
          <w:rFonts w:ascii="Arial" w:hAnsi="Arial" w:cs="Arial"/>
          <w:sz w:val="20"/>
        </w:rPr>
        <w:t>Employer Company or any other person who is or could be required to account to any Tax Authority for a Tax Liability in respect of an Award Holder.</w:t>
      </w:r>
    </w:p>
    <w:bookmarkEnd w:id="63"/>
    <w:p w14:paraId="50F7DBEC" w14:textId="4E4A8510" w:rsidR="007B4FB5" w:rsidRPr="00F97360" w:rsidRDefault="00420BBF" w:rsidP="007B4FB5">
      <w:pPr>
        <w:pStyle w:val="DefinedTermPara"/>
        <w:rPr>
          <w:rStyle w:val="DefTerm"/>
          <w:color w:val="auto"/>
          <w:sz w:val="20"/>
        </w:rPr>
      </w:pPr>
      <w:r w:rsidRPr="00F97360">
        <w:rPr>
          <w:rStyle w:val="DefTerm"/>
          <w:color w:val="auto"/>
          <w:sz w:val="20"/>
        </w:rPr>
        <w:t>Relevant Number</w:t>
      </w:r>
      <w:r w:rsidR="007B4FB5" w:rsidRPr="00F97360">
        <w:rPr>
          <w:rFonts w:ascii="Arial" w:hAnsi="Arial" w:cs="Arial"/>
          <w:sz w:val="20"/>
        </w:rPr>
        <w:t xml:space="preserve">: has the meaning given in </w:t>
      </w:r>
      <w:r w:rsidR="007B4FB5" w:rsidRPr="00F97360">
        <w:rPr>
          <w:rFonts w:ascii="Arial" w:hAnsi="Arial" w:cs="Arial"/>
          <w:sz w:val="20"/>
        </w:rPr>
        <w:fldChar w:fldCharType="begin"/>
      </w:r>
      <w:r w:rsidR="007B4FB5" w:rsidRPr="00F97360">
        <w:rPr>
          <w:rFonts w:ascii="Arial" w:hAnsi="Arial" w:cs="Arial"/>
          <w:sz w:val="20"/>
        </w:rPr>
        <w:instrText>PAGEREF a324210\# "'rule '"  \h</w:instrText>
      </w:r>
      <w:r w:rsidR="007B4FB5" w:rsidRPr="00F97360">
        <w:rPr>
          <w:rFonts w:ascii="Arial" w:hAnsi="Arial" w:cs="Arial"/>
          <w:sz w:val="20"/>
        </w:rPr>
      </w:r>
      <w:r w:rsidR="007B4FB5" w:rsidRPr="00F97360">
        <w:rPr>
          <w:rFonts w:ascii="Arial" w:hAnsi="Arial" w:cs="Arial"/>
          <w:sz w:val="20"/>
        </w:rPr>
        <w:fldChar w:fldCharType="separate"/>
      </w:r>
      <w:r w:rsidR="00710210" w:rsidRPr="00F97360">
        <w:rPr>
          <w:rFonts w:ascii="Arial" w:hAnsi="Arial" w:cs="Arial"/>
          <w:sz w:val="20"/>
        </w:rPr>
        <w:t xml:space="preserve">rule </w:t>
      </w:r>
      <w:r w:rsidR="007B4FB5" w:rsidRPr="00F97360">
        <w:rPr>
          <w:rFonts w:ascii="Arial" w:hAnsi="Arial" w:cs="Arial"/>
          <w:sz w:val="20"/>
        </w:rPr>
        <w:fldChar w:fldCharType="end"/>
      </w:r>
      <w:r w:rsidR="007B4FB5" w:rsidRPr="00F97360">
        <w:rPr>
          <w:rFonts w:ascii="Arial" w:hAnsi="Arial" w:cs="Arial"/>
          <w:sz w:val="20"/>
        </w:rPr>
        <w:fldChar w:fldCharType="begin"/>
      </w:r>
      <w:r w:rsidR="007B4FB5" w:rsidRPr="00F97360">
        <w:rPr>
          <w:rFonts w:ascii="Arial" w:hAnsi="Arial" w:cs="Arial"/>
          <w:sz w:val="20"/>
          <w:highlight w:val="lightGray"/>
        </w:rPr>
        <w:instrText>REF a324210 \h \w</w:instrText>
      </w:r>
      <w:r w:rsidR="0037270F" w:rsidRPr="00F97360">
        <w:rPr>
          <w:rFonts w:ascii="Arial" w:hAnsi="Arial" w:cs="Arial"/>
          <w:sz w:val="20"/>
        </w:rPr>
        <w:instrText xml:space="preserve"> \* MERGEFORMAT </w:instrText>
      </w:r>
      <w:r w:rsidR="007B4FB5" w:rsidRPr="00F97360">
        <w:rPr>
          <w:rFonts w:ascii="Arial" w:hAnsi="Arial" w:cs="Arial"/>
          <w:sz w:val="20"/>
        </w:rPr>
      </w:r>
      <w:r w:rsidR="007B4FB5" w:rsidRPr="00F97360">
        <w:rPr>
          <w:rFonts w:ascii="Arial" w:hAnsi="Arial" w:cs="Arial"/>
          <w:sz w:val="20"/>
        </w:rPr>
        <w:fldChar w:fldCharType="separate"/>
      </w:r>
      <w:r w:rsidR="00710210" w:rsidRPr="00F97360">
        <w:rPr>
          <w:rFonts w:ascii="Arial" w:hAnsi="Arial" w:cs="Arial"/>
          <w:sz w:val="20"/>
          <w:highlight w:val="lightGray"/>
        </w:rPr>
        <w:t>21.1</w:t>
      </w:r>
      <w:r w:rsidR="007B4FB5" w:rsidRPr="00F97360">
        <w:rPr>
          <w:rFonts w:ascii="Arial" w:hAnsi="Arial" w:cs="Arial"/>
          <w:sz w:val="20"/>
        </w:rPr>
        <w:fldChar w:fldCharType="end"/>
      </w:r>
      <w:r w:rsidR="001B02B2" w:rsidRPr="00F97360">
        <w:rPr>
          <w:rFonts w:ascii="Arial" w:hAnsi="Arial" w:cs="Arial"/>
          <w:sz w:val="20"/>
        </w:rPr>
        <w:t xml:space="preserve"> (and, where applied to</w:t>
      </w:r>
      <w:r w:rsidR="0064300C" w:rsidRPr="00F97360">
        <w:rPr>
          <w:rFonts w:ascii="Arial" w:hAnsi="Arial" w:cs="Arial"/>
          <w:sz w:val="20"/>
        </w:rPr>
        <w:t xml:space="preserve"> an event which is not a Change of Control, references in rule </w:t>
      </w:r>
      <w:r w:rsidR="0064300C" w:rsidRPr="00F97360">
        <w:rPr>
          <w:rFonts w:ascii="Arial" w:hAnsi="Arial" w:cs="Arial"/>
          <w:sz w:val="20"/>
        </w:rPr>
        <w:fldChar w:fldCharType="begin"/>
      </w:r>
      <w:r w:rsidR="0064300C" w:rsidRPr="00F97360">
        <w:rPr>
          <w:rFonts w:ascii="Arial" w:hAnsi="Arial" w:cs="Arial"/>
          <w:sz w:val="20"/>
          <w:highlight w:val="lightGray"/>
        </w:rPr>
        <w:instrText>REF a324210 \h \w</w:instrText>
      </w:r>
      <w:r w:rsidR="0064300C" w:rsidRPr="00F97360">
        <w:rPr>
          <w:rFonts w:ascii="Arial" w:hAnsi="Arial" w:cs="Arial"/>
          <w:sz w:val="20"/>
        </w:rPr>
        <w:instrText xml:space="preserve"> \* MERGEFORMAT </w:instrText>
      </w:r>
      <w:r w:rsidR="0064300C" w:rsidRPr="00F97360">
        <w:rPr>
          <w:rFonts w:ascii="Arial" w:hAnsi="Arial" w:cs="Arial"/>
          <w:sz w:val="20"/>
        </w:rPr>
      </w:r>
      <w:r w:rsidR="0064300C" w:rsidRPr="00F97360">
        <w:rPr>
          <w:rFonts w:ascii="Arial" w:hAnsi="Arial" w:cs="Arial"/>
          <w:sz w:val="20"/>
        </w:rPr>
        <w:fldChar w:fldCharType="separate"/>
      </w:r>
      <w:r w:rsidR="00710210" w:rsidRPr="00F97360">
        <w:rPr>
          <w:rFonts w:ascii="Arial" w:hAnsi="Arial" w:cs="Arial"/>
          <w:sz w:val="20"/>
          <w:highlight w:val="lightGray"/>
        </w:rPr>
        <w:t>21.1</w:t>
      </w:r>
      <w:r w:rsidR="0064300C" w:rsidRPr="00F97360">
        <w:rPr>
          <w:rFonts w:ascii="Arial" w:hAnsi="Arial" w:cs="Arial"/>
          <w:sz w:val="20"/>
        </w:rPr>
        <w:fldChar w:fldCharType="end"/>
      </w:r>
      <w:r w:rsidR="0064300C" w:rsidRPr="00F97360">
        <w:rPr>
          <w:rFonts w:ascii="Arial" w:hAnsi="Arial" w:cs="Arial"/>
          <w:sz w:val="20"/>
        </w:rPr>
        <w:t xml:space="preserve"> </w:t>
      </w:r>
      <w:r w:rsidR="001C0B74" w:rsidRPr="00F97360">
        <w:rPr>
          <w:rFonts w:ascii="Arial" w:hAnsi="Arial" w:cs="Arial"/>
          <w:sz w:val="20"/>
        </w:rPr>
        <w:t xml:space="preserve">to a Change of Control </w:t>
      </w:r>
      <w:r w:rsidR="0064300C" w:rsidRPr="00F97360">
        <w:rPr>
          <w:rFonts w:ascii="Arial" w:hAnsi="Arial" w:cs="Arial"/>
          <w:sz w:val="20"/>
        </w:rPr>
        <w:t>shall be read as references</w:t>
      </w:r>
      <w:r w:rsidR="004F65AD" w:rsidRPr="00F97360">
        <w:rPr>
          <w:rFonts w:ascii="Arial" w:hAnsi="Arial" w:cs="Arial"/>
          <w:sz w:val="20"/>
        </w:rPr>
        <w:t xml:space="preserve"> </w:t>
      </w:r>
      <w:r w:rsidR="00062FAA" w:rsidRPr="00F97360">
        <w:rPr>
          <w:rFonts w:ascii="Arial" w:hAnsi="Arial" w:cs="Arial"/>
          <w:sz w:val="20"/>
        </w:rPr>
        <w:t>to</w:t>
      </w:r>
      <w:r w:rsidR="00DE3634" w:rsidRPr="00F97360">
        <w:rPr>
          <w:rFonts w:ascii="Arial" w:hAnsi="Arial" w:cs="Arial"/>
          <w:sz w:val="20"/>
        </w:rPr>
        <w:t xml:space="preserve"> that event</w:t>
      </w:r>
      <w:r w:rsidR="0064300C" w:rsidRPr="00F97360">
        <w:rPr>
          <w:rFonts w:ascii="Arial" w:hAnsi="Arial" w:cs="Arial"/>
          <w:sz w:val="20"/>
        </w:rPr>
        <w:t>)</w:t>
      </w:r>
      <w:r w:rsidR="007B4FB5" w:rsidRPr="00F97360">
        <w:rPr>
          <w:rFonts w:ascii="Arial" w:hAnsi="Arial" w:cs="Arial"/>
          <w:sz w:val="20"/>
        </w:rPr>
        <w:t>.</w:t>
      </w:r>
      <w:bookmarkEnd w:id="64"/>
    </w:p>
    <w:p w14:paraId="17B4B775" w14:textId="77777777" w:rsidR="006F712F" w:rsidRPr="00F97360" w:rsidRDefault="006F712F" w:rsidP="006F712F">
      <w:pPr>
        <w:pStyle w:val="DefinedTermPara"/>
        <w:rPr>
          <w:rStyle w:val="DefTerm"/>
          <w:color w:val="auto"/>
          <w:sz w:val="20"/>
        </w:rPr>
      </w:pPr>
      <w:bookmarkStart w:id="68" w:name="a913589"/>
      <w:bookmarkEnd w:id="65"/>
      <w:bookmarkEnd w:id="66"/>
      <w:bookmarkEnd w:id="67"/>
      <w:r w:rsidRPr="00F97360">
        <w:rPr>
          <w:rFonts w:ascii="Arial" w:hAnsi="Arial" w:cs="Arial"/>
          <w:b/>
          <w:bCs/>
          <w:sz w:val="20"/>
        </w:rPr>
        <w:t>Remuneration Committee</w:t>
      </w:r>
      <w:r w:rsidRPr="00F97360">
        <w:rPr>
          <w:rFonts w:ascii="Arial" w:hAnsi="Arial" w:cs="Arial"/>
          <w:sz w:val="20"/>
        </w:rPr>
        <w:t>: the remuneration committee of the Board as designated by the Board from time to time.</w:t>
      </w:r>
    </w:p>
    <w:p w14:paraId="56712DE2" w14:textId="6C3E5702" w:rsidR="007B4FB5" w:rsidRPr="00F97360" w:rsidRDefault="00D8597D" w:rsidP="007B4FB5">
      <w:pPr>
        <w:pStyle w:val="DefinedTermPara"/>
        <w:rPr>
          <w:rStyle w:val="DefTerm"/>
          <w:color w:val="auto"/>
          <w:sz w:val="20"/>
        </w:rPr>
      </w:pPr>
      <w:r w:rsidRPr="00F97360">
        <w:rPr>
          <w:rStyle w:val="DefTerm"/>
          <w:color w:val="auto"/>
          <w:sz w:val="20"/>
        </w:rPr>
        <w:t>Rollover Period</w:t>
      </w:r>
      <w:r w:rsidRPr="00F97360">
        <w:rPr>
          <w:rFonts w:ascii="Arial" w:hAnsi="Arial" w:cs="Arial"/>
          <w:sz w:val="20"/>
        </w:rPr>
        <w:t xml:space="preserve">: the period determined by the Acquiror during which </w:t>
      </w:r>
      <w:r w:rsidR="00AA32FF" w:rsidRPr="00F97360">
        <w:rPr>
          <w:rFonts w:ascii="Arial" w:hAnsi="Arial" w:cs="Arial"/>
          <w:sz w:val="20"/>
        </w:rPr>
        <w:t>an Award Holder</w:t>
      </w:r>
      <w:r w:rsidRPr="00F97360">
        <w:rPr>
          <w:rFonts w:ascii="Arial" w:hAnsi="Arial" w:cs="Arial"/>
          <w:sz w:val="20"/>
        </w:rPr>
        <w:t xml:space="preserve"> can </w:t>
      </w:r>
      <w:r w:rsidR="008A65EA" w:rsidRPr="00F97360">
        <w:rPr>
          <w:rFonts w:ascii="Arial" w:hAnsi="Arial" w:cs="Arial"/>
          <w:sz w:val="20"/>
        </w:rPr>
        <w:t>surrender</w:t>
      </w:r>
      <w:r w:rsidRPr="00F97360">
        <w:rPr>
          <w:rFonts w:ascii="Arial" w:hAnsi="Arial" w:cs="Arial"/>
          <w:sz w:val="20"/>
        </w:rPr>
        <w:t xml:space="preserve"> </w:t>
      </w:r>
      <w:r w:rsidR="00D93C59" w:rsidRPr="00F97360">
        <w:rPr>
          <w:rFonts w:ascii="Arial" w:hAnsi="Arial" w:cs="Arial"/>
          <w:sz w:val="20"/>
        </w:rPr>
        <w:t>an Award</w:t>
      </w:r>
      <w:r w:rsidRPr="00F97360">
        <w:rPr>
          <w:rFonts w:ascii="Arial" w:hAnsi="Arial" w:cs="Arial"/>
          <w:sz w:val="20"/>
        </w:rPr>
        <w:t xml:space="preserve"> as set out in</w:t>
      </w:r>
      <w:r w:rsidR="00C97644" w:rsidRPr="00F97360">
        <w:rPr>
          <w:rFonts w:ascii="Arial" w:hAnsi="Arial" w:cs="Arial"/>
          <w:sz w:val="20"/>
        </w:rPr>
        <w:t xml:space="preserve"> rule </w:t>
      </w:r>
      <w:r w:rsidR="00C97644" w:rsidRPr="00F97360">
        <w:rPr>
          <w:rFonts w:ascii="Arial" w:hAnsi="Arial" w:cs="Arial"/>
          <w:sz w:val="20"/>
        </w:rPr>
        <w:fldChar w:fldCharType="begin"/>
      </w:r>
      <w:r w:rsidR="00C97644" w:rsidRPr="00F97360">
        <w:rPr>
          <w:rFonts w:ascii="Arial" w:hAnsi="Arial" w:cs="Arial"/>
          <w:sz w:val="20"/>
        </w:rPr>
        <w:instrText xml:space="preserve"> REF a1037750 \r \h </w:instrText>
      </w:r>
      <w:r w:rsidR="004C1A6B" w:rsidRPr="00F97360">
        <w:rPr>
          <w:rFonts w:ascii="Arial" w:hAnsi="Arial" w:cs="Arial"/>
          <w:sz w:val="20"/>
        </w:rPr>
        <w:instrText xml:space="preserve"> \* MERGEFORMAT </w:instrText>
      </w:r>
      <w:r w:rsidR="00C97644" w:rsidRPr="00F97360">
        <w:rPr>
          <w:rFonts w:ascii="Arial" w:hAnsi="Arial" w:cs="Arial"/>
          <w:sz w:val="20"/>
        </w:rPr>
      </w:r>
      <w:r w:rsidR="00C97644" w:rsidRPr="00F97360">
        <w:rPr>
          <w:rFonts w:ascii="Arial" w:hAnsi="Arial" w:cs="Arial"/>
          <w:sz w:val="20"/>
        </w:rPr>
        <w:fldChar w:fldCharType="separate"/>
      </w:r>
      <w:r w:rsidR="00710210" w:rsidRPr="00F97360">
        <w:rPr>
          <w:rFonts w:ascii="Arial" w:hAnsi="Arial" w:cs="Arial"/>
          <w:sz w:val="20"/>
        </w:rPr>
        <w:t>21</w:t>
      </w:r>
      <w:r w:rsidR="00C97644" w:rsidRPr="00F97360">
        <w:rPr>
          <w:rFonts w:ascii="Arial" w:hAnsi="Arial" w:cs="Arial"/>
          <w:sz w:val="20"/>
        </w:rPr>
        <w:fldChar w:fldCharType="end"/>
      </w:r>
      <w:r w:rsidRPr="00F97360">
        <w:rPr>
          <w:rFonts w:ascii="Arial" w:hAnsi="Arial" w:cs="Arial"/>
          <w:sz w:val="20"/>
        </w:rPr>
        <w:t>.</w:t>
      </w:r>
      <w:bookmarkEnd w:id="68"/>
    </w:p>
    <w:p w14:paraId="56712DE4" w14:textId="77777777" w:rsidR="001A7573" w:rsidRPr="00F97360" w:rsidRDefault="00D8597D" w:rsidP="001A7573">
      <w:pPr>
        <w:pStyle w:val="DefinedTermPara"/>
        <w:rPr>
          <w:rFonts w:ascii="Arial" w:hAnsi="Arial" w:cs="Arial"/>
          <w:sz w:val="20"/>
        </w:rPr>
      </w:pPr>
      <w:bookmarkStart w:id="69" w:name="a914508"/>
      <w:r w:rsidRPr="00F97360">
        <w:rPr>
          <w:rFonts w:ascii="Arial" w:hAnsi="Arial" w:cs="Arial"/>
          <w:b/>
          <w:bCs/>
          <w:sz w:val="20"/>
        </w:rPr>
        <w:t>Scheme of Arrangement</w:t>
      </w:r>
      <w:r w:rsidRPr="00F97360">
        <w:rPr>
          <w:rFonts w:ascii="Arial" w:hAnsi="Arial" w:cs="Arial"/>
          <w:sz w:val="20"/>
        </w:rPr>
        <w:t>: a compromise or arrangement under either section 899 or section 901F of the Companies Act 2006.</w:t>
      </w:r>
    </w:p>
    <w:p w14:paraId="56712DE6" w14:textId="5D8969E9" w:rsidR="006E225C" w:rsidRPr="00F97360" w:rsidRDefault="00D8597D" w:rsidP="006E225C">
      <w:pPr>
        <w:pStyle w:val="DefinedTermPara"/>
        <w:rPr>
          <w:rStyle w:val="DefTerm"/>
          <w:b w:val="0"/>
          <w:bCs/>
          <w:color w:val="auto"/>
          <w:sz w:val="20"/>
        </w:rPr>
      </w:pPr>
      <w:r w:rsidRPr="00F97360">
        <w:rPr>
          <w:rStyle w:val="DefTerm"/>
          <w:color w:val="auto"/>
          <w:sz w:val="20"/>
        </w:rPr>
        <w:t>Share</w:t>
      </w:r>
      <w:r w:rsidRPr="00F97360">
        <w:rPr>
          <w:rStyle w:val="DefTerm"/>
          <w:b w:val="0"/>
          <w:bCs/>
          <w:color w:val="auto"/>
          <w:sz w:val="20"/>
        </w:rPr>
        <w:t xml:space="preserve">: a fully paid </w:t>
      </w:r>
      <w:r w:rsidR="00283180" w:rsidRPr="00F97360">
        <w:rPr>
          <w:rStyle w:val="DefTerm"/>
          <w:b w:val="0"/>
          <w:bCs/>
          <w:color w:val="auto"/>
          <w:sz w:val="20"/>
        </w:rPr>
        <w:t>ordinary</w:t>
      </w:r>
      <w:r w:rsidR="006E225C" w:rsidRPr="00F97360">
        <w:rPr>
          <w:rStyle w:val="DefTerm"/>
          <w:b w:val="0"/>
          <w:color w:val="auto"/>
          <w:sz w:val="20"/>
        </w:rPr>
        <w:t xml:space="preserve"> share</w:t>
      </w:r>
      <w:r w:rsidRPr="00F97360">
        <w:rPr>
          <w:rStyle w:val="DefTerm"/>
          <w:b w:val="0"/>
          <w:bCs/>
          <w:color w:val="auto"/>
          <w:sz w:val="20"/>
        </w:rPr>
        <w:t xml:space="preserve"> of £</w:t>
      </w:r>
      <w:r w:rsidR="00283180" w:rsidRPr="00F97360">
        <w:rPr>
          <w:rStyle w:val="DefTerm"/>
          <w:b w:val="0"/>
          <w:bCs/>
          <w:color w:val="auto"/>
          <w:sz w:val="20"/>
        </w:rPr>
        <w:t>0.001</w:t>
      </w:r>
      <w:r w:rsidRPr="00F97360">
        <w:rPr>
          <w:rStyle w:val="DefTerm"/>
          <w:b w:val="0"/>
          <w:bCs/>
          <w:color w:val="auto"/>
          <w:sz w:val="20"/>
        </w:rPr>
        <w:t xml:space="preserve"> </w:t>
      </w:r>
      <w:r w:rsidR="006F4460" w:rsidRPr="00F97360">
        <w:rPr>
          <w:rStyle w:val="DefTerm"/>
          <w:b w:val="0"/>
          <w:bCs/>
          <w:color w:val="auto"/>
          <w:sz w:val="20"/>
        </w:rPr>
        <w:t xml:space="preserve">nominal value </w:t>
      </w:r>
      <w:r w:rsidRPr="00F97360">
        <w:rPr>
          <w:rStyle w:val="DefTerm"/>
          <w:b w:val="0"/>
          <w:bCs/>
          <w:color w:val="auto"/>
          <w:sz w:val="20"/>
        </w:rPr>
        <w:t>(</w:t>
      </w:r>
      <w:r w:rsidRPr="00F97360">
        <w:rPr>
          <w:rFonts w:ascii="Arial" w:hAnsi="Arial" w:cs="Arial"/>
          <w:sz w:val="20"/>
        </w:rPr>
        <w:t xml:space="preserve">subject to </w:t>
      </w:r>
      <w:r w:rsidRPr="00F97360">
        <w:rPr>
          <w:rFonts w:ascii="Arial" w:hAnsi="Arial" w:cs="Arial"/>
          <w:sz w:val="20"/>
        </w:rPr>
        <w:fldChar w:fldCharType="begin"/>
      </w:r>
      <w:r w:rsidRPr="00F97360">
        <w:rPr>
          <w:rFonts w:ascii="Arial" w:hAnsi="Arial" w:cs="Arial"/>
          <w:sz w:val="20"/>
        </w:rPr>
        <w:instrText>PAGEREF a129837\# "'rule '"  \h</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 xml:space="preserve">rule </w:t>
      </w:r>
      <w:r w:rsidRPr="00F97360">
        <w:rPr>
          <w:rFonts w:ascii="Arial" w:hAnsi="Arial" w:cs="Arial"/>
          <w:sz w:val="20"/>
        </w:rPr>
        <w:fldChar w:fldCharType="end"/>
      </w:r>
      <w:r w:rsidRPr="00F97360">
        <w:rPr>
          <w:rFonts w:ascii="Arial" w:hAnsi="Arial" w:cs="Arial"/>
          <w:sz w:val="20"/>
        </w:rPr>
        <w:fldChar w:fldCharType="begin"/>
      </w:r>
      <w:r w:rsidRPr="00F97360">
        <w:rPr>
          <w:rFonts w:ascii="Arial" w:hAnsi="Arial" w:cs="Arial"/>
          <w:sz w:val="20"/>
          <w:highlight w:val="lightGray"/>
        </w:rPr>
        <w:instrText>REF a129837 \h \w</w:instrText>
      </w:r>
      <w:r w:rsidR="0037270F"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highlight w:val="lightGray"/>
        </w:rPr>
        <w:t>22</w:t>
      </w:r>
      <w:r w:rsidRPr="00F97360">
        <w:rPr>
          <w:rFonts w:ascii="Arial" w:hAnsi="Arial" w:cs="Arial"/>
          <w:sz w:val="20"/>
        </w:rPr>
        <w:fldChar w:fldCharType="end"/>
      </w:r>
      <w:r w:rsidRPr="00F97360">
        <w:rPr>
          <w:rFonts w:ascii="Arial" w:hAnsi="Arial" w:cs="Arial"/>
          <w:sz w:val="20"/>
        </w:rPr>
        <w:t>)</w:t>
      </w:r>
      <w:r w:rsidRPr="00F97360">
        <w:rPr>
          <w:rStyle w:val="DefTerm"/>
          <w:b w:val="0"/>
          <w:bCs/>
          <w:color w:val="auto"/>
          <w:sz w:val="20"/>
        </w:rPr>
        <w:t xml:space="preserve"> in the capital of the Company.</w:t>
      </w:r>
    </w:p>
    <w:p w14:paraId="56712DE8" w14:textId="77777777" w:rsidR="007B4FB5" w:rsidRPr="00F97360" w:rsidRDefault="00D8597D" w:rsidP="007B4FB5">
      <w:pPr>
        <w:pStyle w:val="DefinedTermPara"/>
        <w:rPr>
          <w:rStyle w:val="DefTerm"/>
          <w:color w:val="auto"/>
          <w:sz w:val="20"/>
        </w:rPr>
      </w:pPr>
      <w:bookmarkStart w:id="70" w:name="a799763"/>
      <w:bookmarkEnd w:id="69"/>
      <w:r w:rsidRPr="00F97360">
        <w:rPr>
          <w:rStyle w:val="DefTerm"/>
          <w:color w:val="auto"/>
          <w:sz w:val="20"/>
        </w:rPr>
        <w:t>Subsidiary</w:t>
      </w:r>
      <w:r w:rsidRPr="00F97360">
        <w:rPr>
          <w:rFonts w:ascii="Arial" w:hAnsi="Arial" w:cs="Arial"/>
          <w:sz w:val="20"/>
        </w:rPr>
        <w:t>: a subsidiary as defined in section 1159 of the Companies Act 2006.</w:t>
      </w:r>
      <w:bookmarkEnd w:id="70"/>
    </w:p>
    <w:p w14:paraId="073F0AD4" w14:textId="773B552F" w:rsidR="00A32574" w:rsidRPr="00F97360" w:rsidRDefault="00EC3919" w:rsidP="006D3077">
      <w:pPr>
        <w:pStyle w:val="DefinedTermPara"/>
        <w:rPr>
          <w:rFonts w:ascii="Arial" w:eastAsia="Arial" w:hAnsi="Arial" w:cs="Arial"/>
          <w:b/>
          <w:sz w:val="20"/>
        </w:rPr>
      </w:pPr>
      <w:bookmarkStart w:id="71" w:name="a727487"/>
      <w:r w:rsidRPr="00F97360">
        <w:rPr>
          <w:rStyle w:val="DefTerm"/>
          <w:color w:val="auto"/>
          <w:sz w:val="20"/>
        </w:rPr>
        <w:t>Tax Authority</w:t>
      </w:r>
      <w:r w:rsidRPr="00F97360">
        <w:rPr>
          <w:rFonts w:ascii="Arial" w:hAnsi="Arial" w:cs="Arial"/>
          <w:sz w:val="20"/>
        </w:rPr>
        <w:t>: H</w:t>
      </w:r>
      <w:r w:rsidR="003527A4" w:rsidRPr="00F97360">
        <w:rPr>
          <w:rFonts w:ascii="Arial" w:hAnsi="Arial" w:cs="Arial"/>
          <w:sz w:val="20"/>
        </w:rPr>
        <w:t>is</w:t>
      </w:r>
      <w:r w:rsidRPr="00F97360">
        <w:rPr>
          <w:rFonts w:ascii="Arial" w:hAnsi="Arial" w:cs="Arial"/>
          <w:sz w:val="20"/>
        </w:rPr>
        <w:t xml:space="preserve"> Majesty's Revenue &amp; Customs (or any successor authority from time to time) or, where relevant, its equivalent in another jurisdiction.</w:t>
      </w:r>
    </w:p>
    <w:p w14:paraId="56712DEA" w14:textId="37934D7F" w:rsidR="007B4FB5" w:rsidRPr="00F97360" w:rsidRDefault="00D8597D" w:rsidP="006D3077">
      <w:pPr>
        <w:pStyle w:val="DefinedTermPara"/>
        <w:rPr>
          <w:rFonts w:ascii="Arial" w:eastAsia="Arial" w:hAnsi="Arial" w:cs="Arial"/>
          <w:b/>
          <w:sz w:val="20"/>
        </w:rPr>
      </w:pPr>
      <w:r w:rsidRPr="00F97360">
        <w:rPr>
          <w:rStyle w:val="DefTerm"/>
          <w:color w:val="auto"/>
          <w:sz w:val="20"/>
        </w:rPr>
        <w:lastRenderedPageBreak/>
        <w:t>Taxable Event</w:t>
      </w:r>
      <w:r w:rsidRPr="00F97360">
        <w:rPr>
          <w:rFonts w:ascii="Arial" w:hAnsi="Arial" w:cs="Arial"/>
          <w:sz w:val="20"/>
        </w:rPr>
        <w:t>: any event or circumstance that gives</w:t>
      </w:r>
      <w:r w:rsidR="00962F55" w:rsidRPr="00F97360">
        <w:rPr>
          <w:rFonts w:ascii="Arial" w:hAnsi="Arial" w:cs="Arial"/>
          <w:sz w:val="20"/>
        </w:rPr>
        <w:t xml:space="preserve"> or may give</w:t>
      </w:r>
      <w:r w:rsidRPr="00F97360">
        <w:rPr>
          <w:rFonts w:ascii="Arial" w:hAnsi="Arial" w:cs="Arial"/>
          <w:sz w:val="20"/>
        </w:rPr>
        <w:t xml:space="preserve"> rise to a liability for the Award Holder to pay</w:t>
      </w:r>
      <w:r w:rsidR="00C707DB" w:rsidRPr="00F97360">
        <w:rPr>
          <w:rFonts w:ascii="Arial" w:hAnsi="Arial" w:cs="Arial"/>
          <w:sz w:val="20"/>
        </w:rPr>
        <w:t xml:space="preserve"> (or for </w:t>
      </w:r>
      <w:r w:rsidR="000A5C93" w:rsidRPr="00F97360">
        <w:rPr>
          <w:rFonts w:ascii="Arial" w:hAnsi="Arial" w:cs="Arial"/>
          <w:sz w:val="20"/>
        </w:rPr>
        <w:t>any Relevant</w:t>
      </w:r>
      <w:r w:rsidR="007A00F1" w:rsidRPr="00F97360">
        <w:rPr>
          <w:rFonts w:ascii="Arial" w:hAnsi="Arial" w:cs="Arial"/>
          <w:sz w:val="20"/>
        </w:rPr>
        <w:t xml:space="preserve"> Company </w:t>
      </w:r>
      <w:r w:rsidR="00C707DB" w:rsidRPr="00F97360">
        <w:rPr>
          <w:rFonts w:ascii="Arial" w:hAnsi="Arial" w:cs="Arial"/>
          <w:sz w:val="20"/>
        </w:rPr>
        <w:t>to</w:t>
      </w:r>
      <w:r w:rsidR="007A00F1" w:rsidRPr="00F97360">
        <w:rPr>
          <w:rFonts w:ascii="Arial" w:hAnsi="Arial" w:cs="Arial"/>
          <w:sz w:val="20"/>
        </w:rPr>
        <w:t xml:space="preserve"> account to any </w:t>
      </w:r>
      <w:r w:rsidR="003A055D" w:rsidRPr="00F97360">
        <w:rPr>
          <w:rFonts w:ascii="Arial" w:hAnsi="Arial" w:cs="Arial"/>
          <w:sz w:val="20"/>
        </w:rPr>
        <w:t>T</w:t>
      </w:r>
      <w:r w:rsidR="007A00F1" w:rsidRPr="00F97360">
        <w:rPr>
          <w:rFonts w:ascii="Arial" w:hAnsi="Arial" w:cs="Arial"/>
          <w:sz w:val="20"/>
        </w:rPr>
        <w:t>ax</w:t>
      </w:r>
      <w:r w:rsidR="003A055D" w:rsidRPr="00F97360">
        <w:rPr>
          <w:rFonts w:ascii="Arial" w:hAnsi="Arial" w:cs="Arial"/>
          <w:sz w:val="20"/>
        </w:rPr>
        <w:t xml:space="preserve"> A</w:t>
      </w:r>
      <w:r w:rsidR="007A00F1" w:rsidRPr="00F97360">
        <w:rPr>
          <w:rFonts w:ascii="Arial" w:hAnsi="Arial" w:cs="Arial"/>
          <w:sz w:val="20"/>
        </w:rPr>
        <w:t>uthority for or in respect of the Award Holder</w:t>
      </w:r>
      <w:r w:rsidR="003A055D" w:rsidRPr="00F97360">
        <w:rPr>
          <w:rFonts w:ascii="Arial" w:hAnsi="Arial" w:cs="Arial"/>
          <w:sz w:val="20"/>
        </w:rPr>
        <w:t xml:space="preserve"> or former Award Holder</w:t>
      </w:r>
      <w:r w:rsidR="007A00F1" w:rsidRPr="00F97360">
        <w:rPr>
          <w:rFonts w:ascii="Arial" w:hAnsi="Arial" w:cs="Arial"/>
          <w:sz w:val="20"/>
        </w:rPr>
        <w:t>)</w:t>
      </w:r>
      <w:r w:rsidR="00C707DB" w:rsidRPr="00F97360">
        <w:rPr>
          <w:rFonts w:ascii="Arial" w:hAnsi="Arial" w:cs="Arial"/>
          <w:sz w:val="20"/>
        </w:rPr>
        <w:t xml:space="preserve"> </w:t>
      </w:r>
      <w:r w:rsidR="00962F55" w:rsidRPr="00F97360">
        <w:rPr>
          <w:rFonts w:ascii="Arial" w:hAnsi="Arial" w:cs="Arial"/>
          <w:sz w:val="20"/>
        </w:rPr>
        <w:t xml:space="preserve">a Tax Liability, </w:t>
      </w:r>
      <w:r w:rsidRPr="00F97360">
        <w:rPr>
          <w:rFonts w:ascii="Arial" w:hAnsi="Arial" w:cs="Arial"/>
          <w:sz w:val="20"/>
        </w:rPr>
        <w:t>in respect of:</w:t>
      </w:r>
      <w:bookmarkEnd w:id="71"/>
    </w:p>
    <w:p w14:paraId="56712DEB" w14:textId="32DE7ACE" w:rsidR="007B4FB5" w:rsidRPr="00F97360" w:rsidRDefault="00D8597D" w:rsidP="00F97360">
      <w:pPr>
        <w:pStyle w:val="DefinedTermNumber"/>
        <w:ind w:left="1985" w:hanging="567"/>
        <w:rPr>
          <w:rFonts w:ascii="Arial" w:hAnsi="Arial" w:cs="Arial"/>
          <w:sz w:val="20"/>
        </w:rPr>
      </w:pPr>
      <w:r w:rsidRPr="00F97360">
        <w:rPr>
          <w:rFonts w:ascii="Arial" w:hAnsi="Arial" w:cs="Arial"/>
          <w:sz w:val="20"/>
        </w:rPr>
        <w:t xml:space="preserve">the </w:t>
      </w:r>
      <w:r w:rsidR="00D67DB9" w:rsidRPr="00F97360">
        <w:rPr>
          <w:rFonts w:ascii="Arial" w:hAnsi="Arial" w:cs="Arial"/>
          <w:sz w:val="20"/>
        </w:rPr>
        <w:t>Award</w:t>
      </w:r>
      <w:r w:rsidRPr="00F97360">
        <w:rPr>
          <w:rFonts w:ascii="Arial" w:hAnsi="Arial" w:cs="Arial"/>
          <w:sz w:val="20"/>
        </w:rPr>
        <w:t xml:space="preserve">, including its </w:t>
      </w:r>
      <w:r w:rsidR="00C014E1" w:rsidRPr="00F97360">
        <w:rPr>
          <w:rFonts w:ascii="Arial" w:hAnsi="Arial" w:cs="Arial"/>
          <w:sz w:val="20"/>
        </w:rPr>
        <w:t>Vesting</w:t>
      </w:r>
      <w:r w:rsidRPr="00F97360">
        <w:rPr>
          <w:rFonts w:ascii="Arial" w:hAnsi="Arial" w:cs="Arial"/>
          <w:sz w:val="20"/>
        </w:rPr>
        <w:t xml:space="preserve">, exercise, assignment or surrender for consideration, or the receipt of any benefit in connection with </w:t>
      </w:r>
      <w:proofErr w:type="gramStart"/>
      <w:r w:rsidRPr="00F97360">
        <w:rPr>
          <w:rFonts w:ascii="Arial" w:hAnsi="Arial" w:cs="Arial"/>
          <w:sz w:val="20"/>
        </w:rPr>
        <w:t>it;</w:t>
      </w:r>
      <w:proofErr w:type="gramEnd"/>
    </w:p>
    <w:p w14:paraId="56712DEC" w14:textId="77777777" w:rsidR="007B4FB5" w:rsidRPr="00F97360" w:rsidRDefault="00D8597D" w:rsidP="00F97360">
      <w:pPr>
        <w:pStyle w:val="DefinedTermNumber"/>
        <w:ind w:left="1985" w:hanging="567"/>
        <w:rPr>
          <w:rFonts w:ascii="Arial" w:hAnsi="Arial" w:cs="Arial"/>
          <w:sz w:val="20"/>
        </w:rPr>
      </w:pPr>
      <w:r w:rsidRPr="00F97360">
        <w:rPr>
          <w:rFonts w:ascii="Arial" w:hAnsi="Arial" w:cs="Arial"/>
          <w:sz w:val="20"/>
        </w:rPr>
        <w:t>any Shares (or other securities or assets):</w:t>
      </w:r>
    </w:p>
    <w:p w14:paraId="56712DED" w14:textId="097E7655" w:rsidR="007B4FB5" w:rsidRPr="00F97360" w:rsidRDefault="00D8597D" w:rsidP="00F97360">
      <w:pPr>
        <w:pStyle w:val="DefinedTermNumber"/>
        <w:numPr>
          <w:ilvl w:val="3"/>
          <w:numId w:val="24"/>
        </w:numPr>
        <w:ind w:left="2410" w:hanging="567"/>
        <w:rPr>
          <w:rFonts w:ascii="Arial" w:hAnsi="Arial" w:cs="Arial"/>
          <w:sz w:val="20"/>
        </w:rPr>
      </w:pPr>
      <w:r w:rsidRPr="00F97360">
        <w:rPr>
          <w:rFonts w:ascii="Arial" w:hAnsi="Arial" w:cs="Arial"/>
          <w:sz w:val="20"/>
        </w:rPr>
        <w:t xml:space="preserve">‘earmarked’ or held to satisfy (or in respect of which another ‘relevant step’ is taken in connection with) the </w:t>
      </w:r>
      <w:r w:rsidR="00D67DB9" w:rsidRPr="00F97360">
        <w:rPr>
          <w:rFonts w:ascii="Arial" w:hAnsi="Arial" w:cs="Arial"/>
          <w:sz w:val="20"/>
        </w:rPr>
        <w:t>Award</w:t>
      </w:r>
      <w:r w:rsidRPr="00F97360">
        <w:rPr>
          <w:rFonts w:ascii="Arial" w:hAnsi="Arial" w:cs="Arial"/>
          <w:sz w:val="20"/>
        </w:rPr>
        <w:t xml:space="preserve"> (with </w:t>
      </w:r>
      <w:r w:rsidR="00483113" w:rsidRPr="00F97360">
        <w:rPr>
          <w:rFonts w:ascii="Arial" w:hAnsi="Arial" w:cs="Arial"/>
          <w:sz w:val="20"/>
        </w:rPr>
        <w:t>the</w:t>
      </w:r>
      <w:r w:rsidRPr="00F97360">
        <w:rPr>
          <w:rFonts w:ascii="Arial" w:hAnsi="Arial" w:cs="Arial"/>
          <w:sz w:val="20"/>
        </w:rPr>
        <w:t xml:space="preserve"> terms </w:t>
      </w:r>
      <w:r w:rsidR="00483113" w:rsidRPr="00F97360">
        <w:rPr>
          <w:rFonts w:ascii="Arial" w:hAnsi="Arial" w:cs="Arial"/>
          <w:sz w:val="20"/>
        </w:rPr>
        <w:t xml:space="preserve">in inverted commas </w:t>
      </w:r>
      <w:r w:rsidRPr="00F97360">
        <w:rPr>
          <w:rFonts w:ascii="Arial" w:hAnsi="Arial" w:cs="Arial"/>
          <w:sz w:val="20"/>
        </w:rPr>
        <w:t>having the meaning given to them in Part 7A of ITEPA 2003</w:t>
      </w:r>
      <w:proofErr w:type="gramStart"/>
      <w:r w:rsidRPr="00F97360">
        <w:rPr>
          <w:rFonts w:ascii="Arial" w:hAnsi="Arial" w:cs="Arial"/>
          <w:sz w:val="20"/>
        </w:rPr>
        <w:t>);</w:t>
      </w:r>
      <w:proofErr w:type="gramEnd"/>
    </w:p>
    <w:p w14:paraId="56712DEE" w14:textId="1C1A0103" w:rsidR="007B4FB5" w:rsidRPr="00F97360" w:rsidRDefault="00D8597D" w:rsidP="00F97360">
      <w:pPr>
        <w:pStyle w:val="DefinedTermNumber"/>
        <w:numPr>
          <w:ilvl w:val="3"/>
          <w:numId w:val="24"/>
        </w:numPr>
        <w:ind w:left="2410" w:hanging="567"/>
        <w:rPr>
          <w:rFonts w:ascii="Arial" w:hAnsi="Arial" w:cs="Arial"/>
          <w:sz w:val="20"/>
        </w:rPr>
      </w:pPr>
      <w:r w:rsidRPr="00F97360">
        <w:rPr>
          <w:rFonts w:ascii="Arial" w:hAnsi="Arial" w:cs="Arial"/>
          <w:sz w:val="20"/>
        </w:rPr>
        <w:t xml:space="preserve">acquired </w:t>
      </w:r>
      <w:proofErr w:type="gramStart"/>
      <w:r w:rsidRPr="00F97360">
        <w:rPr>
          <w:rFonts w:ascii="Arial" w:hAnsi="Arial" w:cs="Arial"/>
          <w:sz w:val="20"/>
        </w:rPr>
        <w:t>as a result of</w:t>
      </w:r>
      <w:proofErr w:type="gramEnd"/>
      <w:r w:rsidRPr="00F97360">
        <w:rPr>
          <w:rFonts w:ascii="Arial" w:hAnsi="Arial" w:cs="Arial"/>
          <w:sz w:val="20"/>
        </w:rPr>
        <w:t xml:space="preserve"> holding the </w:t>
      </w:r>
      <w:r w:rsidR="00D67DB9" w:rsidRPr="00F97360">
        <w:rPr>
          <w:rFonts w:ascii="Arial" w:hAnsi="Arial" w:cs="Arial"/>
          <w:sz w:val="20"/>
        </w:rPr>
        <w:t>Award</w:t>
      </w:r>
      <w:r w:rsidRPr="00F97360">
        <w:rPr>
          <w:rFonts w:ascii="Arial" w:hAnsi="Arial" w:cs="Arial"/>
          <w:sz w:val="20"/>
        </w:rPr>
        <w:t xml:space="preserve"> (including on its </w:t>
      </w:r>
      <w:r w:rsidR="00C014E1" w:rsidRPr="00F97360">
        <w:rPr>
          <w:rFonts w:ascii="Arial" w:hAnsi="Arial" w:cs="Arial"/>
          <w:sz w:val="20"/>
        </w:rPr>
        <w:t>Vesting</w:t>
      </w:r>
      <w:r w:rsidRPr="00F97360">
        <w:rPr>
          <w:rFonts w:ascii="Arial" w:hAnsi="Arial" w:cs="Arial"/>
          <w:sz w:val="20"/>
        </w:rPr>
        <w:t xml:space="preserve"> or exercise)</w:t>
      </w:r>
      <w:r w:rsidR="001C5DC7" w:rsidRPr="00F97360">
        <w:rPr>
          <w:rFonts w:ascii="Arial" w:hAnsi="Arial" w:cs="Arial"/>
          <w:sz w:val="20"/>
        </w:rPr>
        <w:t>, or</w:t>
      </w:r>
    </w:p>
    <w:p w14:paraId="56712DEF" w14:textId="5A10A1CF" w:rsidR="007B4FB5" w:rsidRPr="00F97360" w:rsidRDefault="00D8597D" w:rsidP="00F97360">
      <w:pPr>
        <w:pStyle w:val="DefinedTermNumber"/>
        <w:numPr>
          <w:ilvl w:val="3"/>
          <w:numId w:val="24"/>
        </w:numPr>
        <w:ind w:left="2410" w:hanging="567"/>
        <w:rPr>
          <w:rFonts w:ascii="Arial" w:hAnsi="Arial" w:cs="Arial"/>
          <w:sz w:val="20"/>
        </w:rPr>
      </w:pPr>
      <w:r w:rsidRPr="00F97360">
        <w:rPr>
          <w:rFonts w:ascii="Arial" w:hAnsi="Arial" w:cs="Arial"/>
          <w:sz w:val="20"/>
        </w:rPr>
        <w:t xml:space="preserve">acquired in consideration of the assignment or surrender of the </w:t>
      </w:r>
      <w:proofErr w:type="gramStart"/>
      <w:r w:rsidR="00D67DB9" w:rsidRPr="00F97360">
        <w:rPr>
          <w:rFonts w:ascii="Arial" w:hAnsi="Arial" w:cs="Arial"/>
          <w:sz w:val="20"/>
        </w:rPr>
        <w:t>Award</w:t>
      </w:r>
      <w:r w:rsidRPr="00F97360">
        <w:rPr>
          <w:rFonts w:ascii="Arial" w:hAnsi="Arial" w:cs="Arial"/>
          <w:sz w:val="20"/>
        </w:rPr>
        <w:t>;</w:t>
      </w:r>
      <w:proofErr w:type="gramEnd"/>
    </w:p>
    <w:p w14:paraId="56712DF0" w14:textId="4C77934B" w:rsidR="007B4FB5" w:rsidRPr="00F97360" w:rsidRDefault="007B4FB5" w:rsidP="00F97360">
      <w:pPr>
        <w:pStyle w:val="DefinedTermNumber"/>
        <w:ind w:left="1985" w:hanging="567"/>
        <w:rPr>
          <w:rFonts w:ascii="Arial" w:hAnsi="Arial" w:cs="Arial"/>
          <w:sz w:val="20"/>
        </w:rPr>
      </w:pPr>
      <w:r w:rsidRPr="00F97360">
        <w:rPr>
          <w:rFonts w:ascii="Arial" w:hAnsi="Arial" w:cs="Arial"/>
          <w:sz w:val="20"/>
        </w:rPr>
        <w:t xml:space="preserve"> </w:t>
      </w:r>
      <w:r w:rsidR="00D8597D" w:rsidRPr="00F97360">
        <w:rPr>
          <w:rFonts w:ascii="Arial" w:hAnsi="Arial" w:cs="Arial"/>
          <w:sz w:val="20"/>
        </w:rPr>
        <w:t>any securities (or other assets) acquired or earmarked as a result of holding Shares (or other securities or assets) mentioned in paragraph (b</w:t>
      </w:r>
      <w:proofErr w:type="gramStart"/>
      <w:r w:rsidR="00D8597D" w:rsidRPr="00F97360">
        <w:rPr>
          <w:rFonts w:ascii="Arial" w:hAnsi="Arial" w:cs="Arial"/>
          <w:sz w:val="20"/>
        </w:rPr>
        <w:t>);</w:t>
      </w:r>
      <w:proofErr w:type="gramEnd"/>
    </w:p>
    <w:p w14:paraId="56712DF1" w14:textId="225A855B" w:rsidR="007B4FB5" w:rsidRPr="00F97360" w:rsidRDefault="007B4FB5" w:rsidP="00F97360">
      <w:pPr>
        <w:pStyle w:val="DefinedTermNumber"/>
        <w:ind w:left="1985" w:hanging="567"/>
        <w:rPr>
          <w:rFonts w:ascii="Arial" w:hAnsi="Arial" w:cs="Arial"/>
          <w:sz w:val="20"/>
        </w:rPr>
      </w:pPr>
      <w:r w:rsidRPr="00F97360">
        <w:rPr>
          <w:rFonts w:ascii="Arial" w:hAnsi="Arial" w:cs="Arial"/>
          <w:sz w:val="20"/>
        </w:rPr>
        <w:t xml:space="preserve"> </w:t>
      </w:r>
      <w:proofErr w:type="gramStart"/>
      <w:r w:rsidR="00D8597D" w:rsidRPr="00F97360">
        <w:rPr>
          <w:rFonts w:ascii="Arial" w:hAnsi="Arial" w:cs="Arial"/>
          <w:sz w:val="20"/>
        </w:rPr>
        <w:t>entering into</w:t>
      </w:r>
      <w:proofErr w:type="gramEnd"/>
      <w:r w:rsidR="00D8597D" w:rsidRPr="00F97360">
        <w:rPr>
          <w:rFonts w:ascii="Arial" w:hAnsi="Arial" w:cs="Arial"/>
          <w:sz w:val="20"/>
        </w:rPr>
        <w:t xml:space="preserve"> an election under section 430 or 431 of ITEPA 2003; or</w:t>
      </w:r>
    </w:p>
    <w:p w14:paraId="56712DF2" w14:textId="05BAB720" w:rsidR="007B4FB5" w:rsidRPr="00F97360" w:rsidRDefault="007B4FB5" w:rsidP="00F97360">
      <w:pPr>
        <w:pStyle w:val="DefinedTermNumber"/>
        <w:ind w:left="1985" w:hanging="567"/>
        <w:rPr>
          <w:rFonts w:ascii="Arial" w:hAnsi="Arial" w:cs="Arial"/>
          <w:sz w:val="20"/>
        </w:rPr>
      </w:pPr>
      <w:r w:rsidRPr="00F97360">
        <w:rPr>
          <w:rFonts w:ascii="Arial" w:hAnsi="Arial" w:cs="Arial"/>
          <w:sz w:val="20"/>
        </w:rPr>
        <w:t xml:space="preserve"> </w:t>
      </w:r>
      <w:r w:rsidR="00D8597D" w:rsidRPr="00F97360">
        <w:rPr>
          <w:rFonts w:ascii="Arial" w:hAnsi="Arial" w:cs="Arial"/>
          <w:sz w:val="20"/>
        </w:rPr>
        <w:t>any amount due under PAYE in respect of securities or assets within paragraph (a) to paragraph (d), including any failure by the Award Holder to make good such an amount within the time limit specified in section 222 of ITEPA 2003.</w:t>
      </w:r>
    </w:p>
    <w:p w14:paraId="56712DF3" w14:textId="77777777" w:rsidR="007B4FB5" w:rsidRPr="00F97360" w:rsidRDefault="00D8597D" w:rsidP="007B4FB5">
      <w:pPr>
        <w:pStyle w:val="DefinedTermPara"/>
        <w:rPr>
          <w:rStyle w:val="DefTerm"/>
          <w:color w:val="auto"/>
          <w:sz w:val="20"/>
        </w:rPr>
      </w:pPr>
      <w:bookmarkStart w:id="72" w:name="a603118"/>
      <w:r w:rsidRPr="00F97360">
        <w:rPr>
          <w:rStyle w:val="DefTerm"/>
          <w:color w:val="auto"/>
          <w:sz w:val="20"/>
        </w:rPr>
        <w:t>Tax Liability</w:t>
      </w:r>
      <w:r w:rsidRPr="00F97360">
        <w:rPr>
          <w:rFonts w:ascii="Arial" w:hAnsi="Arial" w:cs="Arial"/>
          <w:sz w:val="20"/>
        </w:rPr>
        <w:t>: the total of:</w:t>
      </w:r>
      <w:bookmarkEnd w:id="72"/>
    </w:p>
    <w:p w14:paraId="56712DF4" w14:textId="5937B6DD" w:rsidR="007B4FB5" w:rsidRPr="00F97360" w:rsidRDefault="00D8597D" w:rsidP="00F97360">
      <w:pPr>
        <w:pStyle w:val="DefinedTermNumber"/>
        <w:tabs>
          <w:tab w:val="clear" w:pos="1554"/>
          <w:tab w:val="num" w:pos="1985"/>
        </w:tabs>
        <w:ind w:left="1985" w:hanging="567"/>
        <w:rPr>
          <w:rFonts w:ascii="Arial" w:hAnsi="Arial" w:cs="Arial"/>
          <w:sz w:val="20"/>
        </w:rPr>
      </w:pPr>
      <w:r w:rsidRPr="00F97360">
        <w:rPr>
          <w:rFonts w:ascii="Arial" w:hAnsi="Arial" w:cs="Arial"/>
          <w:sz w:val="20"/>
        </w:rPr>
        <w:t>any income tax</w:t>
      </w:r>
      <w:r w:rsidR="009F1940" w:rsidRPr="00F97360">
        <w:rPr>
          <w:rFonts w:ascii="Arial" w:hAnsi="Arial" w:cs="Arial"/>
          <w:sz w:val="20"/>
        </w:rPr>
        <w:t xml:space="preserve"> and</w:t>
      </w:r>
      <w:r w:rsidR="00A744CD" w:rsidRPr="00F97360">
        <w:rPr>
          <w:rFonts w:ascii="Arial" w:hAnsi="Arial" w:cs="Arial"/>
          <w:sz w:val="20"/>
        </w:rPr>
        <w:t xml:space="preserve"> </w:t>
      </w:r>
      <w:r w:rsidRPr="00F97360">
        <w:rPr>
          <w:rFonts w:ascii="Arial" w:hAnsi="Arial" w:cs="Arial"/>
          <w:sz w:val="20"/>
        </w:rPr>
        <w:t>primary class 1 (employee) NICs</w:t>
      </w:r>
      <w:r w:rsidR="00414CDE" w:rsidRPr="00F97360">
        <w:rPr>
          <w:rFonts w:ascii="Arial" w:hAnsi="Arial" w:cs="Arial"/>
          <w:sz w:val="20"/>
        </w:rPr>
        <w:t xml:space="preserve"> </w:t>
      </w:r>
      <w:r w:rsidRPr="00F97360">
        <w:rPr>
          <w:rFonts w:ascii="Arial" w:hAnsi="Arial" w:cs="Arial"/>
          <w:sz w:val="20"/>
        </w:rPr>
        <w:t xml:space="preserve">(or their equivalents in any jurisdiction) for which any </w:t>
      </w:r>
      <w:r w:rsidR="00C165BD" w:rsidRPr="00F97360">
        <w:rPr>
          <w:rFonts w:ascii="Arial" w:hAnsi="Arial" w:cs="Arial"/>
          <w:sz w:val="20"/>
        </w:rPr>
        <w:t>Relevant Company</w:t>
      </w:r>
      <w:r w:rsidRPr="00F97360">
        <w:rPr>
          <w:rFonts w:ascii="Arial" w:hAnsi="Arial" w:cs="Arial"/>
          <w:sz w:val="20"/>
        </w:rPr>
        <w:t xml:space="preserve"> is or may be liable to account (or reasonably believes it is or may be liable to account) as a result of any Taxable </w:t>
      </w:r>
      <w:proofErr w:type="gramStart"/>
      <w:r w:rsidRPr="00F97360">
        <w:rPr>
          <w:rFonts w:ascii="Arial" w:hAnsi="Arial" w:cs="Arial"/>
          <w:sz w:val="20"/>
        </w:rPr>
        <w:t>Event;</w:t>
      </w:r>
      <w:proofErr w:type="gramEnd"/>
    </w:p>
    <w:p w14:paraId="56712DF5" w14:textId="40F734A1" w:rsidR="007B4FB5" w:rsidRPr="00F97360" w:rsidRDefault="00055ABA" w:rsidP="00F97360">
      <w:pPr>
        <w:pStyle w:val="DefinedTermNumber"/>
        <w:tabs>
          <w:tab w:val="clear" w:pos="1554"/>
          <w:tab w:val="num" w:pos="1985"/>
        </w:tabs>
        <w:ind w:left="1985" w:hanging="567"/>
        <w:rPr>
          <w:rFonts w:ascii="Arial" w:hAnsi="Arial" w:cs="Arial"/>
          <w:sz w:val="20"/>
        </w:rPr>
      </w:pPr>
      <w:r>
        <w:rPr>
          <w:rFonts w:ascii="Arial" w:hAnsi="Arial" w:cs="Arial"/>
          <w:sz w:val="20"/>
        </w:rPr>
        <w:t>i</w:t>
      </w:r>
      <w:r w:rsidR="00D8597D" w:rsidRPr="00F97360">
        <w:rPr>
          <w:rFonts w:ascii="Arial" w:hAnsi="Arial" w:cs="Arial"/>
          <w:sz w:val="20"/>
        </w:rPr>
        <w:t>f the Employer Company, or the Company on behalf of the Employer Company, so directs (which shall be evidenced in the Award Certificate and/or Acceptance Notice), any Employer NICs</w:t>
      </w:r>
      <w:r w:rsidR="00FB0BE9" w:rsidRPr="00F97360">
        <w:rPr>
          <w:rFonts w:ascii="Arial" w:hAnsi="Arial" w:cs="Arial"/>
          <w:sz w:val="20"/>
        </w:rPr>
        <w:t xml:space="preserve"> </w:t>
      </w:r>
      <w:r w:rsidR="00D8597D" w:rsidRPr="00F97360">
        <w:rPr>
          <w:rFonts w:ascii="Arial" w:hAnsi="Arial" w:cs="Arial"/>
          <w:sz w:val="20"/>
        </w:rPr>
        <w:t xml:space="preserve">(or similar liability in any other jurisdiction) that any </w:t>
      </w:r>
      <w:r w:rsidR="00C165BD" w:rsidRPr="00F97360">
        <w:rPr>
          <w:rFonts w:ascii="Arial" w:hAnsi="Arial" w:cs="Arial"/>
          <w:sz w:val="20"/>
        </w:rPr>
        <w:t>Relevant Company</w:t>
      </w:r>
      <w:r w:rsidR="00D8597D" w:rsidRPr="00F97360">
        <w:rPr>
          <w:rFonts w:ascii="Arial" w:hAnsi="Arial" w:cs="Arial"/>
          <w:sz w:val="20"/>
        </w:rPr>
        <w:t xml:space="preserve"> is or may be liable to pay (or reasonably believes it is or may be liable to pay) as a result of any Taxable Event and that can be recovered lawfully from the Award Holder (unless having so directed, the Employer Company, or the Company on behalf of the Employer Company, directs otherwise under</w:t>
      </w:r>
      <w:r w:rsidR="00A83780" w:rsidRPr="00F97360">
        <w:rPr>
          <w:rFonts w:ascii="Arial" w:hAnsi="Arial" w:cs="Arial"/>
          <w:sz w:val="20"/>
        </w:rPr>
        <w:t xml:space="preserve"> rule </w:t>
      </w:r>
      <w:r w:rsidR="00A83780" w:rsidRPr="00F97360">
        <w:rPr>
          <w:rFonts w:ascii="Arial" w:hAnsi="Arial" w:cs="Arial"/>
          <w:sz w:val="20"/>
        </w:rPr>
        <w:fldChar w:fldCharType="begin"/>
      </w:r>
      <w:r w:rsidR="00A83780" w:rsidRPr="00F97360">
        <w:rPr>
          <w:rFonts w:ascii="Arial" w:hAnsi="Arial" w:cs="Arial"/>
          <w:sz w:val="20"/>
        </w:rPr>
        <w:instrText xml:space="preserve"> REF _Ref101260356 \r \h </w:instrText>
      </w:r>
      <w:r w:rsidR="004C1A6B" w:rsidRPr="00F97360">
        <w:rPr>
          <w:rFonts w:ascii="Arial" w:hAnsi="Arial" w:cs="Arial"/>
          <w:sz w:val="20"/>
        </w:rPr>
        <w:instrText xml:space="preserve"> \* MERGEFORMAT </w:instrText>
      </w:r>
      <w:r w:rsidR="00A83780" w:rsidRPr="00F97360">
        <w:rPr>
          <w:rFonts w:ascii="Arial" w:hAnsi="Arial" w:cs="Arial"/>
          <w:sz w:val="20"/>
        </w:rPr>
      </w:r>
      <w:r w:rsidR="00A83780" w:rsidRPr="00F97360">
        <w:rPr>
          <w:rFonts w:ascii="Arial" w:hAnsi="Arial" w:cs="Arial"/>
          <w:sz w:val="20"/>
        </w:rPr>
        <w:fldChar w:fldCharType="separate"/>
      </w:r>
      <w:r w:rsidR="00710210" w:rsidRPr="00F97360">
        <w:rPr>
          <w:rFonts w:ascii="Arial" w:hAnsi="Arial" w:cs="Arial"/>
          <w:sz w:val="20"/>
        </w:rPr>
        <w:t>23.2</w:t>
      </w:r>
      <w:r w:rsidR="00A83780" w:rsidRPr="00F97360">
        <w:rPr>
          <w:rFonts w:ascii="Arial" w:hAnsi="Arial" w:cs="Arial"/>
          <w:sz w:val="20"/>
        </w:rPr>
        <w:fldChar w:fldCharType="end"/>
      </w:r>
      <w:r w:rsidR="00A83780" w:rsidRPr="00F97360">
        <w:rPr>
          <w:rFonts w:ascii="Arial" w:hAnsi="Arial" w:cs="Arial"/>
          <w:sz w:val="20"/>
        </w:rPr>
        <w:t xml:space="preserve"> </w:t>
      </w:r>
      <w:r w:rsidR="00D8597D" w:rsidRPr="00F97360">
        <w:rPr>
          <w:rFonts w:ascii="Arial" w:hAnsi="Arial" w:cs="Arial"/>
          <w:sz w:val="20"/>
        </w:rPr>
        <w:t>before such liability arises)</w:t>
      </w:r>
      <w:r w:rsidR="00962F55" w:rsidRPr="00F97360">
        <w:rPr>
          <w:rFonts w:ascii="Arial" w:hAnsi="Arial" w:cs="Arial"/>
          <w:sz w:val="20"/>
        </w:rPr>
        <w:t xml:space="preserve"> and</w:t>
      </w:r>
    </w:p>
    <w:p w14:paraId="56712DF6" w14:textId="77777777" w:rsidR="00962F55" w:rsidRPr="00F97360" w:rsidRDefault="00D8597D" w:rsidP="00F97360">
      <w:pPr>
        <w:pStyle w:val="DefinedTermNumber"/>
        <w:tabs>
          <w:tab w:val="clear" w:pos="1554"/>
          <w:tab w:val="num" w:pos="1985"/>
        </w:tabs>
        <w:ind w:left="1985" w:hanging="567"/>
        <w:rPr>
          <w:rFonts w:ascii="Arial" w:hAnsi="Arial" w:cs="Arial"/>
          <w:sz w:val="20"/>
        </w:rPr>
      </w:pPr>
      <w:r w:rsidRPr="00F97360">
        <w:rPr>
          <w:rFonts w:ascii="Arial" w:hAnsi="Arial" w:cs="Arial"/>
          <w:sz w:val="20"/>
        </w:rPr>
        <w:t xml:space="preserve">any related fines, </w:t>
      </w:r>
      <w:proofErr w:type="gramStart"/>
      <w:r w:rsidRPr="00F97360">
        <w:rPr>
          <w:rFonts w:ascii="Arial" w:hAnsi="Arial" w:cs="Arial"/>
          <w:sz w:val="20"/>
        </w:rPr>
        <w:t>penalties</w:t>
      </w:r>
      <w:proofErr w:type="gramEnd"/>
      <w:r w:rsidRPr="00F97360">
        <w:rPr>
          <w:rFonts w:ascii="Arial" w:hAnsi="Arial" w:cs="Arial"/>
          <w:sz w:val="20"/>
        </w:rPr>
        <w:t xml:space="preserve"> and interest.</w:t>
      </w:r>
    </w:p>
    <w:p w14:paraId="3CBEF7C1" w14:textId="450F4A95" w:rsidR="00BE41F9" w:rsidRPr="00F97360" w:rsidRDefault="00BE41F9" w:rsidP="00BE41F9">
      <w:pPr>
        <w:pStyle w:val="DefinedTermPara"/>
        <w:rPr>
          <w:rStyle w:val="DefTerm"/>
          <w:color w:val="auto"/>
          <w:sz w:val="20"/>
        </w:rPr>
      </w:pPr>
      <w:bookmarkStart w:id="73" w:name="a867016"/>
      <w:bookmarkStart w:id="74" w:name="a164600"/>
      <w:r w:rsidRPr="00F97360">
        <w:rPr>
          <w:rStyle w:val="DefTerm"/>
          <w:color w:val="auto"/>
          <w:sz w:val="20"/>
        </w:rPr>
        <w:t>Transfer Only Award</w:t>
      </w:r>
      <w:r w:rsidRPr="00F97360">
        <w:rPr>
          <w:rFonts w:ascii="Arial" w:hAnsi="Arial" w:cs="Arial"/>
          <w:sz w:val="20"/>
        </w:rPr>
        <w:t xml:space="preserve">: </w:t>
      </w:r>
      <w:proofErr w:type="gramStart"/>
      <w:r w:rsidRPr="00F97360">
        <w:rPr>
          <w:rFonts w:ascii="Arial" w:hAnsi="Arial" w:cs="Arial"/>
          <w:sz w:val="20"/>
        </w:rPr>
        <w:t>an</w:t>
      </w:r>
      <w:proofErr w:type="gramEnd"/>
      <w:r w:rsidRPr="00F97360">
        <w:rPr>
          <w:rFonts w:ascii="Arial" w:hAnsi="Arial" w:cs="Arial"/>
          <w:sz w:val="20"/>
        </w:rPr>
        <w:t xml:space="preserve"> Award which the </w:t>
      </w:r>
      <w:r w:rsidR="00B00B6F" w:rsidRPr="00F97360">
        <w:rPr>
          <w:rFonts w:ascii="Arial" w:hAnsi="Arial" w:cs="Arial"/>
          <w:sz w:val="20"/>
        </w:rPr>
        <w:t>Remuneration Committee</w:t>
      </w:r>
      <w:r w:rsidRPr="00F97360">
        <w:rPr>
          <w:rFonts w:ascii="Arial" w:hAnsi="Arial" w:cs="Arial"/>
          <w:sz w:val="20"/>
        </w:rPr>
        <w:t xml:space="preserve"> has designated can be satisfied only by the transfer of Shares, other than treasury shares. An Award is not a Transfer Only Award if it can be satisfied using Shares which have been issued to a person who holds those Shares in a fiduciary capacity for the purposes of an Employees’ Share Scheme.</w:t>
      </w:r>
      <w:bookmarkEnd w:id="73"/>
    </w:p>
    <w:p w14:paraId="56712DF7" w14:textId="77777777" w:rsidR="00E515C1" w:rsidRPr="00F97360" w:rsidRDefault="00D8597D" w:rsidP="00E515C1">
      <w:pPr>
        <w:pStyle w:val="DefinedTermPara"/>
        <w:rPr>
          <w:rFonts w:ascii="Arial" w:hAnsi="Arial" w:cs="Arial"/>
          <w:b/>
          <w:sz w:val="20"/>
        </w:rPr>
      </w:pPr>
      <w:r w:rsidRPr="00F97360">
        <w:rPr>
          <w:rStyle w:val="DefTerm"/>
          <w:color w:val="auto"/>
          <w:sz w:val="20"/>
        </w:rPr>
        <w:lastRenderedPageBreak/>
        <w:t>UK MAR</w:t>
      </w:r>
      <w:r w:rsidRPr="00F97360">
        <w:rPr>
          <w:rFonts w:ascii="Arial" w:hAnsi="Arial" w:cs="Arial"/>
          <w:sz w:val="20"/>
        </w:rPr>
        <w:t>: the retained EU law version of the Market Abuse Regulation (Regulation (EU) 596/2014) which applies in the UK</w:t>
      </w:r>
      <w:bookmarkEnd w:id="74"/>
      <w:r w:rsidRPr="00F97360">
        <w:rPr>
          <w:rFonts w:ascii="Arial" w:hAnsi="Arial" w:cs="Arial"/>
          <w:sz w:val="20"/>
        </w:rPr>
        <w:t>.</w:t>
      </w:r>
    </w:p>
    <w:p w14:paraId="54C254E0" w14:textId="77777777" w:rsidR="00292F28" w:rsidRPr="00F97360" w:rsidRDefault="00292F28" w:rsidP="00292F28">
      <w:pPr>
        <w:pStyle w:val="DefinedTermPara"/>
        <w:rPr>
          <w:rStyle w:val="DefTerm"/>
          <w:color w:val="auto"/>
          <w:sz w:val="20"/>
        </w:rPr>
      </w:pPr>
      <w:bookmarkStart w:id="75" w:name="a953151"/>
      <w:r w:rsidRPr="00F97360">
        <w:rPr>
          <w:rStyle w:val="DefTerm"/>
          <w:color w:val="auto"/>
          <w:sz w:val="20"/>
        </w:rPr>
        <w:t>Vest</w:t>
      </w:r>
      <w:r w:rsidRPr="00F97360">
        <w:rPr>
          <w:rFonts w:ascii="Arial" w:hAnsi="Arial" w:cs="Arial"/>
          <w:sz w:val="20"/>
        </w:rPr>
        <w:t>: means</w:t>
      </w:r>
    </w:p>
    <w:p w14:paraId="3E3EFE6D" w14:textId="3814F481" w:rsidR="00292F28" w:rsidRPr="00F97360" w:rsidRDefault="00292F28" w:rsidP="000E65E8">
      <w:pPr>
        <w:pStyle w:val="DefinedTermNumber"/>
        <w:ind w:left="1985" w:hanging="567"/>
        <w:rPr>
          <w:rFonts w:ascii="Arial" w:hAnsi="Arial" w:cs="Arial"/>
          <w:sz w:val="20"/>
        </w:rPr>
      </w:pPr>
      <w:r w:rsidRPr="00F97360">
        <w:rPr>
          <w:rFonts w:ascii="Arial" w:hAnsi="Arial" w:cs="Arial"/>
          <w:sz w:val="20"/>
        </w:rPr>
        <w:t xml:space="preserve">in relation to </w:t>
      </w:r>
      <w:r w:rsidR="00ED1FB1" w:rsidRPr="00F97360">
        <w:rPr>
          <w:rFonts w:ascii="Arial" w:hAnsi="Arial" w:cs="Arial"/>
          <w:sz w:val="20"/>
        </w:rPr>
        <w:t>a Nil Cost</w:t>
      </w:r>
      <w:r w:rsidRPr="00F97360">
        <w:rPr>
          <w:rFonts w:ascii="Arial" w:hAnsi="Arial" w:cs="Arial"/>
          <w:sz w:val="20"/>
        </w:rPr>
        <w:t xml:space="preserve"> Option, that it becomes exercisable</w:t>
      </w:r>
      <w:r w:rsidR="00253B20" w:rsidRPr="00F97360">
        <w:rPr>
          <w:rFonts w:ascii="Arial" w:hAnsi="Arial" w:cs="Arial"/>
          <w:sz w:val="20"/>
        </w:rPr>
        <w:t xml:space="preserve">, and </w:t>
      </w:r>
    </w:p>
    <w:p w14:paraId="11B36867" w14:textId="09941326" w:rsidR="00292F28" w:rsidRPr="00F97360" w:rsidRDefault="00292F28" w:rsidP="00F97360">
      <w:pPr>
        <w:pStyle w:val="DefinedTermNumber"/>
        <w:ind w:left="1985" w:hanging="567"/>
        <w:rPr>
          <w:rFonts w:ascii="Arial" w:hAnsi="Arial" w:cs="Arial"/>
          <w:sz w:val="20"/>
        </w:rPr>
      </w:pPr>
      <w:r w:rsidRPr="00F97360">
        <w:rPr>
          <w:rFonts w:ascii="Arial" w:hAnsi="Arial" w:cs="Arial"/>
          <w:sz w:val="20"/>
        </w:rPr>
        <w:t xml:space="preserve">in relation to a Conditional Share Award, that the Award Holder becomes entitled to </w:t>
      </w:r>
      <w:r w:rsidR="00651D85" w:rsidRPr="00F97360">
        <w:rPr>
          <w:rFonts w:ascii="Arial" w:hAnsi="Arial" w:cs="Arial"/>
          <w:sz w:val="20"/>
        </w:rPr>
        <w:t xml:space="preserve">have </w:t>
      </w:r>
      <w:r w:rsidR="00A62018" w:rsidRPr="00F97360">
        <w:rPr>
          <w:rFonts w:ascii="Arial" w:hAnsi="Arial" w:cs="Arial"/>
          <w:sz w:val="20"/>
        </w:rPr>
        <w:t xml:space="preserve">the </w:t>
      </w:r>
      <w:r w:rsidRPr="00F97360">
        <w:rPr>
          <w:rFonts w:ascii="Arial" w:hAnsi="Arial" w:cs="Arial"/>
          <w:sz w:val="20"/>
        </w:rPr>
        <w:t>relevant Shares</w:t>
      </w:r>
      <w:r w:rsidR="00A62018" w:rsidRPr="00F97360">
        <w:rPr>
          <w:rFonts w:ascii="Arial" w:hAnsi="Arial" w:cs="Arial"/>
          <w:sz w:val="20"/>
        </w:rPr>
        <w:t xml:space="preserve"> </w:t>
      </w:r>
      <w:r w:rsidR="00C70A2F" w:rsidRPr="00F97360">
        <w:rPr>
          <w:rFonts w:ascii="Arial" w:hAnsi="Arial" w:cs="Arial"/>
          <w:sz w:val="20"/>
        </w:rPr>
        <w:t>issued or</w:t>
      </w:r>
      <w:r w:rsidR="00A62018" w:rsidRPr="00F97360">
        <w:rPr>
          <w:rFonts w:ascii="Arial" w:hAnsi="Arial" w:cs="Arial"/>
          <w:sz w:val="20"/>
        </w:rPr>
        <w:t xml:space="preserve"> transferred to them</w:t>
      </w:r>
      <w:r w:rsidRPr="00F97360">
        <w:rPr>
          <w:rFonts w:ascii="Arial" w:hAnsi="Arial" w:cs="Arial"/>
          <w:sz w:val="20"/>
        </w:rPr>
        <w:t>;</w:t>
      </w:r>
      <w:r w:rsidR="006C27C4" w:rsidRPr="00F97360">
        <w:rPr>
          <w:rFonts w:ascii="Arial" w:hAnsi="Arial" w:cs="Arial"/>
          <w:sz w:val="20"/>
        </w:rPr>
        <w:t xml:space="preserve"> and</w:t>
      </w:r>
    </w:p>
    <w:p w14:paraId="142378D7" w14:textId="77777777" w:rsidR="00292F28" w:rsidRPr="00F97360" w:rsidRDefault="00292F28" w:rsidP="00F97360">
      <w:pPr>
        <w:pStyle w:val="DefinedTermNumber"/>
        <w:ind w:left="1985" w:hanging="567"/>
        <w:rPr>
          <w:rFonts w:ascii="Arial" w:hAnsi="Arial" w:cs="Arial"/>
          <w:sz w:val="20"/>
        </w:rPr>
      </w:pPr>
      <w:r w:rsidRPr="00F97360">
        <w:rPr>
          <w:rFonts w:ascii="Arial" w:hAnsi="Arial" w:cs="Arial"/>
          <w:sz w:val="20"/>
        </w:rPr>
        <w:t>in relation to a Phantom Share Award, that the Award Holder becomes entitled to payment of the amount due under the Phantom Share Award,</w:t>
      </w:r>
    </w:p>
    <w:p w14:paraId="2FDF8382" w14:textId="77777777" w:rsidR="00292F28" w:rsidRPr="00F97360" w:rsidRDefault="00292F28" w:rsidP="00292F28">
      <w:pPr>
        <w:pStyle w:val="DefinedTermNumber"/>
        <w:numPr>
          <w:ilvl w:val="0"/>
          <w:numId w:val="0"/>
        </w:numPr>
        <w:ind w:left="720"/>
        <w:rPr>
          <w:rFonts w:ascii="Arial" w:hAnsi="Arial" w:cs="Arial"/>
          <w:sz w:val="20"/>
        </w:rPr>
      </w:pPr>
      <w:r w:rsidRPr="00F97360">
        <w:rPr>
          <w:rFonts w:ascii="Arial" w:hAnsi="Arial" w:cs="Arial"/>
          <w:sz w:val="20"/>
        </w:rPr>
        <w:t>in each case, in accordance with these rules, and “</w:t>
      </w:r>
      <w:r w:rsidRPr="00F97360">
        <w:rPr>
          <w:rFonts w:ascii="Arial" w:hAnsi="Arial" w:cs="Arial"/>
          <w:b/>
          <w:bCs/>
          <w:sz w:val="20"/>
        </w:rPr>
        <w:t>Vesting</w:t>
      </w:r>
      <w:r w:rsidRPr="00F97360">
        <w:rPr>
          <w:rFonts w:ascii="Arial" w:hAnsi="Arial" w:cs="Arial"/>
          <w:sz w:val="20"/>
        </w:rPr>
        <w:t>” and “</w:t>
      </w:r>
      <w:r w:rsidRPr="00F97360">
        <w:rPr>
          <w:rFonts w:ascii="Arial" w:hAnsi="Arial" w:cs="Arial"/>
          <w:b/>
          <w:bCs/>
          <w:sz w:val="20"/>
        </w:rPr>
        <w:t>Vested</w:t>
      </w:r>
      <w:r w:rsidRPr="00F97360">
        <w:rPr>
          <w:rFonts w:ascii="Arial" w:hAnsi="Arial" w:cs="Arial"/>
          <w:sz w:val="20"/>
        </w:rPr>
        <w:t>” shall have a corresponding meaning.</w:t>
      </w:r>
    </w:p>
    <w:p w14:paraId="6E9898C7" w14:textId="470986D6" w:rsidR="004779B8" w:rsidRPr="00F97360" w:rsidRDefault="004779B8" w:rsidP="004779B8">
      <w:pPr>
        <w:pStyle w:val="DefinedTermPara"/>
        <w:rPr>
          <w:rStyle w:val="DefTerm"/>
          <w:color w:val="auto"/>
          <w:sz w:val="20"/>
        </w:rPr>
      </w:pPr>
      <w:r w:rsidRPr="00F97360">
        <w:rPr>
          <w:rStyle w:val="DefTerm"/>
          <w:color w:val="auto"/>
          <w:sz w:val="20"/>
        </w:rPr>
        <w:t xml:space="preserve">Vesting </w:t>
      </w:r>
      <w:proofErr w:type="gramStart"/>
      <w:r w:rsidRPr="00F97360">
        <w:rPr>
          <w:rStyle w:val="DefTerm"/>
          <w:color w:val="auto"/>
          <w:sz w:val="20"/>
        </w:rPr>
        <w:t>Date</w:t>
      </w:r>
      <w:r w:rsidRPr="00F97360">
        <w:rPr>
          <w:rFonts w:ascii="Arial" w:hAnsi="Arial" w:cs="Arial"/>
          <w:sz w:val="20"/>
        </w:rPr>
        <w:t>:</w:t>
      </w:r>
      <w:proofErr w:type="gramEnd"/>
      <w:r w:rsidRPr="00F97360">
        <w:rPr>
          <w:rFonts w:ascii="Arial" w:hAnsi="Arial" w:cs="Arial"/>
          <w:sz w:val="20"/>
        </w:rPr>
        <w:t xml:space="preserve"> is the date on which the Award Vests, which shall (save where the </w:t>
      </w:r>
      <w:r w:rsidR="00D67DB9" w:rsidRPr="00F97360">
        <w:rPr>
          <w:rFonts w:ascii="Arial" w:hAnsi="Arial" w:cs="Arial"/>
          <w:sz w:val="20"/>
        </w:rPr>
        <w:t>Award</w:t>
      </w:r>
      <w:r w:rsidRPr="00F97360">
        <w:rPr>
          <w:rFonts w:ascii="Arial" w:hAnsi="Arial" w:cs="Arial"/>
          <w:sz w:val="20"/>
        </w:rPr>
        <w:t xml:space="preserve"> has lapsed or been surrendered before such date) be the </w:t>
      </w:r>
      <w:r w:rsidRPr="00F97360">
        <w:rPr>
          <w:rStyle w:val="DefTerm"/>
          <w:b w:val="0"/>
          <w:bCs/>
          <w:color w:val="auto"/>
          <w:sz w:val="20"/>
        </w:rPr>
        <w:t>Ordinary Vesting Date</w:t>
      </w:r>
      <w:r w:rsidRPr="00F97360">
        <w:rPr>
          <w:rFonts w:ascii="Arial" w:hAnsi="Arial" w:cs="Arial"/>
          <w:sz w:val="20"/>
        </w:rPr>
        <w:t xml:space="preserve"> or such other date as the </w:t>
      </w:r>
      <w:r w:rsidR="00D67DB9" w:rsidRPr="00F97360">
        <w:rPr>
          <w:rFonts w:ascii="Arial" w:hAnsi="Arial" w:cs="Arial"/>
          <w:sz w:val="20"/>
        </w:rPr>
        <w:t>Award</w:t>
      </w:r>
      <w:r w:rsidRPr="00F97360">
        <w:rPr>
          <w:rFonts w:ascii="Arial" w:hAnsi="Arial" w:cs="Arial"/>
          <w:sz w:val="20"/>
        </w:rPr>
        <w:t xml:space="preserve"> Vests in accordance with these rules.</w:t>
      </w:r>
    </w:p>
    <w:p w14:paraId="6D270504" w14:textId="54E0AF05" w:rsidR="00DF535A" w:rsidRPr="00F97360" w:rsidRDefault="00DF535A" w:rsidP="00DF535A">
      <w:pPr>
        <w:pStyle w:val="DefinedTermPara"/>
        <w:rPr>
          <w:rFonts w:ascii="Arial" w:hAnsi="Arial" w:cs="Arial"/>
          <w:b/>
          <w:sz w:val="20"/>
        </w:rPr>
      </w:pPr>
      <w:bookmarkStart w:id="76" w:name="a452337"/>
      <w:r w:rsidRPr="00F97360">
        <w:rPr>
          <w:rStyle w:val="DefTerm"/>
          <w:color w:val="auto"/>
          <w:sz w:val="20"/>
        </w:rPr>
        <w:t>Vesting Period</w:t>
      </w:r>
      <w:r w:rsidRPr="00F97360">
        <w:rPr>
          <w:rFonts w:ascii="Arial" w:hAnsi="Arial" w:cs="Arial"/>
          <w:sz w:val="20"/>
        </w:rPr>
        <w:t>: the period that starts on the Grant Date and ends on such date as the Remuneration Committee may specify</w:t>
      </w:r>
      <w:r w:rsidR="00436432" w:rsidRPr="00F97360">
        <w:rPr>
          <w:rFonts w:ascii="Arial" w:hAnsi="Arial" w:cs="Arial"/>
          <w:sz w:val="20"/>
        </w:rPr>
        <w:t xml:space="preserve"> in the </w:t>
      </w:r>
      <w:r w:rsidR="00A07BB4" w:rsidRPr="00F97360">
        <w:rPr>
          <w:rFonts w:ascii="Arial" w:hAnsi="Arial" w:cs="Arial"/>
          <w:sz w:val="20"/>
        </w:rPr>
        <w:t>Award Certificate</w:t>
      </w:r>
      <w:r w:rsidRPr="00F97360">
        <w:rPr>
          <w:rFonts w:ascii="Arial" w:hAnsi="Arial" w:cs="Arial"/>
          <w:sz w:val="20"/>
        </w:rPr>
        <w:t xml:space="preserve"> (provided that, in respect of Awards granted to Executive Directors, the end date will not </w:t>
      </w:r>
      <w:r w:rsidR="008E082E" w:rsidRPr="00F97360">
        <w:rPr>
          <w:rFonts w:ascii="Arial" w:hAnsi="Arial" w:cs="Arial"/>
          <w:sz w:val="20"/>
        </w:rPr>
        <w:t xml:space="preserve">normally </w:t>
      </w:r>
      <w:r w:rsidRPr="00F97360">
        <w:rPr>
          <w:rFonts w:ascii="Arial" w:hAnsi="Arial" w:cs="Arial"/>
          <w:sz w:val="20"/>
        </w:rPr>
        <w:t>be earlier than the third anniversary of the Grant Date</w:t>
      </w:r>
      <w:bookmarkEnd w:id="76"/>
      <w:r w:rsidRPr="00F97360">
        <w:rPr>
          <w:rFonts w:ascii="Arial" w:hAnsi="Arial" w:cs="Arial"/>
          <w:sz w:val="20"/>
        </w:rPr>
        <w:t xml:space="preserve"> unless the Remuneration Committee determines otherwise).</w:t>
      </w:r>
    </w:p>
    <w:p w14:paraId="56712DF9" w14:textId="4F85E707" w:rsidR="007B4FB5" w:rsidRPr="00F97360" w:rsidRDefault="00D8597D" w:rsidP="007B4FB5">
      <w:pPr>
        <w:pStyle w:val="DefinedTermPara"/>
        <w:rPr>
          <w:rStyle w:val="DefTerm"/>
          <w:color w:val="auto"/>
          <w:sz w:val="20"/>
        </w:rPr>
      </w:pPr>
      <w:r w:rsidRPr="00F97360">
        <w:rPr>
          <w:rStyle w:val="DefTerm"/>
          <w:color w:val="auto"/>
          <w:sz w:val="20"/>
        </w:rPr>
        <w:t>Year</w:t>
      </w:r>
      <w:r w:rsidRPr="00F97360">
        <w:rPr>
          <w:rFonts w:ascii="Arial" w:hAnsi="Arial" w:cs="Arial"/>
          <w:sz w:val="20"/>
        </w:rPr>
        <w:t>: a financial year of the Company as defined in section 390 of the</w:t>
      </w:r>
      <w:r w:rsidR="008E4EFD" w:rsidRPr="00F97360">
        <w:rPr>
          <w:rFonts w:ascii="Arial" w:hAnsi="Arial" w:cs="Arial"/>
          <w:sz w:val="20"/>
        </w:rPr>
        <w:t xml:space="preserve"> </w:t>
      </w:r>
      <w:r w:rsidRPr="00F97360">
        <w:rPr>
          <w:rFonts w:ascii="Arial" w:hAnsi="Arial" w:cs="Arial"/>
          <w:sz w:val="20"/>
        </w:rPr>
        <w:t>Companies Act 2006.</w:t>
      </w:r>
      <w:bookmarkEnd w:id="75"/>
    </w:p>
    <w:p w14:paraId="56712DFA" w14:textId="77777777" w:rsidR="007B4FB5" w:rsidRPr="00F97360" w:rsidRDefault="00D8597D" w:rsidP="007B4FB5">
      <w:pPr>
        <w:pStyle w:val="Untitledsubclause1"/>
        <w:rPr>
          <w:rFonts w:ascii="Arial" w:hAnsi="Arial" w:cs="Arial"/>
          <w:sz w:val="20"/>
        </w:rPr>
      </w:pPr>
      <w:bookmarkStart w:id="77" w:name="a363538"/>
      <w:r w:rsidRPr="00F97360">
        <w:rPr>
          <w:rFonts w:ascii="Arial" w:hAnsi="Arial" w:cs="Arial"/>
          <w:sz w:val="20"/>
        </w:rPr>
        <w:t>Rule headings shall not affect the interpretation of the rules.</w:t>
      </w:r>
      <w:bookmarkEnd w:id="77"/>
    </w:p>
    <w:p w14:paraId="56712DFB" w14:textId="77777777" w:rsidR="007B4FB5" w:rsidRPr="00F97360" w:rsidRDefault="00D8597D" w:rsidP="007B4FB5">
      <w:pPr>
        <w:pStyle w:val="Untitledsubclause1"/>
        <w:rPr>
          <w:rFonts w:ascii="Arial" w:hAnsi="Arial" w:cs="Arial"/>
          <w:sz w:val="20"/>
        </w:rPr>
      </w:pPr>
      <w:bookmarkStart w:id="78" w:name="a749520"/>
      <w:r w:rsidRPr="00F97360">
        <w:rPr>
          <w:rFonts w:ascii="Arial" w:hAnsi="Arial" w:cs="Arial"/>
          <w:sz w:val="20"/>
        </w:rPr>
        <w:t xml:space="preserve">A </w:t>
      </w:r>
      <w:r w:rsidRPr="00F97360">
        <w:rPr>
          <w:rFonts w:ascii="Arial" w:hAnsi="Arial" w:cs="Arial"/>
          <w:b/>
          <w:sz w:val="20"/>
        </w:rPr>
        <w:t>person</w:t>
      </w:r>
      <w:r w:rsidRPr="00F97360">
        <w:rPr>
          <w:rFonts w:ascii="Arial" w:hAnsi="Arial" w:cs="Arial"/>
          <w:sz w:val="20"/>
        </w:rPr>
        <w:t xml:space="preserve"> includes a natural person, corporate or unincorporated body (</w:t>
      </w:r>
      <w:proofErr w:type="gramStart"/>
      <w:r w:rsidRPr="00F97360">
        <w:rPr>
          <w:rFonts w:ascii="Arial" w:hAnsi="Arial" w:cs="Arial"/>
          <w:sz w:val="20"/>
        </w:rPr>
        <w:t>whether or not</w:t>
      </w:r>
      <w:proofErr w:type="gramEnd"/>
      <w:r w:rsidRPr="00F97360">
        <w:rPr>
          <w:rFonts w:ascii="Arial" w:hAnsi="Arial" w:cs="Arial"/>
          <w:sz w:val="20"/>
        </w:rPr>
        <w:t xml:space="preserve"> having separate legal personality).</w:t>
      </w:r>
      <w:bookmarkEnd w:id="78"/>
    </w:p>
    <w:bookmarkStart w:id="79" w:name="a794836"/>
    <w:p w14:paraId="56712DFC" w14:textId="77777777" w:rsidR="007B4FB5" w:rsidRPr="00F97360" w:rsidRDefault="00D8597D" w:rsidP="007B4FB5">
      <w:pPr>
        <w:pStyle w:val="Untitledsubclause1"/>
        <w:rPr>
          <w:rFonts w:ascii="Arial" w:hAnsi="Arial" w:cs="Arial"/>
          <w:sz w:val="20"/>
        </w:rPr>
      </w:pPr>
      <w:r w:rsidRPr="00F97360">
        <w:rPr>
          <w:rFonts w:ascii="Arial" w:hAnsi="Arial" w:cs="Arial"/>
          <w:sz w:val="20"/>
        </w:rPr>
        <w:fldChar w:fldCharType="begin"/>
      </w:r>
      <w:r w:rsidRPr="00F97360">
        <w:rPr>
          <w:rFonts w:ascii="Arial" w:hAnsi="Arial" w:cs="Arial"/>
          <w:sz w:val="20"/>
        </w:rPr>
        <w:fldChar w:fldCharType="end"/>
      </w:r>
      <w:r w:rsidRPr="00F97360">
        <w:rPr>
          <w:rFonts w:ascii="Arial" w:hAnsi="Arial" w:cs="Arial"/>
          <w:sz w:val="20"/>
        </w:rPr>
        <w:t>Any Schedules</w:t>
      </w:r>
      <w:r w:rsidR="00A70B0E" w:rsidRPr="00F97360">
        <w:rPr>
          <w:rFonts w:ascii="Arial" w:hAnsi="Arial" w:cs="Arial"/>
          <w:sz w:val="20"/>
        </w:rPr>
        <w:t xml:space="preserve"> to this Plan </w:t>
      </w:r>
      <w:r w:rsidRPr="00F97360">
        <w:rPr>
          <w:rFonts w:ascii="Arial" w:hAnsi="Arial" w:cs="Arial"/>
          <w:sz w:val="20"/>
        </w:rPr>
        <w:t>form part of the rules and shall have effect as if set out in full in the body of the rules. Any reference to the rules includes the Schedules.</w:t>
      </w:r>
      <w:bookmarkEnd w:id="79"/>
    </w:p>
    <w:p w14:paraId="56712DFD" w14:textId="77777777" w:rsidR="007B4FB5" w:rsidRPr="00F97360" w:rsidRDefault="00D8597D" w:rsidP="007B4FB5">
      <w:pPr>
        <w:pStyle w:val="Untitledsubclause1"/>
        <w:rPr>
          <w:rFonts w:ascii="Arial" w:hAnsi="Arial" w:cs="Arial"/>
          <w:sz w:val="20"/>
        </w:rPr>
      </w:pPr>
      <w:bookmarkStart w:id="80" w:name="a190046"/>
      <w:r w:rsidRPr="00F97360">
        <w:rPr>
          <w:rFonts w:ascii="Arial" w:hAnsi="Arial" w:cs="Arial"/>
          <w:sz w:val="20"/>
        </w:rPr>
        <w:t xml:space="preserve">A reference to a </w:t>
      </w:r>
      <w:r w:rsidRPr="00F97360">
        <w:rPr>
          <w:rFonts w:ascii="Arial" w:hAnsi="Arial" w:cs="Arial"/>
          <w:b/>
          <w:sz w:val="20"/>
        </w:rPr>
        <w:t>company</w:t>
      </w:r>
      <w:r w:rsidRPr="00F97360">
        <w:rPr>
          <w:rFonts w:ascii="Arial" w:hAnsi="Arial" w:cs="Arial"/>
          <w:sz w:val="20"/>
        </w:rPr>
        <w:t xml:space="preserve"> shall include any company, </w:t>
      </w:r>
      <w:proofErr w:type="gramStart"/>
      <w:r w:rsidRPr="00F97360">
        <w:rPr>
          <w:rFonts w:ascii="Arial" w:hAnsi="Arial" w:cs="Arial"/>
          <w:sz w:val="20"/>
        </w:rPr>
        <w:t>corporation</w:t>
      </w:r>
      <w:proofErr w:type="gramEnd"/>
      <w:r w:rsidRPr="00F97360">
        <w:rPr>
          <w:rFonts w:ascii="Arial" w:hAnsi="Arial" w:cs="Arial"/>
          <w:sz w:val="20"/>
        </w:rPr>
        <w:t xml:space="preserve"> or other body corporate, wherever and however incorporated or established.</w:t>
      </w:r>
      <w:bookmarkEnd w:id="80"/>
    </w:p>
    <w:p w14:paraId="56712DFE" w14:textId="77777777" w:rsidR="007B4FB5" w:rsidRPr="00F97360" w:rsidRDefault="00D8597D" w:rsidP="00395918">
      <w:pPr>
        <w:pStyle w:val="Untitledsubclause1"/>
        <w:rPr>
          <w:rFonts w:ascii="Arial" w:hAnsi="Arial" w:cs="Arial"/>
          <w:sz w:val="20"/>
        </w:rPr>
      </w:pPr>
      <w:bookmarkStart w:id="81" w:name="a738838"/>
      <w:bookmarkStart w:id="82" w:name="_Hlk83051030"/>
      <w:r w:rsidRPr="00F97360">
        <w:rPr>
          <w:rFonts w:ascii="Arial" w:hAnsi="Arial" w:cs="Arial"/>
          <w:sz w:val="20"/>
        </w:rPr>
        <w:t xml:space="preserve">Unless the context otherwise requires, </w:t>
      </w:r>
      <w:r w:rsidR="00862FD2" w:rsidRPr="00F97360">
        <w:rPr>
          <w:rFonts w:ascii="Arial" w:hAnsi="Arial" w:cs="Arial"/>
          <w:sz w:val="20"/>
        </w:rPr>
        <w:t xml:space="preserve">(a) </w:t>
      </w:r>
      <w:r w:rsidRPr="00F97360">
        <w:rPr>
          <w:rFonts w:ascii="Arial" w:hAnsi="Arial" w:cs="Arial"/>
          <w:sz w:val="20"/>
        </w:rPr>
        <w:t xml:space="preserve">words in the singular shall include the plural </w:t>
      </w:r>
      <w:proofErr w:type="gramStart"/>
      <w:r w:rsidRPr="00F97360">
        <w:rPr>
          <w:rFonts w:ascii="Arial" w:hAnsi="Arial" w:cs="Arial"/>
          <w:sz w:val="20"/>
        </w:rPr>
        <w:t>and in the plural</w:t>
      </w:r>
      <w:proofErr w:type="gramEnd"/>
      <w:r w:rsidRPr="00F97360">
        <w:rPr>
          <w:rFonts w:ascii="Arial" w:hAnsi="Arial" w:cs="Arial"/>
          <w:sz w:val="20"/>
        </w:rPr>
        <w:t xml:space="preserve"> shall include the singular</w:t>
      </w:r>
      <w:bookmarkEnd w:id="81"/>
      <w:r w:rsidR="00862FD2" w:rsidRPr="00F97360">
        <w:rPr>
          <w:rFonts w:ascii="Arial" w:hAnsi="Arial" w:cs="Arial"/>
          <w:sz w:val="20"/>
        </w:rPr>
        <w:t xml:space="preserve"> and (b)</w:t>
      </w:r>
      <w:bookmarkStart w:id="83" w:name="a826880"/>
      <w:r w:rsidRPr="00F97360">
        <w:rPr>
          <w:rFonts w:ascii="Arial" w:hAnsi="Arial" w:cs="Arial"/>
          <w:sz w:val="20"/>
        </w:rPr>
        <w:t xml:space="preserve"> a reference to one gender shall include a reference to the other genders.</w:t>
      </w:r>
      <w:bookmarkEnd w:id="82"/>
      <w:bookmarkEnd w:id="83"/>
    </w:p>
    <w:p w14:paraId="56712DFF" w14:textId="77777777" w:rsidR="00305062" w:rsidRPr="00F97360" w:rsidRDefault="00D8597D" w:rsidP="00305062">
      <w:pPr>
        <w:pStyle w:val="Untitledsubclause1"/>
        <w:rPr>
          <w:rFonts w:ascii="Arial" w:hAnsi="Arial" w:cs="Arial"/>
          <w:sz w:val="20"/>
        </w:rPr>
      </w:pPr>
      <w:bookmarkStart w:id="84" w:name="a696113"/>
      <w:r w:rsidRPr="00F97360">
        <w:rPr>
          <w:rFonts w:ascii="Arial" w:hAnsi="Arial" w:cs="Arial"/>
          <w:sz w:val="20"/>
        </w:rPr>
        <w:t>A reference to a</w:t>
      </w:r>
      <w:r w:rsidR="001C22D7" w:rsidRPr="00F97360">
        <w:rPr>
          <w:rFonts w:ascii="Arial" w:hAnsi="Arial" w:cs="Arial"/>
          <w:sz w:val="20"/>
        </w:rPr>
        <w:t xml:space="preserve"> </w:t>
      </w:r>
      <w:r w:rsidRPr="00F97360">
        <w:rPr>
          <w:rFonts w:ascii="Arial" w:hAnsi="Arial" w:cs="Arial"/>
          <w:sz w:val="20"/>
        </w:rPr>
        <w:t>statute or statutory provision</w:t>
      </w:r>
      <w:r w:rsidR="003E7559" w:rsidRPr="00F97360">
        <w:rPr>
          <w:rFonts w:ascii="Arial" w:hAnsi="Arial" w:cs="Arial"/>
          <w:sz w:val="20"/>
        </w:rPr>
        <w:t xml:space="preserve"> </w:t>
      </w:r>
      <w:r w:rsidRPr="00F97360">
        <w:rPr>
          <w:rFonts w:ascii="Arial" w:hAnsi="Arial" w:cs="Arial"/>
          <w:sz w:val="20"/>
        </w:rPr>
        <w:t>includes a reference:</w:t>
      </w:r>
    </w:p>
    <w:p w14:paraId="56712E00" w14:textId="77777777" w:rsidR="00305062" w:rsidRPr="00F97360" w:rsidRDefault="00D8597D" w:rsidP="00F97360">
      <w:pPr>
        <w:pStyle w:val="Untitledsubclause2"/>
        <w:tabs>
          <w:tab w:val="clear" w:pos="1554"/>
        </w:tabs>
        <w:ind w:left="1985" w:hanging="567"/>
        <w:rPr>
          <w:rFonts w:ascii="Arial" w:hAnsi="Arial" w:cs="Arial"/>
          <w:sz w:val="20"/>
        </w:rPr>
      </w:pPr>
      <w:r w:rsidRPr="00F97360">
        <w:rPr>
          <w:rFonts w:ascii="Arial" w:hAnsi="Arial" w:cs="Arial"/>
          <w:sz w:val="20"/>
        </w:rPr>
        <w:t xml:space="preserve">to that statute or provision as from time to time consolidated, modified, re-enacted or replaced by any statute or statutory </w:t>
      </w:r>
      <w:proofErr w:type="gramStart"/>
      <w:r w:rsidRPr="00F97360">
        <w:rPr>
          <w:rFonts w:ascii="Arial" w:hAnsi="Arial" w:cs="Arial"/>
          <w:sz w:val="20"/>
        </w:rPr>
        <w:t>provision;</w:t>
      </w:r>
      <w:proofErr w:type="gramEnd"/>
    </w:p>
    <w:p w14:paraId="56712E01" w14:textId="77777777" w:rsidR="00305062" w:rsidRPr="00F97360" w:rsidRDefault="00D8597D" w:rsidP="00F97360">
      <w:pPr>
        <w:pStyle w:val="Untitledsubclause2"/>
        <w:tabs>
          <w:tab w:val="clear" w:pos="1554"/>
        </w:tabs>
        <w:ind w:left="1985" w:hanging="567"/>
        <w:rPr>
          <w:rFonts w:ascii="Arial" w:hAnsi="Arial" w:cs="Arial"/>
          <w:sz w:val="20"/>
        </w:rPr>
      </w:pPr>
      <w:r w:rsidRPr="00F97360">
        <w:rPr>
          <w:rFonts w:ascii="Arial" w:hAnsi="Arial" w:cs="Arial"/>
          <w:sz w:val="20"/>
        </w:rPr>
        <w:t>to any repealed statute or statutory provision which it re-enacts (with or without modification); and</w:t>
      </w:r>
    </w:p>
    <w:p w14:paraId="56712E02" w14:textId="77777777" w:rsidR="00305062" w:rsidRPr="00F97360" w:rsidRDefault="00D8597D" w:rsidP="00F97360">
      <w:pPr>
        <w:pStyle w:val="Untitledsubclause2"/>
        <w:tabs>
          <w:tab w:val="clear" w:pos="1554"/>
          <w:tab w:val="num" w:pos="1985"/>
        </w:tabs>
        <w:ind w:left="1985" w:hanging="567"/>
        <w:rPr>
          <w:rFonts w:ascii="Arial" w:hAnsi="Arial" w:cs="Arial"/>
          <w:sz w:val="20"/>
        </w:rPr>
      </w:pPr>
      <w:r w:rsidRPr="00F97360">
        <w:rPr>
          <w:rFonts w:ascii="Arial" w:hAnsi="Arial" w:cs="Arial"/>
          <w:sz w:val="20"/>
        </w:rPr>
        <w:lastRenderedPageBreak/>
        <w:t xml:space="preserve">to </w:t>
      </w:r>
      <w:r w:rsidR="001B21E5" w:rsidRPr="00F97360">
        <w:rPr>
          <w:rFonts w:ascii="Arial" w:hAnsi="Arial" w:cs="Arial"/>
          <w:sz w:val="20"/>
        </w:rPr>
        <w:t xml:space="preserve">all </w:t>
      </w:r>
      <w:r w:rsidRPr="00F97360">
        <w:rPr>
          <w:rFonts w:ascii="Arial" w:hAnsi="Arial" w:cs="Arial"/>
          <w:sz w:val="20"/>
        </w:rPr>
        <w:t xml:space="preserve">subordinate legislation made </w:t>
      </w:r>
      <w:r w:rsidR="00827C71" w:rsidRPr="00F97360">
        <w:rPr>
          <w:rFonts w:ascii="Arial" w:hAnsi="Arial" w:cs="Arial"/>
          <w:sz w:val="20"/>
        </w:rPr>
        <w:t xml:space="preserve">from time to time </w:t>
      </w:r>
      <w:r w:rsidRPr="00F97360">
        <w:rPr>
          <w:rFonts w:ascii="Arial" w:hAnsi="Arial" w:cs="Arial"/>
          <w:sz w:val="20"/>
        </w:rPr>
        <w:t>under it.</w:t>
      </w:r>
    </w:p>
    <w:p w14:paraId="56712E03" w14:textId="4B2B0E22" w:rsidR="007B4FB5" w:rsidRPr="00F97360" w:rsidRDefault="00D8597D" w:rsidP="007B4FB5">
      <w:pPr>
        <w:pStyle w:val="Untitledsubclause1"/>
        <w:rPr>
          <w:rFonts w:ascii="Arial" w:hAnsi="Arial" w:cs="Arial"/>
          <w:sz w:val="20"/>
        </w:rPr>
      </w:pPr>
      <w:r w:rsidRPr="00F97360">
        <w:rPr>
          <w:rFonts w:ascii="Arial" w:hAnsi="Arial" w:cs="Arial"/>
          <w:sz w:val="20"/>
        </w:rPr>
        <w:t xml:space="preserve">A reference to </w:t>
      </w:r>
      <w:r w:rsidRPr="00F97360">
        <w:rPr>
          <w:rFonts w:ascii="Arial" w:hAnsi="Arial" w:cs="Arial"/>
          <w:b/>
          <w:sz w:val="20"/>
        </w:rPr>
        <w:t>writing</w:t>
      </w:r>
      <w:r w:rsidRPr="00F97360">
        <w:rPr>
          <w:rFonts w:ascii="Arial" w:hAnsi="Arial" w:cs="Arial"/>
          <w:sz w:val="20"/>
        </w:rPr>
        <w:t xml:space="preserve"> or </w:t>
      </w:r>
      <w:r w:rsidRPr="00F97360">
        <w:rPr>
          <w:rFonts w:ascii="Arial" w:hAnsi="Arial" w:cs="Arial"/>
          <w:b/>
          <w:sz w:val="20"/>
        </w:rPr>
        <w:t>written</w:t>
      </w:r>
      <w:r w:rsidRPr="00F97360">
        <w:rPr>
          <w:rFonts w:ascii="Arial" w:hAnsi="Arial" w:cs="Arial"/>
          <w:sz w:val="20"/>
        </w:rPr>
        <w:t xml:space="preserve"> includes email.</w:t>
      </w:r>
      <w:bookmarkEnd w:id="84"/>
    </w:p>
    <w:p w14:paraId="56712E04" w14:textId="77777777" w:rsidR="007B4FB5" w:rsidRPr="00F97360" w:rsidRDefault="00D8597D" w:rsidP="007B4FB5">
      <w:pPr>
        <w:pStyle w:val="Untitledsubclause1"/>
        <w:rPr>
          <w:rFonts w:ascii="Arial" w:hAnsi="Arial" w:cs="Arial"/>
          <w:sz w:val="20"/>
        </w:rPr>
      </w:pPr>
      <w:bookmarkStart w:id="85" w:name="a955056"/>
      <w:r w:rsidRPr="00F97360">
        <w:rPr>
          <w:rFonts w:ascii="Arial" w:hAnsi="Arial" w:cs="Arial"/>
          <w:sz w:val="20"/>
        </w:rPr>
        <w:t>A reference to the Plan or to any other agreement or document referred to in the Plan is a reference to the Plan or such other agreement or document as varied or novated (in each case, other than in breach of the provisions of the Plan) from time to time.</w:t>
      </w:r>
      <w:bookmarkEnd w:id="85"/>
    </w:p>
    <w:p w14:paraId="56712E05" w14:textId="77777777" w:rsidR="007B4FB5" w:rsidRPr="00F97360" w:rsidRDefault="00D8597D" w:rsidP="007B4FB5">
      <w:pPr>
        <w:pStyle w:val="Untitledsubclause1"/>
        <w:rPr>
          <w:rFonts w:ascii="Arial" w:hAnsi="Arial" w:cs="Arial"/>
          <w:sz w:val="20"/>
        </w:rPr>
      </w:pPr>
      <w:bookmarkStart w:id="86" w:name="a443806"/>
      <w:r w:rsidRPr="00F97360">
        <w:rPr>
          <w:rFonts w:ascii="Arial" w:hAnsi="Arial" w:cs="Arial"/>
          <w:sz w:val="20"/>
        </w:rPr>
        <w:t>Save where otherwise defined, references to rules and schedules are to rules of and schedules to the Plan.</w:t>
      </w:r>
      <w:bookmarkEnd w:id="86"/>
    </w:p>
    <w:p w14:paraId="56712E06" w14:textId="77777777" w:rsidR="007B4FB5" w:rsidRPr="00F97360" w:rsidRDefault="00D8597D" w:rsidP="007B4FB5">
      <w:pPr>
        <w:pStyle w:val="Untitledsubclause1"/>
        <w:rPr>
          <w:rFonts w:ascii="Arial" w:hAnsi="Arial" w:cs="Arial"/>
          <w:sz w:val="20"/>
        </w:rPr>
      </w:pPr>
      <w:bookmarkStart w:id="87" w:name="a446398"/>
      <w:r w:rsidRPr="00F97360">
        <w:rPr>
          <w:rFonts w:ascii="Arial" w:hAnsi="Arial" w:cs="Arial"/>
          <w:sz w:val="20"/>
        </w:rPr>
        <w:t xml:space="preserve">Any words following the terms </w:t>
      </w:r>
      <w:r w:rsidRPr="00F97360">
        <w:rPr>
          <w:rFonts w:ascii="Arial" w:hAnsi="Arial" w:cs="Arial"/>
          <w:b/>
          <w:sz w:val="20"/>
        </w:rPr>
        <w:t>including</w:t>
      </w:r>
      <w:r w:rsidRPr="00F97360">
        <w:rPr>
          <w:rFonts w:ascii="Arial" w:hAnsi="Arial" w:cs="Arial"/>
          <w:sz w:val="20"/>
        </w:rPr>
        <w:t xml:space="preserve">, </w:t>
      </w:r>
      <w:r w:rsidRPr="00F97360">
        <w:rPr>
          <w:rFonts w:ascii="Arial" w:hAnsi="Arial" w:cs="Arial"/>
          <w:b/>
          <w:sz w:val="20"/>
        </w:rPr>
        <w:t>include</w:t>
      </w:r>
      <w:proofErr w:type="gramStart"/>
      <w:r w:rsidRPr="00F97360">
        <w:rPr>
          <w:rFonts w:ascii="Arial" w:hAnsi="Arial" w:cs="Arial"/>
          <w:sz w:val="20"/>
        </w:rPr>
        <w:t xml:space="preserve">, </w:t>
      </w:r>
      <w:r w:rsidRPr="00F97360">
        <w:rPr>
          <w:rFonts w:ascii="Arial" w:hAnsi="Arial" w:cs="Arial"/>
          <w:b/>
          <w:sz w:val="20"/>
        </w:rPr>
        <w:t>in particular</w:t>
      </w:r>
      <w:r w:rsidRPr="00F97360">
        <w:rPr>
          <w:rFonts w:ascii="Arial" w:hAnsi="Arial" w:cs="Arial"/>
          <w:sz w:val="20"/>
        </w:rPr>
        <w:t xml:space="preserve">, </w:t>
      </w:r>
      <w:r w:rsidRPr="00F97360">
        <w:rPr>
          <w:rFonts w:ascii="Arial" w:hAnsi="Arial" w:cs="Arial"/>
          <w:b/>
          <w:sz w:val="20"/>
        </w:rPr>
        <w:t>for</w:t>
      </w:r>
      <w:proofErr w:type="gramEnd"/>
      <w:r w:rsidRPr="00F97360">
        <w:rPr>
          <w:rFonts w:ascii="Arial" w:hAnsi="Arial" w:cs="Arial"/>
          <w:b/>
          <w:sz w:val="20"/>
        </w:rPr>
        <w:t xml:space="preserve"> example</w:t>
      </w:r>
      <w:r w:rsidRPr="00F97360">
        <w:rPr>
          <w:rFonts w:ascii="Arial" w:hAnsi="Arial" w:cs="Arial"/>
          <w:sz w:val="20"/>
        </w:rPr>
        <w:t xml:space="preserve"> or any similar expression shall be construed as illustrative and shall not limit the sense of the words, description, definition, phrase or term preceding those terms.</w:t>
      </w:r>
      <w:bookmarkEnd w:id="87"/>
    </w:p>
    <w:p w14:paraId="56712E07" w14:textId="77777777" w:rsidR="003174AE" w:rsidRPr="00F97360" w:rsidRDefault="00D8597D" w:rsidP="007B4FB5">
      <w:pPr>
        <w:pStyle w:val="Untitledsubclause1"/>
        <w:rPr>
          <w:rFonts w:ascii="Arial" w:hAnsi="Arial" w:cs="Arial"/>
          <w:sz w:val="20"/>
        </w:rPr>
      </w:pPr>
      <w:r w:rsidRPr="00F97360">
        <w:rPr>
          <w:rFonts w:ascii="Arial" w:hAnsi="Arial" w:cs="Arial"/>
          <w:sz w:val="20"/>
        </w:rPr>
        <w:t>The Interpretation Act 1978 applies to the Plan in the same way as it applies to an enactment.</w:t>
      </w:r>
    </w:p>
    <w:p w14:paraId="56712E08" w14:textId="5FEBBE1D" w:rsidR="007B4FB5" w:rsidRPr="00F97360" w:rsidRDefault="00F5188C" w:rsidP="007B4FB5">
      <w:pPr>
        <w:pStyle w:val="TitleClause"/>
        <w:rPr>
          <w:rFonts w:ascii="Arial" w:hAnsi="Arial" w:cs="Arial"/>
          <w:sz w:val="20"/>
        </w:rPr>
      </w:pPr>
      <w:bookmarkStart w:id="88" w:name="_Toc145339770"/>
      <w:bookmarkStart w:id="89" w:name="_Toc131682120"/>
      <w:bookmarkStart w:id="90" w:name="_Toc161658055"/>
      <w:r w:rsidRPr="00F97360">
        <w:rPr>
          <w:rFonts w:ascii="Arial" w:hAnsi="Arial" w:cs="Arial"/>
          <w:sz w:val="20"/>
        </w:rPr>
        <w:t xml:space="preserve">Eligibility and </w:t>
      </w:r>
      <w:r w:rsidR="00D8597D" w:rsidRPr="00F97360">
        <w:rPr>
          <w:rFonts w:ascii="Arial" w:hAnsi="Arial" w:cs="Arial"/>
          <w:sz w:val="20"/>
        </w:rPr>
        <w:fldChar w:fldCharType="begin"/>
      </w:r>
      <w:r w:rsidR="00D8597D" w:rsidRPr="00F97360">
        <w:rPr>
          <w:rFonts w:ascii="Arial" w:hAnsi="Arial" w:cs="Arial"/>
          <w:sz w:val="20"/>
        </w:rPr>
        <w:instrText>TC "2. Grant of Awards" \l 1</w:instrText>
      </w:r>
      <w:r w:rsidR="00D8597D" w:rsidRPr="00F97360">
        <w:rPr>
          <w:rFonts w:ascii="Arial" w:hAnsi="Arial" w:cs="Arial"/>
          <w:sz w:val="20"/>
        </w:rPr>
        <w:fldChar w:fldCharType="end"/>
      </w:r>
      <w:bookmarkStart w:id="91" w:name="a969782"/>
      <w:bookmarkStart w:id="92" w:name="_Toc105671015"/>
      <w:bookmarkStart w:id="93" w:name="_Toc103273388"/>
      <w:r w:rsidR="00D8597D" w:rsidRPr="00F97360">
        <w:rPr>
          <w:rFonts w:ascii="Arial" w:hAnsi="Arial" w:cs="Arial"/>
          <w:sz w:val="20"/>
        </w:rPr>
        <w:t xml:space="preserve">Grant of </w:t>
      </w:r>
      <w:r w:rsidR="00D67DB9" w:rsidRPr="00F97360">
        <w:rPr>
          <w:rFonts w:ascii="Arial" w:hAnsi="Arial" w:cs="Arial"/>
          <w:sz w:val="20"/>
        </w:rPr>
        <w:t>Award</w:t>
      </w:r>
      <w:r w:rsidR="00D62C51" w:rsidRPr="00F97360">
        <w:rPr>
          <w:rFonts w:ascii="Arial" w:hAnsi="Arial" w:cs="Arial"/>
          <w:sz w:val="20"/>
        </w:rPr>
        <w:t>s</w:t>
      </w:r>
      <w:bookmarkEnd w:id="88"/>
      <w:bookmarkEnd w:id="89"/>
      <w:bookmarkEnd w:id="90"/>
      <w:bookmarkEnd w:id="91"/>
      <w:bookmarkEnd w:id="92"/>
      <w:bookmarkEnd w:id="93"/>
    </w:p>
    <w:p w14:paraId="56712E09" w14:textId="798412EB" w:rsidR="00314127" w:rsidRPr="00F97360" w:rsidRDefault="00D8597D" w:rsidP="007A1DCE">
      <w:pPr>
        <w:pStyle w:val="Untitledsubclause1"/>
        <w:rPr>
          <w:rFonts w:ascii="Arial" w:hAnsi="Arial" w:cs="Arial"/>
          <w:sz w:val="20"/>
          <w:lang w:eastAsia="x-none"/>
        </w:rPr>
      </w:pPr>
      <w:bookmarkStart w:id="94" w:name="a134048"/>
      <w:r w:rsidRPr="00F97360">
        <w:rPr>
          <w:rFonts w:ascii="Arial" w:hAnsi="Arial" w:cs="Arial"/>
          <w:sz w:val="20"/>
        </w:rPr>
        <w:t xml:space="preserve">Subject to the rules, the </w:t>
      </w:r>
      <w:r w:rsidR="00623047" w:rsidRPr="00F97360">
        <w:rPr>
          <w:rFonts w:ascii="Arial" w:hAnsi="Arial" w:cs="Arial"/>
          <w:sz w:val="20"/>
        </w:rPr>
        <w:t>Remuneration Committee</w:t>
      </w:r>
      <w:r w:rsidRPr="00F97360">
        <w:rPr>
          <w:rFonts w:ascii="Arial" w:hAnsi="Arial" w:cs="Arial"/>
          <w:sz w:val="20"/>
        </w:rPr>
        <w:t xml:space="preserve"> may grant </w:t>
      </w:r>
      <w:r w:rsidR="00D93C59" w:rsidRPr="00F97360">
        <w:rPr>
          <w:rFonts w:ascii="Arial" w:hAnsi="Arial" w:cs="Arial"/>
          <w:sz w:val="20"/>
        </w:rPr>
        <w:t>an Award</w:t>
      </w:r>
      <w:r w:rsidR="00F46E21" w:rsidRPr="00F97360">
        <w:rPr>
          <w:rFonts w:ascii="Arial" w:hAnsi="Arial" w:cs="Arial"/>
          <w:sz w:val="20"/>
        </w:rPr>
        <w:t xml:space="preserve"> </w:t>
      </w:r>
      <w:r w:rsidRPr="00F97360">
        <w:rPr>
          <w:rFonts w:ascii="Arial" w:hAnsi="Arial" w:cs="Arial"/>
          <w:sz w:val="20"/>
        </w:rPr>
        <w:t>to any Employee it chooses during</w:t>
      </w:r>
      <w:r w:rsidR="005013C4" w:rsidRPr="00F97360">
        <w:rPr>
          <w:rFonts w:ascii="Arial" w:hAnsi="Arial" w:cs="Arial"/>
          <w:sz w:val="20"/>
        </w:rPr>
        <w:t xml:space="preserve"> a Grant Period</w:t>
      </w:r>
      <w:r w:rsidR="00033F38" w:rsidRPr="00F97360">
        <w:rPr>
          <w:rFonts w:ascii="Arial" w:hAnsi="Arial" w:cs="Arial"/>
          <w:sz w:val="20"/>
        </w:rPr>
        <w:t>,</w:t>
      </w:r>
      <w:bookmarkEnd w:id="94"/>
      <w:r w:rsidR="00033F38" w:rsidRPr="00F97360">
        <w:rPr>
          <w:rFonts w:ascii="Arial" w:hAnsi="Arial" w:cs="Arial"/>
          <w:sz w:val="20"/>
        </w:rPr>
        <w:t xml:space="preserve"> or at any other time when, in the opinion of the </w:t>
      </w:r>
      <w:r w:rsidR="00623047" w:rsidRPr="00F97360">
        <w:rPr>
          <w:rFonts w:ascii="Arial" w:hAnsi="Arial" w:cs="Arial"/>
          <w:sz w:val="20"/>
        </w:rPr>
        <w:t>Remuneration Committee</w:t>
      </w:r>
      <w:r w:rsidR="00033F38" w:rsidRPr="00F97360">
        <w:rPr>
          <w:rFonts w:ascii="Arial" w:hAnsi="Arial" w:cs="Arial"/>
          <w:sz w:val="20"/>
        </w:rPr>
        <w:t>, exceptional circumstances have arisen which justify the grant of an Award.</w:t>
      </w:r>
      <w:bookmarkStart w:id="95" w:name="a702749"/>
    </w:p>
    <w:p w14:paraId="56712E0A" w14:textId="0A6D7E7F" w:rsidR="007B4FB5" w:rsidRPr="00F97360" w:rsidRDefault="00D8597D" w:rsidP="006D3077">
      <w:pPr>
        <w:pStyle w:val="Untitledsubclause1"/>
        <w:rPr>
          <w:rFonts w:ascii="Arial" w:hAnsi="Arial" w:cs="Arial"/>
          <w:sz w:val="20"/>
        </w:rPr>
      </w:pPr>
      <w:r w:rsidRPr="00F97360">
        <w:rPr>
          <w:rFonts w:ascii="Arial" w:hAnsi="Arial" w:cs="Arial"/>
          <w:sz w:val="20"/>
        </w:rPr>
        <w:t xml:space="preserve">The </w:t>
      </w:r>
      <w:r w:rsidR="00623047" w:rsidRPr="00F97360">
        <w:rPr>
          <w:rFonts w:ascii="Arial" w:hAnsi="Arial" w:cs="Arial"/>
          <w:sz w:val="20"/>
        </w:rPr>
        <w:t>Remuneration Committee</w:t>
      </w:r>
      <w:r w:rsidR="008C2659" w:rsidRPr="00F97360">
        <w:rPr>
          <w:rFonts w:ascii="Arial" w:hAnsi="Arial" w:cs="Arial"/>
          <w:sz w:val="20"/>
        </w:rPr>
        <w:t xml:space="preserve"> </w:t>
      </w:r>
      <w:r w:rsidRPr="00F97360">
        <w:rPr>
          <w:rFonts w:ascii="Arial" w:hAnsi="Arial" w:cs="Arial"/>
          <w:sz w:val="20"/>
        </w:rPr>
        <w:t xml:space="preserve">may not grant </w:t>
      </w:r>
      <w:r w:rsidR="00D67DB9" w:rsidRPr="00F97360">
        <w:rPr>
          <w:rFonts w:ascii="Arial" w:hAnsi="Arial" w:cs="Arial"/>
          <w:sz w:val="20"/>
        </w:rPr>
        <w:t>Award</w:t>
      </w:r>
      <w:r w:rsidRPr="00F97360">
        <w:rPr>
          <w:rFonts w:ascii="Arial" w:hAnsi="Arial" w:cs="Arial"/>
          <w:sz w:val="20"/>
        </w:rPr>
        <w:t>s:</w:t>
      </w:r>
      <w:bookmarkEnd w:id="95"/>
    </w:p>
    <w:p w14:paraId="56712E0B" w14:textId="77777777" w:rsidR="007B4FB5" w:rsidRPr="00F97360" w:rsidRDefault="00D8597D" w:rsidP="00F97360">
      <w:pPr>
        <w:pStyle w:val="Untitledsubclause2"/>
        <w:tabs>
          <w:tab w:val="clear" w:pos="1554"/>
          <w:tab w:val="num" w:pos="1985"/>
        </w:tabs>
        <w:ind w:left="1985"/>
        <w:rPr>
          <w:rFonts w:ascii="Arial" w:hAnsi="Arial" w:cs="Arial"/>
          <w:sz w:val="20"/>
        </w:rPr>
      </w:pPr>
      <w:bookmarkStart w:id="96" w:name="a200727"/>
      <w:r w:rsidRPr="00F97360">
        <w:rPr>
          <w:rFonts w:ascii="Arial" w:hAnsi="Arial" w:cs="Arial"/>
          <w:sz w:val="20"/>
        </w:rPr>
        <w:t>during a Closed Period; or</w:t>
      </w:r>
      <w:bookmarkEnd w:id="96"/>
    </w:p>
    <w:p w14:paraId="56712E0C" w14:textId="77777777" w:rsidR="007B4FB5" w:rsidRPr="00F97360" w:rsidRDefault="00D8597D" w:rsidP="00F97360">
      <w:pPr>
        <w:pStyle w:val="Untitledsubclause2"/>
        <w:tabs>
          <w:tab w:val="clear" w:pos="1554"/>
          <w:tab w:val="num" w:pos="1985"/>
        </w:tabs>
        <w:ind w:left="1985"/>
        <w:rPr>
          <w:rFonts w:ascii="Arial" w:hAnsi="Arial" w:cs="Arial"/>
          <w:sz w:val="20"/>
        </w:rPr>
      </w:pPr>
      <w:bookmarkStart w:id="97" w:name="a158002"/>
      <w:r w:rsidRPr="00F97360">
        <w:rPr>
          <w:rFonts w:ascii="Arial" w:hAnsi="Arial" w:cs="Arial"/>
          <w:sz w:val="20"/>
        </w:rPr>
        <w:t>after the tenth anniversary of the Adoption Date.</w:t>
      </w:r>
      <w:bookmarkEnd w:id="97"/>
    </w:p>
    <w:p w14:paraId="56712E0D" w14:textId="5EA217F0" w:rsidR="003A761C" w:rsidRPr="00F97360" w:rsidRDefault="00D8597D" w:rsidP="00431ADD">
      <w:pPr>
        <w:pStyle w:val="Untitledsubclause1"/>
        <w:rPr>
          <w:rFonts w:ascii="Arial" w:hAnsi="Arial" w:cs="Arial"/>
          <w:sz w:val="20"/>
        </w:rPr>
      </w:pPr>
      <w:bookmarkStart w:id="98" w:name="a631374"/>
      <w:bookmarkStart w:id="99" w:name="a959101"/>
      <w:r w:rsidRPr="00F97360">
        <w:rPr>
          <w:rFonts w:ascii="Arial" w:hAnsi="Arial" w:cs="Arial"/>
          <w:sz w:val="20"/>
        </w:rPr>
        <w:t xml:space="preserve">The </w:t>
      </w:r>
      <w:r w:rsidR="00623047" w:rsidRPr="00F97360">
        <w:rPr>
          <w:rFonts w:ascii="Arial" w:hAnsi="Arial" w:cs="Arial"/>
          <w:sz w:val="20"/>
        </w:rPr>
        <w:t xml:space="preserve">Remuneration </w:t>
      </w:r>
      <w:bookmarkEnd w:id="98"/>
      <w:r w:rsidR="00623047" w:rsidRPr="00F97360">
        <w:rPr>
          <w:rFonts w:ascii="Arial" w:hAnsi="Arial" w:cs="Arial"/>
          <w:sz w:val="20"/>
        </w:rPr>
        <w:t>Committee</w:t>
      </w:r>
      <w:r w:rsidRPr="00F97360">
        <w:rPr>
          <w:rFonts w:ascii="Arial" w:hAnsi="Arial" w:cs="Arial"/>
          <w:sz w:val="20"/>
        </w:rPr>
        <w:t xml:space="preserve"> shall grant </w:t>
      </w:r>
      <w:r w:rsidR="007B4FB5" w:rsidRPr="00F97360">
        <w:rPr>
          <w:rFonts w:ascii="Arial" w:hAnsi="Arial" w:cs="Arial"/>
          <w:sz w:val="20"/>
        </w:rPr>
        <w:t>an</w:t>
      </w:r>
      <w:r w:rsidR="00AA32FF" w:rsidRPr="00F97360">
        <w:rPr>
          <w:rFonts w:ascii="Arial" w:hAnsi="Arial" w:cs="Arial"/>
          <w:sz w:val="20"/>
        </w:rPr>
        <w:t xml:space="preserve"> Award</w:t>
      </w:r>
      <w:r w:rsidRPr="00F97360">
        <w:rPr>
          <w:rFonts w:ascii="Arial" w:hAnsi="Arial" w:cs="Arial"/>
          <w:sz w:val="20"/>
        </w:rPr>
        <w:t xml:space="preserve"> by</w:t>
      </w:r>
      <w:r w:rsidR="00231EE1" w:rsidRPr="00F97360">
        <w:rPr>
          <w:rFonts w:ascii="Arial" w:hAnsi="Arial" w:cs="Arial"/>
          <w:sz w:val="20"/>
        </w:rPr>
        <w:t xml:space="preserve"> procuring that the Company</w:t>
      </w:r>
      <w:r w:rsidR="00E75E80" w:rsidRPr="00F97360">
        <w:rPr>
          <w:rFonts w:ascii="Arial" w:hAnsi="Arial" w:cs="Arial"/>
          <w:sz w:val="20"/>
        </w:rPr>
        <w:t xml:space="preserve"> execut</w:t>
      </w:r>
      <w:r w:rsidR="00231EE1" w:rsidRPr="00F97360">
        <w:rPr>
          <w:rFonts w:ascii="Arial" w:hAnsi="Arial" w:cs="Arial"/>
          <w:sz w:val="20"/>
        </w:rPr>
        <w:t>es</w:t>
      </w:r>
      <w:r w:rsidR="00E75E80" w:rsidRPr="00F97360">
        <w:rPr>
          <w:rFonts w:ascii="Arial" w:hAnsi="Arial" w:cs="Arial"/>
          <w:sz w:val="20"/>
        </w:rPr>
        <w:t xml:space="preserve"> a deed</w:t>
      </w:r>
      <w:r w:rsidR="006A7595" w:rsidRPr="00F97360">
        <w:rPr>
          <w:rFonts w:ascii="Arial" w:hAnsi="Arial" w:cs="Arial"/>
          <w:sz w:val="20"/>
        </w:rPr>
        <w:t xml:space="preserve"> (or by such other method as the Remuneration Committee</w:t>
      </w:r>
      <w:r w:rsidR="00CB271F" w:rsidRPr="00F97360">
        <w:rPr>
          <w:rFonts w:ascii="Arial" w:hAnsi="Arial" w:cs="Arial"/>
          <w:sz w:val="20"/>
        </w:rPr>
        <w:t xml:space="preserve"> may decide</w:t>
      </w:r>
      <w:r w:rsidR="006A7595" w:rsidRPr="00F97360">
        <w:rPr>
          <w:rFonts w:ascii="Arial" w:hAnsi="Arial" w:cs="Arial"/>
          <w:sz w:val="20"/>
        </w:rPr>
        <w:t>)</w:t>
      </w:r>
      <w:r w:rsidR="00E75E80" w:rsidRPr="00F97360">
        <w:rPr>
          <w:rFonts w:ascii="Arial" w:hAnsi="Arial" w:cs="Arial"/>
          <w:sz w:val="20"/>
        </w:rPr>
        <w:t xml:space="preserve">. </w:t>
      </w:r>
      <w:r w:rsidR="00F4711E" w:rsidRPr="00F97360">
        <w:rPr>
          <w:rFonts w:ascii="Arial" w:hAnsi="Arial" w:cs="Arial"/>
          <w:sz w:val="20"/>
        </w:rPr>
        <w:t>Multiple Awards</w:t>
      </w:r>
      <w:r w:rsidRPr="00F97360">
        <w:rPr>
          <w:rFonts w:ascii="Arial" w:hAnsi="Arial" w:cs="Arial"/>
          <w:sz w:val="20"/>
        </w:rPr>
        <w:t xml:space="preserve"> may be granted to multiple Award Holders under a single deed. </w:t>
      </w:r>
      <w:r w:rsidR="00AA32FF" w:rsidRPr="00F97360">
        <w:rPr>
          <w:rFonts w:ascii="Arial" w:hAnsi="Arial" w:cs="Arial"/>
          <w:sz w:val="20"/>
        </w:rPr>
        <w:t>An Award Certificate</w:t>
      </w:r>
      <w:r w:rsidR="00E75E80" w:rsidRPr="00F97360">
        <w:rPr>
          <w:rFonts w:ascii="Arial" w:hAnsi="Arial" w:cs="Arial"/>
          <w:sz w:val="20"/>
        </w:rPr>
        <w:t xml:space="preserve"> shall be provided to each Award Holder as soon as reasonably practicable following the grant of the </w:t>
      </w:r>
      <w:r w:rsidR="00D67DB9" w:rsidRPr="00F97360">
        <w:rPr>
          <w:rFonts w:ascii="Arial" w:hAnsi="Arial" w:cs="Arial"/>
          <w:sz w:val="20"/>
        </w:rPr>
        <w:t>Award</w:t>
      </w:r>
      <w:r w:rsidR="00887A2F" w:rsidRPr="00F97360">
        <w:rPr>
          <w:rFonts w:ascii="Arial" w:hAnsi="Arial" w:cs="Arial"/>
          <w:sz w:val="20"/>
        </w:rPr>
        <w:t>(s)</w:t>
      </w:r>
      <w:r w:rsidR="00E75E80" w:rsidRPr="00F97360">
        <w:rPr>
          <w:rFonts w:ascii="Arial" w:hAnsi="Arial" w:cs="Arial"/>
          <w:sz w:val="20"/>
        </w:rPr>
        <w:t xml:space="preserve">. </w:t>
      </w:r>
    </w:p>
    <w:p w14:paraId="56712E0E" w14:textId="77777777" w:rsidR="00E75E80" w:rsidRPr="00F97360" w:rsidRDefault="00D8597D" w:rsidP="003A761C">
      <w:pPr>
        <w:pStyle w:val="Untitledsubclause1"/>
        <w:numPr>
          <w:ilvl w:val="0"/>
          <w:numId w:val="0"/>
        </w:numPr>
        <w:ind w:left="720"/>
        <w:rPr>
          <w:rFonts w:ascii="Arial" w:hAnsi="Arial" w:cs="Arial"/>
          <w:sz w:val="20"/>
        </w:rPr>
      </w:pPr>
      <w:bookmarkStart w:id="100" w:name="_Hlk80362683"/>
      <w:r w:rsidRPr="00F97360">
        <w:rPr>
          <w:rFonts w:ascii="Arial" w:hAnsi="Arial" w:cs="Arial"/>
          <w:sz w:val="20"/>
        </w:rPr>
        <w:t>Each Award Certificate shall (without limitation):</w:t>
      </w:r>
    </w:p>
    <w:p w14:paraId="56712E0F" w14:textId="4DDC9D88" w:rsidR="007B4FB5" w:rsidRPr="00F97360" w:rsidRDefault="00D8597D" w:rsidP="00F97360">
      <w:pPr>
        <w:pStyle w:val="Untitledsubclause2"/>
        <w:tabs>
          <w:tab w:val="clear" w:pos="1554"/>
          <w:tab w:val="num" w:pos="1985"/>
        </w:tabs>
        <w:ind w:left="1985"/>
        <w:rPr>
          <w:rFonts w:ascii="Arial" w:hAnsi="Arial" w:cs="Arial"/>
          <w:sz w:val="20"/>
        </w:rPr>
      </w:pPr>
      <w:bookmarkStart w:id="101" w:name="a166092"/>
      <w:bookmarkEnd w:id="99"/>
      <w:r w:rsidRPr="00F97360">
        <w:rPr>
          <w:rFonts w:ascii="Arial" w:hAnsi="Arial" w:cs="Arial"/>
          <w:sz w:val="20"/>
        </w:rPr>
        <w:t xml:space="preserve">state the Grant Date of the </w:t>
      </w:r>
      <w:proofErr w:type="gramStart"/>
      <w:r w:rsidR="00D67DB9" w:rsidRPr="00F97360">
        <w:rPr>
          <w:rFonts w:ascii="Arial" w:hAnsi="Arial" w:cs="Arial"/>
          <w:sz w:val="20"/>
        </w:rPr>
        <w:t>Award</w:t>
      </w:r>
      <w:r w:rsidRPr="00F97360">
        <w:rPr>
          <w:rFonts w:ascii="Arial" w:hAnsi="Arial" w:cs="Arial"/>
          <w:sz w:val="20"/>
        </w:rPr>
        <w:t>;</w:t>
      </w:r>
      <w:bookmarkEnd w:id="101"/>
      <w:proofErr w:type="gramEnd"/>
    </w:p>
    <w:p w14:paraId="56712E10" w14:textId="0A6F9209" w:rsidR="007B4FB5" w:rsidRPr="00F97360" w:rsidRDefault="00D8597D" w:rsidP="00F97360">
      <w:pPr>
        <w:pStyle w:val="Untitledsubclause2"/>
        <w:tabs>
          <w:tab w:val="clear" w:pos="1554"/>
          <w:tab w:val="num" w:pos="1985"/>
        </w:tabs>
        <w:ind w:left="1985"/>
        <w:rPr>
          <w:rFonts w:ascii="Arial" w:hAnsi="Arial" w:cs="Arial"/>
          <w:sz w:val="20"/>
        </w:rPr>
      </w:pPr>
      <w:bookmarkStart w:id="102" w:name="a279542"/>
      <w:r w:rsidRPr="00F97360">
        <w:rPr>
          <w:rFonts w:ascii="Arial" w:hAnsi="Arial" w:cs="Arial"/>
          <w:sz w:val="20"/>
        </w:rPr>
        <w:t xml:space="preserve">state the number of Shares in relation to which the </w:t>
      </w:r>
      <w:r w:rsidR="00D67DB9" w:rsidRPr="00F97360">
        <w:rPr>
          <w:rFonts w:ascii="Arial" w:hAnsi="Arial" w:cs="Arial"/>
          <w:sz w:val="20"/>
        </w:rPr>
        <w:t>Award</w:t>
      </w:r>
      <w:r w:rsidRPr="00F97360">
        <w:rPr>
          <w:rFonts w:ascii="Arial" w:hAnsi="Arial" w:cs="Arial"/>
          <w:sz w:val="20"/>
        </w:rPr>
        <w:t xml:space="preserve"> is </w:t>
      </w:r>
      <w:proofErr w:type="gramStart"/>
      <w:r w:rsidRPr="00F97360">
        <w:rPr>
          <w:rFonts w:ascii="Arial" w:hAnsi="Arial" w:cs="Arial"/>
          <w:sz w:val="20"/>
        </w:rPr>
        <w:t>granted;</w:t>
      </w:r>
      <w:bookmarkEnd w:id="102"/>
      <w:proofErr w:type="gramEnd"/>
    </w:p>
    <w:p w14:paraId="56712E11" w14:textId="04BFBFEE" w:rsidR="007B4FB5" w:rsidRPr="00F97360" w:rsidRDefault="00D8597D" w:rsidP="00F97360">
      <w:pPr>
        <w:pStyle w:val="Untitledsubclause2"/>
        <w:tabs>
          <w:tab w:val="clear" w:pos="1554"/>
          <w:tab w:val="num" w:pos="1985"/>
        </w:tabs>
        <w:ind w:left="1985"/>
        <w:rPr>
          <w:rFonts w:ascii="Arial" w:hAnsi="Arial" w:cs="Arial"/>
          <w:sz w:val="20"/>
        </w:rPr>
      </w:pPr>
      <w:bookmarkStart w:id="103" w:name="a204772"/>
      <w:r w:rsidRPr="00F97360">
        <w:rPr>
          <w:rFonts w:ascii="Arial" w:hAnsi="Arial" w:cs="Arial"/>
          <w:sz w:val="20"/>
        </w:rPr>
        <w:t xml:space="preserve">state the type of </w:t>
      </w:r>
      <w:proofErr w:type="gramStart"/>
      <w:r w:rsidR="00D67DB9" w:rsidRPr="00F97360">
        <w:rPr>
          <w:rFonts w:ascii="Arial" w:hAnsi="Arial" w:cs="Arial"/>
          <w:sz w:val="20"/>
        </w:rPr>
        <w:t>Award</w:t>
      </w:r>
      <w:r w:rsidRPr="00F97360">
        <w:rPr>
          <w:rFonts w:ascii="Arial" w:hAnsi="Arial" w:cs="Arial"/>
          <w:sz w:val="20"/>
        </w:rPr>
        <w:t>;</w:t>
      </w:r>
      <w:bookmarkEnd w:id="103"/>
      <w:proofErr w:type="gramEnd"/>
    </w:p>
    <w:p w14:paraId="64DE0BA6" w14:textId="22796D04" w:rsidR="00AD5B94" w:rsidRPr="00F97360" w:rsidRDefault="00D8597D" w:rsidP="00F97360">
      <w:pPr>
        <w:pStyle w:val="Untitledsubclause2"/>
        <w:tabs>
          <w:tab w:val="clear" w:pos="1554"/>
          <w:tab w:val="num" w:pos="1985"/>
          <w:tab w:val="num" w:pos="2160"/>
        </w:tabs>
        <w:ind w:left="1985"/>
        <w:rPr>
          <w:rFonts w:ascii="Arial" w:hAnsi="Arial" w:cs="Arial"/>
          <w:sz w:val="20"/>
        </w:rPr>
      </w:pPr>
      <w:bookmarkStart w:id="104" w:name="a595234"/>
      <w:bookmarkStart w:id="105" w:name="a429080"/>
      <w:r w:rsidRPr="00F97360">
        <w:rPr>
          <w:rFonts w:ascii="Arial" w:hAnsi="Arial" w:cs="Arial"/>
          <w:sz w:val="20"/>
        </w:rPr>
        <w:t xml:space="preserve">if a Holding Period applies to the </w:t>
      </w:r>
      <w:r w:rsidR="00D67DB9" w:rsidRPr="00F97360">
        <w:rPr>
          <w:rFonts w:ascii="Arial" w:hAnsi="Arial" w:cs="Arial"/>
          <w:sz w:val="20"/>
        </w:rPr>
        <w:t>Award</w:t>
      </w:r>
      <w:r w:rsidRPr="00F97360">
        <w:rPr>
          <w:rFonts w:ascii="Arial" w:hAnsi="Arial" w:cs="Arial"/>
          <w:sz w:val="20"/>
        </w:rPr>
        <w:t xml:space="preserve">, state the terms of the Holding </w:t>
      </w:r>
      <w:proofErr w:type="gramStart"/>
      <w:r w:rsidRPr="00F97360">
        <w:rPr>
          <w:rFonts w:ascii="Arial" w:hAnsi="Arial" w:cs="Arial"/>
          <w:sz w:val="20"/>
        </w:rPr>
        <w:t>Period</w:t>
      </w:r>
      <w:r w:rsidR="00A97656" w:rsidRPr="00F97360">
        <w:rPr>
          <w:rFonts w:ascii="Arial" w:hAnsi="Arial" w:cs="Arial"/>
          <w:sz w:val="20"/>
        </w:rPr>
        <w:t>;</w:t>
      </w:r>
      <w:proofErr w:type="gramEnd"/>
    </w:p>
    <w:p w14:paraId="56712E14" w14:textId="03B55346" w:rsidR="00AD5B94" w:rsidRPr="00F97360" w:rsidRDefault="00D8597D" w:rsidP="00F97360">
      <w:pPr>
        <w:pStyle w:val="Untitledsubclause2"/>
        <w:tabs>
          <w:tab w:val="clear" w:pos="1554"/>
          <w:tab w:val="num" w:pos="1985"/>
        </w:tabs>
        <w:ind w:left="1985"/>
        <w:rPr>
          <w:rFonts w:ascii="Arial" w:hAnsi="Arial" w:cs="Arial"/>
          <w:sz w:val="20"/>
        </w:rPr>
      </w:pPr>
      <w:bookmarkStart w:id="106" w:name="a607477"/>
      <w:bookmarkEnd w:id="104"/>
      <w:r w:rsidRPr="00F97360">
        <w:rPr>
          <w:rFonts w:ascii="Arial" w:hAnsi="Arial" w:cs="Arial"/>
          <w:sz w:val="20"/>
        </w:rPr>
        <w:t>state whether the Tax Liability will include Employer NICs (and if it is silent, the Tax Liability shall not include Employer NICs</w:t>
      </w:r>
      <w:proofErr w:type="gramStart"/>
      <w:r w:rsidRPr="00F97360">
        <w:rPr>
          <w:rFonts w:ascii="Arial" w:hAnsi="Arial" w:cs="Arial"/>
          <w:sz w:val="20"/>
        </w:rPr>
        <w:t>);</w:t>
      </w:r>
      <w:bookmarkEnd w:id="106"/>
      <w:proofErr w:type="gramEnd"/>
    </w:p>
    <w:p w14:paraId="56712E16" w14:textId="4236BEC4" w:rsidR="007B4FB5" w:rsidRPr="00F97360" w:rsidRDefault="00D8597D" w:rsidP="00F97360">
      <w:pPr>
        <w:pStyle w:val="Untitledsubclause2"/>
        <w:tabs>
          <w:tab w:val="clear" w:pos="1554"/>
          <w:tab w:val="num" w:pos="1985"/>
        </w:tabs>
        <w:ind w:left="1985"/>
        <w:rPr>
          <w:rFonts w:ascii="Arial" w:hAnsi="Arial" w:cs="Arial"/>
          <w:sz w:val="20"/>
        </w:rPr>
      </w:pPr>
      <w:bookmarkStart w:id="107" w:name="a75589"/>
      <w:bookmarkEnd w:id="105"/>
      <w:r w:rsidRPr="00F97360">
        <w:rPr>
          <w:rFonts w:ascii="Arial" w:hAnsi="Arial" w:cs="Arial"/>
          <w:sz w:val="20"/>
        </w:rPr>
        <w:lastRenderedPageBreak/>
        <w:t xml:space="preserve">state whether Dividend Equivalents will apply to the </w:t>
      </w:r>
      <w:r w:rsidR="00D67DB9" w:rsidRPr="00F97360">
        <w:rPr>
          <w:rFonts w:ascii="Arial" w:hAnsi="Arial" w:cs="Arial"/>
          <w:sz w:val="20"/>
        </w:rPr>
        <w:t>Award</w:t>
      </w:r>
      <w:r w:rsidR="006C27C4" w:rsidRPr="00F97360">
        <w:rPr>
          <w:rFonts w:ascii="Arial" w:hAnsi="Arial" w:cs="Arial"/>
          <w:sz w:val="20"/>
        </w:rPr>
        <w:t xml:space="preserve">, if known at the Grant </w:t>
      </w:r>
      <w:proofErr w:type="gramStart"/>
      <w:r w:rsidR="006C27C4" w:rsidRPr="00F97360">
        <w:rPr>
          <w:rFonts w:ascii="Arial" w:hAnsi="Arial" w:cs="Arial"/>
          <w:sz w:val="20"/>
        </w:rPr>
        <w:t>Date</w:t>
      </w:r>
      <w:r w:rsidR="007B4FB5" w:rsidRPr="00F97360">
        <w:rPr>
          <w:rFonts w:ascii="Arial" w:hAnsi="Arial" w:cs="Arial"/>
          <w:sz w:val="20"/>
        </w:rPr>
        <w:t>;</w:t>
      </w:r>
      <w:bookmarkEnd w:id="107"/>
      <w:proofErr w:type="gramEnd"/>
    </w:p>
    <w:p w14:paraId="56712E18" w14:textId="7F2F37C7" w:rsidR="007B4FB5" w:rsidRPr="00F97360" w:rsidRDefault="00D8597D" w:rsidP="00F97360">
      <w:pPr>
        <w:pStyle w:val="Untitledsubclause2"/>
        <w:tabs>
          <w:tab w:val="clear" w:pos="1554"/>
          <w:tab w:val="num" w:pos="1985"/>
        </w:tabs>
        <w:ind w:left="1985"/>
        <w:rPr>
          <w:rFonts w:ascii="Arial" w:hAnsi="Arial" w:cs="Arial"/>
          <w:sz w:val="20"/>
        </w:rPr>
      </w:pPr>
      <w:bookmarkStart w:id="108" w:name="a397036"/>
      <w:r w:rsidRPr="00F97360">
        <w:rPr>
          <w:rFonts w:ascii="Arial" w:hAnsi="Arial" w:cs="Arial"/>
          <w:sz w:val="20"/>
        </w:rPr>
        <w:t xml:space="preserve">specify </w:t>
      </w:r>
      <w:r w:rsidR="001B21E5" w:rsidRPr="00F97360">
        <w:rPr>
          <w:rFonts w:ascii="Arial" w:hAnsi="Arial" w:cs="Arial"/>
          <w:sz w:val="20"/>
        </w:rPr>
        <w:t xml:space="preserve">any </w:t>
      </w:r>
      <w:r w:rsidR="00DE7DFE" w:rsidRPr="00F97360">
        <w:rPr>
          <w:rFonts w:ascii="Arial" w:hAnsi="Arial" w:cs="Arial"/>
          <w:sz w:val="20"/>
        </w:rPr>
        <w:t xml:space="preserve">Performance </w:t>
      </w:r>
      <w:r w:rsidR="007B4FB5" w:rsidRPr="00F97360">
        <w:rPr>
          <w:rFonts w:ascii="Arial" w:hAnsi="Arial" w:cs="Arial"/>
          <w:sz w:val="20"/>
        </w:rPr>
        <w:t xml:space="preserve">Conditions </w:t>
      </w:r>
      <w:r w:rsidRPr="00F97360">
        <w:rPr>
          <w:rFonts w:ascii="Arial" w:hAnsi="Arial" w:cs="Arial"/>
          <w:sz w:val="20"/>
        </w:rPr>
        <w:t>set under</w:t>
      </w:r>
      <w:r w:rsidR="003B18C2" w:rsidRPr="00F97360">
        <w:rPr>
          <w:rFonts w:ascii="Arial" w:hAnsi="Arial" w:cs="Arial"/>
          <w:sz w:val="20"/>
        </w:rPr>
        <w:t xml:space="preserve"> </w:t>
      </w:r>
      <w:r w:rsidR="007B4FB5" w:rsidRPr="00F97360">
        <w:rPr>
          <w:rFonts w:ascii="Arial" w:hAnsi="Arial" w:cs="Arial"/>
          <w:sz w:val="20"/>
        </w:rPr>
        <w:fldChar w:fldCharType="begin"/>
      </w:r>
      <w:r w:rsidR="007B4FB5" w:rsidRPr="00F97360">
        <w:rPr>
          <w:rFonts w:ascii="Arial" w:hAnsi="Arial" w:cs="Arial"/>
          <w:sz w:val="20"/>
        </w:rPr>
        <w:instrText>PAGEREF a920421\# "'rule '"  \h</w:instrText>
      </w:r>
      <w:r w:rsidR="007B4FB5" w:rsidRPr="00F97360">
        <w:rPr>
          <w:rFonts w:ascii="Arial" w:hAnsi="Arial" w:cs="Arial"/>
          <w:sz w:val="20"/>
        </w:rPr>
      </w:r>
      <w:r w:rsidR="007B4FB5" w:rsidRPr="00F97360">
        <w:rPr>
          <w:rFonts w:ascii="Arial" w:hAnsi="Arial" w:cs="Arial"/>
          <w:sz w:val="20"/>
        </w:rPr>
        <w:fldChar w:fldCharType="separate"/>
      </w:r>
      <w:r w:rsidR="00710210" w:rsidRPr="00F97360">
        <w:rPr>
          <w:rFonts w:ascii="Arial" w:hAnsi="Arial" w:cs="Arial"/>
          <w:sz w:val="20"/>
        </w:rPr>
        <w:t xml:space="preserve">rule </w:t>
      </w:r>
      <w:r w:rsidR="007B4FB5" w:rsidRPr="00F97360">
        <w:rPr>
          <w:rFonts w:ascii="Arial" w:hAnsi="Arial" w:cs="Arial"/>
          <w:sz w:val="20"/>
        </w:rPr>
        <w:fldChar w:fldCharType="end"/>
      </w:r>
      <w:r w:rsidR="007B4FB5" w:rsidRPr="00F97360">
        <w:rPr>
          <w:rFonts w:ascii="Arial" w:hAnsi="Arial" w:cs="Arial"/>
          <w:sz w:val="20"/>
        </w:rPr>
        <w:fldChar w:fldCharType="begin"/>
      </w:r>
      <w:r w:rsidR="007B4FB5" w:rsidRPr="00F97360">
        <w:rPr>
          <w:rFonts w:ascii="Arial" w:hAnsi="Arial" w:cs="Arial"/>
          <w:sz w:val="20"/>
          <w:highlight w:val="lightGray"/>
        </w:rPr>
        <w:instrText>REF a920421 \h \w</w:instrText>
      </w:r>
      <w:r w:rsidR="0037270F" w:rsidRPr="00F97360">
        <w:rPr>
          <w:rFonts w:ascii="Arial" w:hAnsi="Arial" w:cs="Arial"/>
          <w:sz w:val="20"/>
        </w:rPr>
        <w:instrText xml:space="preserve"> \* MERGEFORMAT </w:instrText>
      </w:r>
      <w:r w:rsidR="007B4FB5" w:rsidRPr="00F97360">
        <w:rPr>
          <w:rFonts w:ascii="Arial" w:hAnsi="Arial" w:cs="Arial"/>
          <w:sz w:val="20"/>
        </w:rPr>
      </w:r>
      <w:r w:rsidR="007B4FB5" w:rsidRPr="00F97360">
        <w:rPr>
          <w:rFonts w:ascii="Arial" w:hAnsi="Arial" w:cs="Arial"/>
          <w:sz w:val="20"/>
        </w:rPr>
        <w:fldChar w:fldCharType="separate"/>
      </w:r>
      <w:r w:rsidR="00710210" w:rsidRPr="00F97360">
        <w:rPr>
          <w:rFonts w:ascii="Arial" w:hAnsi="Arial" w:cs="Arial"/>
          <w:sz w:val="20"/>
          <w:highlight w:val="lightGray"/>
        </w:rPr>
        <w:t>3</w:t>
      </w:r>
      <w:r w:rsidR="007B4FB5" w:rsidRPr="00F97360">
        <w:rPr>
          <w:rFonts w:ascii="Arial" w:hAnsi="Arial" w:cs="Arial"/>
          <w:sz w:val="20"/>
        </w:rPr>
        <w:fldChar w:fldCharType="end"/>
      </w:r>
      <w:r w:rsidR="003B18C2" w:rsidRPr="00F97360">
        <w:rPr>
          <w:rFonts w:ascii="Arial" w:hAnsi="Arial" w:cs="Arial"/>
          <w:sz w:val="20"/>
        </w:rPr>
        <w:t xml:space="preserve"> </w:t>
      </w:r>
      <w:r w:rsidR="002F2D61" w:rsidRPr="00F97360">
        <w:rPr>
          <w:rFonts w:ascii="Arial" w:hAnsi="Arial" w:cs="Arial"/>
          <w:sz w:val="20"/>
        </w:rPr>
        <w:t>and</w:t>
      </w:r>
      <w:r w:rsidR="001B21E5" w:rsidRPr="00F97360">
        <w:rPr>
          <w:rFonts w:ascii="Arial" w:hAnsi="Arial" w:cs="Arial"/>
          <w:sz w:val="20"/>
        </w:rPr>
        <w:t xml:space="preserve"> </w:t>
      </w:r>
      <w:r w:rsidRPr="00F97360">
        <w:rPr>
          <w:rFonts w:ascii="Arial" w:hAnsi="Arial" w:cs="Arial"/>
          <w:sz w:val="20"/>
        </w:rPr>
        <w:t xml:space="preserve">any other </w:t>
      </w:r>
      <w:r w:rsidR="007B4FB5" w:rsidRPr="00F97360">
        <w:rPr>
          <w:rFonts w:ascii="Arial" w:hAnsi="Arial" w:cs="Arial"/>
          <w:sz w:val="20"/>
        </w:rPr>
        <w:t>conditions</w:t>
      </w:r>
      <w:r w:rsidR="003679D4" w:rsidRPr="00F97360">
        <w:rPr>
          <w:rFonts w:ascii="Arial" w:hAnsi="Arial" w:cs="Arial"/>
          <w:sz w:val="20"/>
        </w:rPr>
        <w:t xml:space="preserve"> </w:t>
      </w:r>
      <w:r w:rsidRPr="00F97360">
        <w:rPr>
          <w:rFonts w:ascii="Arial" w:hAnsi="Arial" w:cs="Arial"/>
          <w:sz w:val="20"/>
        </w:rPr>
        <w:t>to which the</w:t>
      </w:r>
      <w:r w:rsidR="003679D4" w:rsidRPr="00F97360">
        <w:rPr>
          <w:rFonts w:ascii="Arial" w:hAnsi="Arial" w:cs="Arial"/>
          <w:sz w:val="20"/>
        </w:rPr>
        <w:t xml:space="preserve"> </w:t>
      </w:r>
      <w:r w:rsidR="00D67DB9" w:rsidRPr="00F97360">
        <w:rPr>
          <w:rFonts w:ascii="Arial" w:hAnsi="Arial" w:cs="Arial"/>
          <w:sz w:val="20"/>
        </w:rPr>
        <w:t>Award</w:t>
      </w:r>
      <w:r w:rsidRPr="00F97360">
        <w:rPr>
          <w:rFonts w:ascii="Arial" w:hAnsi="Arial" w:cs="Arial"/>
          <w:sz w:val="20"/>
        </w:rPr>
        <w:t xml:space="preserve"> is subject and</w:t>
      </w:r>
      <w:r w:rsidR="001B21E5" w:rsidRPr="00F97360">
        <w:rPr>
          <w:rFonts w:ascii="Arial" w:hAnsi="Arial" w:cs="Arial"/>
          <w:sz w:val="20"/>
        </w:rPr>
        <w:t>, where relevant,</w:t>
      </w:r>
      <w:r w:rsidRPr="00F97360">
        <w:rPr>
          <w:rFonts w:ascii="Arial" w:hAnsi="Arial" w:cs="Arial"/>
          <w:sz w:val="20"/>
        </w:rPr>
        <w:t xml:space="preserve"> the </w:t>
      </w:r>
      <w:r w:rsidR="00DE7DFE" w:rsidRPr="00F97360">
        <w:rPr>
          <w:rFonts w:ascii="Arial" w:hAnsi="Arial" w:cs="Arial"/>
          <w:sz w:val="20"/>
        </w:rPr>
        <w:t>Performance Period</w:t>
      </w:r>
      <w:r w:rsidRPr="00F97360">
        <w:rPr>
          <w:rFonts w:ascii="Arial" w:hAnsi="Arial" w:cs="Arial"/>
          <w:sz w:val="20"/>
        </w:rPr>
        <w:t>;</w:t>
      </w:r>
      <w:bookmarkEnd w:id="108"/>
    </w:p>
    <w:p w14:paraId="56712E19" w14:textId="23E59336" w:rsidR="007B4FB5" w:rsidRPr="00F97360" w:rsidRDefault="00D8597D" w:rsidP="00F97360">
      <w:pPr>
        <w:pStyle w:val="Untitledsubclause2"/>
        <w:tabs>
          <w:tab w:val="clear" w:pos="1554"/>
          <w:tab w:val="num" w:pos="1985"/>
        </w:tabs>
        <w:ind w:left="1985"/>
        <w:rPr>
          <w:rFonts w:ascii="Arial" w:hAnsi="Arial" w:cs="Arial"/>
          <w:sz w:val="20"/>
        </w:rPr>
      </w:pPr>
      <w:bookmarkStart w:id="109" w:name="a194940"/>
      <w:r w:rsidRPr="00F97360">
        <w:rPr>
          <w:rFonts w:ascii="Arial" w:hAnsi="Arial" w:cs="Arial"/>
          <w:sz w:val="20"/>
        </w:rPr>
        <w:t xml:space="preserve">specify the </w:t>
      </w:r>
      <w:r w:rsidR="00DF535A" w:rsidRPr="00F97360">
        <w:rPr>
          <w:rFonts w:ascii="Arial" w:hAnsi="Arial" w:cs="Arial"/>
          <w:sz w:val="20"/>
        </w:rPr>
        <w:t>Vesting Period</w:t>
      </w:r>
      <w:r w:rsidR="00EF5721" w:rsidRPr="00F97360">
        <w:rPr>
          <w:rFonts w:ascii="Arial" w:hAnsi="Arial" w:cs="Arial"/>
          <w:sz w:val="20"/>
        </w:rPr>
        <w:t>, and</w:t>
      </w:r>
      <w:bookmarkEnd w:id="109"/>
    </w:p>
    <w:p w14:paraId="2ECD1712" w14:textId="394D5529" w:rsidR="001C5571" w:rsidRPr="00F97360" w:rsidRDefault="001C5571" w:rsidP="00F97360">
      <w:pPr>
        <w:pStyle w:val="Untitledsubclause2"/>
        <w:tabs>
          <w:tab w:val="clear" w:pos="1554"/>
          <w:tab w:val="num" w:pos="1985"/>
        </w:tabs>
        <w:ind w:left="1985"/>
        <w:rPr>
          <w:rFonts w:ascii="Arial" w:hAnsi="Arial" w:cs="Arial"/>
          <w:sz w:val="20"/>
        </w:rPr>
      </w:pPr>
      <w:bookmarkStart w:id="110" w:name="a852288"/>
      <w:bookmarkStart w:id="111" w:name="a1033870"/>
      <w:bookmarkEnd w:id="100"/>
      <w:r w:rsidRPr="00F97360">
        <w:rPr>
          <w:rFonts w:ascii="Arial" w:hAnsi="Arial" w:cs="Arial"/>
          <w:sz w:val="20"/>
        </w:rPr>
        <w:t>include a statement that the Award is subject to the rules (which shall be incorporated in the Award Certificate by reference), in particular the Malus and Clawback and Tax Liabilities provisions</w:t>
      </w:r>
      <w:r w:rsidR="0098201C" w:rsidRPr="00F97360">
        <w:rPr>
          <w:rFonts w:ascii="Arial" w:hAnsi="Arial" w:cs="Arial"/>
          <w:sz w:val="20"/>
        </w:rPr>
        <w:t>.</w:t>
      </w:r>
      <w:bookmarkEnd w:id="110"/>
    </w:p>
    <w:p w14:paraId="6AE60581" w14:textId="50F20B4A" w:rsidR="00C2343E" w:rsidRPr="00F97360" w:rsidRDefault="00D8597D" w:rsidP="007B4FB5">
      <w:pPr>
        <w:pStyle w:val="Untitledsubclause1"/>
        <w:rPr>
          <w:rFonts w:ascii="Arial" w:hAnsi="Arial" w:cs="Arial"/>
          <w:sz w:val="20"/>
        </w:rPr>
      </w:pPr>
      <w:r w:rsidRPr="00F97360">
        <w:rPr>
          <w:rFonts w:ascii="Arial" w:hAnsi="Arial" w:cs="Arial"/>
          <w:sz w:val="20"/>
        </w:rPr>
        <w:t xml:space="preserve">No amount shall be paid by an Employee for the grant of </w:t>
      </w:r>
      <w:r w:rsidR="007B4FB5" w:rsidRPr="00F97360">
        <w:rPr>
          <w:rFonts w:ascii="Arial" w:hAnsi="Arial" w:cs="Arial"/>
          <w:sz w:val="20"/>
        </w:rPr>
        <w:t>an Award</w:t>
      </w:r>
      <w:r w:rsidR="00C2343E" w:rsidRPr="00F97360">
        <w:rPr>
          <w:rFonts w:ascii="Arial" w:hAnsi="Arial" w:cs="Arial"/>
          <w:sz w:val="20"/>
        </w:rPr>
        <w:t xml:space="preserve"> (save for nominal consideration if the </w:t>
      </w:r>
      <w:r w:rsidR="00D67DB9" w:rsidRPr="00F97360">
        <w:rPr>
          <w:rFonts w:ascii="Arial" w:hAnsi="Arial" w:cs="Arial"/>
          <w:sz w:val="20"/>
        </w:rPr>
        <w:t>Award</w:t>
      </w:r>
      <w:r w:rsidR="00C2343E" w:rsidRPr="00F97360">
        <w:rPr>
          <w:rFonts w:ascii="Arial" w:hAnsi="Arial" w:cs="Arial"/>
          <w:sz w:val="20"/>
        </w:rPr>
        <w:t xml:space="preserve"> is granted other than by deed).</w:t>
      </w:r>
      <w:bookmarkStart w:id="112" w:name="a1036525"/>
    </w:p>
    <w:p w14:paraId="56712E1E" w14:textId="35F1A7F2" w:rsidR="00A512F9" w:rsidRPr="00F97360" w:rsidRDefault="00D8597D" w:rsidP="00A512F9">
      <w:pPr>
        <w:pStyle w:val="Untitledsubclause1"/>
        <w:rPr>
          <w:rFonts w:ascii="Arial" w:hAnsi="Arial" w:cs="Arial"/>
          <w:sz w:val="20"/>
        </w:rPr>
      </w:pPr>
      <w:bookmarkStart w:id="113" w:name="_Ref90286380"/>
      <w:bookmarkEnd w:id="111"/>
      <w:bookmarkEnd w:id="112"/>
      <w:r w:rsidRPr="00F97360">
        <w:rPr>
          <w:rFonts w:ascii="Arial" w:hAnsi="Arial" w:cs="Arial"/>
          <w:sz w:val="20"/>
        </w:rPr>
        <w:t xml:space="preserve">It shall be a </w:t>
      </w:r>
      <w:r w:rsidR="00E60044" w:rsidRPr="00F97360">
        <w:rPr>
          <w:rFonts w:ascii="Arial" w:hAnsi="Arial" w:cs="Arial"/>
          <w:sz w:val="20"/>
        </w:rPr>
        <w:t>term</w:t>
      </w:r>
      <w:r w:rsidRPr="00F97360">
        <w:rPr>
          <w:rFonts w:ascii="Arial" w:hAnsi="Arial" w:cs="Arial"/>
          <w:sz w:val="20"/>
        </w:rPr>
        <w:t xml:space="preserve"> of the grant and </w:t>
      </w:r>
      <w:r w:rsidR="00D44FC6" w:rsidRPr="00F97360">
        <w:rPr>
          <w:rFonts w:ascii="Arial" w:hAnsi="Arial" w:cs="Arial"/>
          <w:sz w:val="20"/>
        </w:rPr>
        <w:t>Vesting of</w:t>
      </w:r>
      <w:r w:rsidRPr="00F97360">
        <w:rPr>
          <w:rFonts w:ascii="Arial" w:hAnsi="Arial" w:cs="Arial"/>
          <w:sz w:val="20"/>
        </w:rPr>
        <w:t xml:space="preserve"> </w:t>
      </w:r>
      <w:r w:rsidR="001B21E5" w:rsidRPr="00F97360">
        <w:rPr>
          <w:rFonts w:ascii="Arial" w:hAnsi="Arial" w:cs="Arial"/>
          <w:sz w:val="20"/>
        </w:rPr>
        <w:t>every Award</w:t>
      </w:r>
      <w:r w:rsidRPr="00F97360">
        <w:rPr>
          <w:rFonts w:ascii="Arial" w:hAnsi="Arial" w:cs="Arial"/>
          <w:sz w:val="20"/>
        </w:rPr>
        <w:t xml:space="preserve"> that the Award Holder unconditionally and irrevocably agrees:</w:t>
      </w:r>
    </w:p>
    <w:p w14:paraId="56712E1F" w14:textId="3BFE2FF9" w:rsidR="00A512F9" w:rsidRPr="00F97360" w:rsidRDefault="00D8597D" w:rsidP="00E7594F">
      <w:pPr>
        <w:pStyle w:val="Untitledsubclause2"/>
        <w:rPr>
          <w:rFonts w:ascii="Arial" w:hAnsi="Arial" w:cs="Arial"/>
          <w:sz w:val="20"/>
        </w:rPr>
      </w:pPr>
      <w:r w:rsidRPr="00F97360">
        <w:rPr>
          <w:rFonts w:ascii="Arial" w:hAnsi="Arial" w:cs="Arial"/>
          <w:sz w:val="20"/>
        </w:rPr>
        <w:t xml:space="preserve">to the provisions in rule </w:t>
      </w:r>
      <w:r w:rsidRPr="00F97360">
        <w:rPr>
          <w:rFonts w:ascii="Arial" w:hAnsi="Arial" w:cs="Arial"/>
          <w:sz w:val="20"/>
        </w:rPr>
        <w:fldChar w:fldCharType="begin"/>
      </w:r>
      <w:r w:rsidRPr="00F97360">
        <w:rPr>
          <w:rFonts w:ascii="Arial" w:hAnsi="Arial" w:cs="Arial"/>
          <w:sz w:val="20"/>
        </w:rPr>
        <w:instrText xml:space="preserve"> REF a391918 \r \h </w:instrText>
      </w:r>
      <w:r w:rsidR="00F82DFE"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12</w:t>
      </w:r>
      <w:r w:rsidRPr="00F97360">
        <w:rPr>
          <w:rFonts w:ascii="Arial" w:hAnsi="Arial" w:cs="Arial"/>
          <w:sz w:val="20"/>
        </w:rPr>
        <w:fldChar w:fldCharType="end"/>
      </w:r>
      <w:r w:rsidRPr="00F97360">
        <w:rPr>
          <w:rFonts w:ascii="Arial" w:hAnsi="Arial" w:cs="Arial"/>
          <w:sz w:val="20"/>
        </w:rPr>
        <w:t xml:space="preserve"> and rule </w:t>
      </w:r>
      <w:r w:rsidRPr="00F97360">
        <w:rPr>
          <w:rFonts w:ascii="Arial" w:hAnsi="Arial" w:cs="Arial"/>
          <w:sz w:val="20"/>
        </w:rPr>
        <w:fldChar w:fldCharType="begin"/>
      </w:r>
      <w:r w:rsidRPr="00F97360">
        <w:rPr>
          <w:rFonts w:ascii="Arial" w:hAnsi="Arial" w:cs="Arial"/>
          <w:sz w:val="20"/>
        </w:rPr>
        <w:instrText xml:space="preserve"> REF a353805 \r \h </w:instrText>
      </w:r>
      <w:r w:rsidR="00F82DFE"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23</w:t>
      </w:r>
      <w:r w:rsidRPr="00F97360">
        <w:rPr>
          <w:rFonts w:ascii="Arial" w:hAnsi="Arial" w:cs="Arial"/>
          <w:sz w:val="20"/>
        </w:rPr>
        <w:fldChar w:fldCharType="end"/>
      </w:r>
      <w:r w:rsidRPr="00F97360">
        <w:rPr>
          <w:rFonts w:ascii="Arial" w:hAnsi="Arial" w:cs="Arial"/>
          <w:sz w:val="20"/>
        </w:rPr>
        <w:t xml:space="preserve"> </w:t>
      </w:r>
      <w:r w:rsidR="00CF2919" w:rsidRPr="00F97360">
        <w:rPr>
          <w:rFonts w:ascii="Arial" w:hAnsi="Arial" w:cs="Arial"/>
          <w:sz w:val="20"/>
        </w:rPr>
        <w:t>(</w:t>
      </w:r>
      <w:r w:rsidR="00D12585" w:rsidRPr="00F97360">
        <w:rPr>
          <w:rFonts w:ascii="Arial" w:hAnsi="Arial" w:cs="Arial"/>
          <w:sz w:val="20"/>
        </w:rPr>
        <w:t>and</w:t>
      </w:r>
      <w:r w:rsidR="00A21545" w:rsidRPr="00F97360">
        <w:rPr>
          <w:rFonts w:ascii="Arial" w:hAnsi="Arial" w:cs="Arial"/>
          <w:sz w:val="20"/>
        </w:rPr>
        <w:t xml:space="preserve"> to</w:t>
      </w:r>
      <w:r w:rsidR="00D12585" w:rsidRPr="00F97360">
        <w:rPr>
          <w:rFonts w:ascii="Arial" w:hAnsi="Arial" w:cs="Arial"/>
          <w:sz w:val="20"/>
        </w:rPr>
        <w:t xml:space="preserve"> </w:t>
      </w:r>
      <w:r w:rsidRPr="00F97360">
        <w:rPr>
          <w:rFonts w:ascii="Arial" w:hAnsi="Arial" w:cs="Arial"/>
          <w:sz w:val="20"/>
        </w:rPr>
        <w:t>sign</w:t>
      </w:r>
      <w:r w:rsidR="002E356E" w:rsidRPr="00F97360">
        <w:rPr>
          <w:rFonts w:ascii="Arial" w:hAnsi="Arial" w:cs="Arial"/>
          <w:sz w:val="20"/>
        </w:rPr>
        <w:t xml:space="preserve"> and return </w:t>
      </w:r>
      <w:r w:rsidRPr="00F97360">
        <w:rPr>
          <w:rFonts w:ascii="Arial" w:hAnsi="Arial" w:cs="Arial"/>
          <w:sz w:val="20"/>
        </w:rPr>
        <w:t>an Acceptance Notice in accordance with the instructions set out therein and return it to the person to whom such notice specifies that it must be returned by the deadline set out therein</w:t>
      </w:r>
      <w:bookmarkEnd w:id="113"/>
      <w:r w:rsidR="0073431E" w:rsidRPr="00F97360">
        <w:rPr>
          <w:rFonts w:ascii="Arial" w:hAnsi="Arial" w:cs="Arial"/>
          <w:sz w:val="20"/>
        </w:rPr>
        <w:t xml:space="preserve"> (or </w:t>
      </w:r>
      <w:r w:rsidR="00A864D2" w:rsidRPr="00F97360">
        <w:rPr>
          <w:rFonts w:ascii="Arial" w:hAnsi="Arial" w:cs="Arial"/>
          <w:sz w:val="20"/>
        </w:rPr>
        <w:t xml:space="preserve">to confirm </w:t>
      </w:r>
      <w:r w:rsidR="0073431E" w:rsidRPr="00F97360">
        <w:rPr>
          <w:rFonts w:ascii="Arial" w:hAnsi="Arial" w:cs="Arial"/>
          <w:sz w:val="20"/>
        </w:rPr>
        <w:t>their agreement to the terms of the Acceptance Notice by any other means specified by the Remuneration Committee)</w:t>
      </w:r>
      <w:r w:rsidR="00A864D2" w:rsidRPr="00F97360">
        <w:rPr>
          <w:rFonts w:ascii="Arial" w:hAnsi="Arial" w:cs="Arial"/>
          <w:sz w:val="20"/>
        </w:rPr>
        <w:t>)</w:t>
      </w:r>
      <w:r w:rsidRPr="00F97360">
        <w:rPr>
          <w:rFonts w:ascii="Arial" w:hAnsi="Arial" w:cs="Arial"/>
          <w:sz w:val="20"/>
        </w:rPr>
        <w:t>, and</w:t>
      </w:r>
    </w:p>
    <w:p w14:paraId="56712E20" w14:textId="7B9A3B8D" w:rsidR="00A512F9" w:rsidRPr="00F97360" w:rsidRDefault="00D8597D" w:rsidP="00A512F9">
      <w:pPr>
        <w:pStyle w:val="Untitledsubclause2"/>
        <w:rPr>
          <w:rFonts w:ascii="Arial" w:hAnsi="Arial" w:cs="Arial"/>
          <w:sz w:val="20"/>
        </w:rPr>
      </w:pPr>
      <w:r w:rsidRPr="00F97360">
        <w:rPr>
          <w:rFonts w:ascii="Arial" w:hAnsi="Arial" w:cs="Arial"/>
          <w:sz w:val="20"/>
        </w:rPr>
        <w:t xml:space="preserve">to </w:t>
      </w:r>
      <w:r w:rsidR="006760A6" w:rsidRPr="00F97360">
        <w:rPr>
          <w:rFonts w:ascii="Arial" w:hAnsi="Arial" w:cs="Arial"/>
          <w:sz w:val="20"/>
        </w:rPr>
        <w:t>provide to the Company</w:t>
      </w:r>
      <w:r w:rsidR="002900CF" w:rsidRPr="00F97360">
        <w:rPr>
          <w:rFonts w:ascii="Arial" w:hAnsi="Arial" w:cs="Arial"/>
          <w:sz w:val="20"/>
        </w:rPr>
        <w:t>,</w:t>
      </w:r>
      <w:r w:rsidR="006760A6" w:rsidRPr="00F97360">
        <w:rPr>
          <w:rFonts w:ascii="Arial" w:hAnsi="Arial" w:cs="Arial"/>
          <w:sz w:val="20"/>
        </w:rPr>
        <w:t xml:space="preserve"> </w:t>
      </w:r>
      <w:r w:rsidR="00BA17C3" w:rsidRPr="00F97360">
        <w:rPr>
          <w:rFonts w:ascii="Arial" w:hAnsi="Arial" w:cs="Arial"/>
          <w:sz w:val="20"/>
        </w:rPr>
        <w:t xml:space="preserve">within 14 days of a request by the Company, </w:t>
      </w:r>
      <w:r w:rsidR="006760A6" w:rsidRPr="00F97360">
        <w:rPr>
          <w:rFonts w:ascii="Arial" w:hAnsi="Arial" w:cs="Arial"/>
          <w:sz w:val="20"/>
        </w:rPr>
        <w:t xml:space="preserve">duly signed and </w:t>
      </w:r>
      <w:r w:rsidRPr="00F97360">
        <w:rPr>
          <w:rFonts w:ascii="Arial" w:hAnsi="Arial" w:cs="Arial"/>
          <w:sz w:val="20"/>
        </w:rPr>
        <w:t>execute</w:t>
      </w:r>
      <w:r w:rsidR="006760A6" w:rsidRPr="00F97360">
        <w:rPr>
          <w:rFonts w:ascii="Arial" w:hAnsi="Arial" w:cs="Arial"/>
          <w:sz w:val="20"/>
        </w:rPr>
        <w:t>d</w:t>
      </w:r>
      <w:r w:rsidR="009C121D" w:rsidRPr="00F97360">
        <w:rPr>
          <w:rFonts w:ascii="Arial" w:hAnsi="Arial" w:cs="Arial"/>
          <w:sz w:val="20"/>
        </w:rPr>
        <w:t xml:space="preserve"> originals of</w:t>
      </w:r>
      <w:r w:rsidRPr="00F97360">
        <w:rPr>
          <w:rFonts w:ascii="Arial" w:hAnsi="Arial" w:cs="Arial"/>
          <w:sz w:val="20"/>
        </w:rPr>
        <w:t xml:space="preserve"> all documents (including documents of transfer or powers of attorney) </w:t>
      </w:r>
      <w:r w:rsidR="007E2D78" w:rsidRPr="00F97360">
        <w:rPr>
          <w:rFonts w:ascii="Arial" w:hAnsi="Arial" w:cs="Arial"/>
          <w:sz w:val="20"/>
        </w:rPr>
        <w:t xml:space="preserve">considered necessary or desirable </w:t>
      </w:r>
      <w:r w:rsidRPr="00F97360">
        <w:rPr>
          <w:rFonts w:ascii="Arial" w:hAnsi="Arial" w:cs="Arial"/>
          <w:sz w:val="20"/>
        </w:rPr>
        <w:t xml:space="preserve">by the Company to effect </w:t>
      </w:r>
      <w:r w:rsidR="00EB28AB" w:rsidRPr="00F97360">
        <w:rPr>
          <w:rFonts w:ascii="Arial" w:hAnsi="Arial" w:cs="Arial"/>
          <w:sz w:val="20"/>
        </w:rPr>
        <w:t xml:space="preserve">or enforce </w:t>
      </w:r>
      <w:r w:rsidRPr="00F97360">
        <w:rPr>
          <w:rFonts w:ascii="Arial" w:hAnsi="Arial" w:cs="Arial"/>
          <w:sz w:val="20"/>
        </w:rPr>
        <w:t xml:space="preserve">the terms of </w:t>
      </w:r>
      <w:r w:rsidR="00B000B7" w:rsidRPr="00F97360">
        <w:rPr>
          <w:rFonts w:ascii="Arial" w:hAnsi="Arial" w:cs="Arial"/>
          <w:sz w:val="20"/>
        </w:rPr>
        <w:t xml:space="preserve">rule </w:t>
      </w:r>
      <w:r w:rsidR="00B000B7" w:rsidRPr="00F97360">
        <w:rPr>
          <w:rFonts w:ascii="Arial" w:hAnsi="Arial" w:cs="Arial"/>
          <w:sz w:val="20"/>
        </w:rPr>
        <w:fldChar w:fldCharType="begin"/>
      </w:r>
      <w:r w:rsidR="00B000B7" w:rsidRPr="00F97360">
        <w:rPr>
          <w:rFonts w:ascii="Arial" w:hAnsi="Arial" w:cs="Arial"/>
          <w:sz w:val="20"/>
        </w:rPr>
        <w:instrText xml:space="preserve"> REF a391918 \r \h  \* MERGEFORMAT </w:instrText>
      </w:r>
      <w:r w:rsidR="00B000B7" w:rsidRPr="00F97360">
        <w:rPr>
          <w:rFonts w:ascii="Arial" w:hAnsi="Arial" w:cs="Arial"/>
          <w:sz w:val="20"/>
        </w:rPr>
      </w:r>
      <w:r w:rsidR="00B000B7" w:rsidRPr="00F97360">
        <w:rPr>
          <w:rFonts w:ascii="Arial" w:hAnsi="Arial" w:cs="Arial"/>
          <w:sz w:val="20"/>
        </w:rPr>
        <w:fldChar w:fldCharType="separate"/>
      </w:r>
      <w:r w:rsidR="00710210" w:rsidRPr="00F97360">
        <w:rPr>
          <w:rFonts w:ascii="Arial" w:hAnsi="Arial" w:cs="Arial"/>
          <w:sz w:val="20"/>
        </w:rPr>
        <w:t>12</w:t>
      </w:r>
      <w:r w:rsidR="00B000B7" w:rsidRPr="00F97360">
        <w:rPr>
          <w:rFonts w:ascii="Arial" w:hAnsi="Arial" w:cs="Arial"/>
          <w:sz w:val="20"/>
        </w:rPr>
        <w:fldChar w:fldCharType="end"/>
      </w:r>
      <w:r w:rsidR="00B000B7" w:rsidRPr="00F97360">
        <w:rPr>
          <w:rFonts w:ascii="Arial" w:hAnsi="Arial" w:cs="Arial"/>
          <w:sz w:val="20"/>
        </w:rPr>
        <w:t xml:space="preserve"> and rule </w:t>
      </w:r>
      <w:r w:rsidR="00B000B7" w:rsidRPr="00F97360">
        <w:rPr>
          <w:rFonts w:ascii="Arial" w:hAnsi="Arial" w:cs="Arial"/>
          <w:sz w:val="20"/>
        </w:rPr>
        <w:fldChar w:fldCharType="begin"/>
      </w:r>
      <w:r w:rsidR="00B000B7" w:rsidRPr="00F97360">
        <w:rPr>
          <w:rFonts w:ascii="Arial" w:hAnsi="Arial" w:cs="Arial"/>
          <w:sz w:val="20"/>
        </w:rPr>
        <w:instrText xml:space="preserve"> REF a353805 \r \h  \* MERGEFORMAT </w:instrText>
      </w:r>
      <w:r w:rsidR="00B000B7" w:rsidRPr="00F97360">
        <w:rPr>
          <w:rFonts w:ascii="Arial" w:hAnsi="Arial" w:cs="Arial"/>
          <w:sz w:val="20"/>
        </w:rPr>
      </w:r>
      <w:r w:rsidR="00B000B7" w:rsidRPr="00F97360">
        <w:rPr>
          <w:rFonts w:ascii="Arial" w:hAnsi="Arial" w:cs="Arial"/>
          <w:sz w:val="20"/>
        </w:rPr>
        <w:fldChar w:fldCharType="separate"/>
      </w:r>
      <w:r w:rsidR="00710210" w:rsidRPr="00F97360">
        <w:rPr>
          <w:rFonts w:ascii="Arial" w:hAnsi="Arial" w:cs="Arial"/>
          <w:sz w:val="20"/>
        </w:rPr>
        <w:t>23</w:t>
      </w:r>
      <w:r w:rsidR="00B000B7" w:rsidRPr="00F97360">
        <w:rPr>
          <w:rFonts w:ascii="Arial" w:hAnsi="Arial" w:cs="Arial"/>
          <w:sz w:val="20"/>
        </w:rPr>
        <w:fldChar w:fldCharType="end"/>
      </w:r>
      <w:r w:rsidR="00A512F9" w:rsidRPr="00F97360">
        <w:rPr>
          <w:rFonts w:ascii="Arial" w:hAnsi="Arial" w:cs="Arial"/>
          <w:sz w:val="20"/>
        </w:rPr>
        <w:t>.</w:t>
      </w:r>
    </w:p>
    <w:p w14:paraId="56712E21" w14:textId="7711E090" w:rsidR="006926B1" w:rsidRPr="00F97360" w:rsidRDefault="00D8597D" w:rsidP="006926B1">
      <w:pPr>
        <w:pStyle w:val="Untitledsubclause1"/>
        <w:rPr>
          <w:rFonts w:ascii="Arial" w:hAnsi="Arial" w:cs="Arial"/>
          <w:sz w:val="20"/>
        </w:rPr>
      </w:pPr>
      <w:r w:rsidRPr="00F97360">
        <w:rPr>
          <w:rFonts w:ascii="Arial" w:hAnsi="Arial" w:cs="Arial"/>
          <w:sz w:val="20"/>
        </w:rPr>
        <w:t xml:space="preserve">The Company may require, as a </w:t>
      </w:r>
      <w:r w:rsidR="007E7773" w:rsidRPr="00F97360">
        <w:rPr>
          <w:rFonts w:ascii="Arial" w:hAnsi="Arial" w:cs="Arial"/>
          <w:sz w:val="20"/>
        </w:rPr>
        <w:t>term</w:t>
      </w:r>
      <w:r w:rsidRPr="00F97360">
        <w:rPr>
          <w:rFonts w:ascii="Arial" w:hAnsi="Arial" w:cs="Arial"/>
          <w:sz w:val="20"/>
        </w:rPr>
        <w:t xml:space="preserve"> of making </w:t>
      </w:r>
      <w:r w:rsidR="00D93C59" w:rsidRPr="00F97360">
        <w:rPr>
          <w:rFonts w:ascii="Arial" w:hAnsi="Arial" w:cs="Arial"/>
          <w:sz w:val="20"/>
        </w:rPr>
        <w:t>an Award</w:t>
      </w:r>
      <w:r w:rsidRPr="00F97360">
        <w:rPr>
          <w:rFonts w:ascii="Arial" w:hAnsi="Arial" w:cs="Arial"/>
          <w:sz w:val="20"/>
        </w:rPr>
        <w:t>, that, subject to the Award Holder being permitted to sell sufficient Shares to meet his</w:t>
      </w:r>
      <w:r w:rsidR="000441B9" w:rsidRPr="00F97360">
        <w:rPr>
          <w:rFonts w:ascii="Arial" w:hAnsi="Arial" w:cs="Arial"/>
          <w:sz w:val="20"/>
        </w:rPr>
        <w:t xml:space="preserve"> or her</w:t>
      </w:r>
      <w:r w:rsidRPr="00F97360">
        <w:rPr>
          <w:rFonts w:ascii="Arial" w:hAnsi="Arial" w:cs="Arial"/>
          <w:sz w:val="20"/>
        </w:rPr>
        <w:t xml:space="preserve"> obligations under the Plan, the Award Holder must retain any Shares </w:t>
      </w:r>
      <w:r w:rsidR="00D44FC6" w:rsidRPr="00F97360">
        <w:rPr>
          <w:rFonts w:ascii="Arial" w:hAnsi="Arial" w:cs="Arial"/>
          <w:sz w:val="20"/>
        </w:rPr>
        <w:t xml:space="preserve">he or she acquires pursuant to his or her </w:t>
      </w:r>
      <w:r w:rsidRPr="00F97360">
        <w:rPr>
          <w:rFonts w:ascii="Arial" w:hAnsi="Arial" w:cs="Arial"/>
          <w:sz w:val="20"/>
        </w:rPr>
        <w:t xml:space="preserve">Award unless and until he </w:t>
      </w:r>
      <w:r w:rsidR="000441B9" w:rsidRPr="00F97360">
        <w:rPr>
          <w:rFonts w:ascii="Arial" w:hAnsi="Arial" w:cs="Arial"/>
          <w:sz w:val="20"/>
        </w:rPr>
        <w:t xml:space="preserve">or she </w:t>
      </w:r>
      <w:r w:rsidRPr="00F97360">
        <w:rPr>
          <w:rFonts w:ascii="Arial" w:hAnsi="Arial" w:cs="Arial"/>
          <w:sz w:val="20"/>
        </w:rPr>
        <w:t xml:space="preserve">has met any requirement notified to </w:t>
      </w:r>
      <w:r w:rsidR="00AF6B20" w:rsidRPr="00F97360">
        <w:rPr>
          <w:rFonts w:ascii="Arial" w:hAnsi="Arial" w:cs="Arial"/>
          <w:sz w:val="20"/>
        </w:rPr>
        <w:t>the</w:t>
      </w:r>
      <w:r w:rsidRPr="00F97360">
        <w:rPr>
          <w:rFonts w:ascii="Arial" w:hAnsi="Arial" w:cs="Arial"/>
          <w:sz w:val="20"/>
        </w:rPr>
        <w:t xml:space="preserve"> Award Holder by the Company from time to time for him </w:t>
      </w:r>
      <w:r w:rsidR="000441B9" w:rsidRPr="00F97360">
        <w:rPr>
          <w:rFonts w:ascii="Arial" w:hAnsi="Arial" w:cs="Arial"/>
          <w:sz w:val="20"/>
        </w:rPr>
        <w:t xml:space="preserve">or her </w:t>
      </w:r>
      <w:r w:rsidRPr="00F97360">
        <w:rPr>
          <w:rFonts w:ascii="Arial" w:hAnsi="Arial" w:cs="Arial"/>
          <w:sz w:val="20"/>
        </w:rPr>
        <w:t>to maintain a holding of a number of Shares.</w:t>
      </w:r>
    </w:p>
    <w:p w14:paraId="56712E22" w14:textId="6225F410" w:rsidR="007B4FB5" w:rsidRPr="00F97360" w:rsidRDefault="00D8597D" w:rsidP="007B4FB5">
      <w:pPr>
        <w:pStyle w:val="TitleClause"/>
        <w:rPr>
          <w:rFonts w:ascii="Arial" w:hAnsi="Arial" w:cs="Arial"/>
          <w:sz w:val="20"/>
        </w:rPr>
      </w:pPr>
      <w:r w:rsidRPr="00F97360">
        <w:rPr>
          <w:rFonts w:ascii="Arial" w:hAnsi="Arial" w:cs="Arial"/>
          <w:sz w:val="20"/>
        </w:rPr>
        <w:fldChar w:fldCharType="begin"/>
      </w:r>
      <w:r w:rsidRPr="00F97360">
        <w:rPr>
          <w:rFonts w:ascii="Arial" w:hAnsi="Arial" w:cs="Arial"/>
          <w:sz w:val="20"/>
        </w:rPr>
        <w:instrText>TC "3. Performance Condition" \l 1</w:instrText>
      </w:r>
      <w:r w:rsidRPr="00F97360">
        <w:rPr>
          <w:rFonts w:ascii="Arial" w:hAnsi="Arial" w:cs="Arial"/>
          <w:sz w:val="20"/>
        </w:rPr>
        <w:fldChar w:fldCharType="end"/>
      </w:r>
      <w:bookmarkStart w:id="114" w:name="a920421"/>
      <w:bookmarkStart w:id="115" w:name="_Ref103181009"/>
      <w:bookmarkStart w:id="116" w:name="_Toc105671016"/>
      <w:bookmarkStart w:id="117" w:name="_Toc103273389"/>
      <w:bookmarkStart w:id="118" w:name="_Toc145339771"/>
      <w:bookmarkStart w:id="119" w:name="_Toc131682121"/>
      <w:bookmarkStart w:id="120" w:name="_Toc161658056"/>
      <w:r w:rsidR="00DE7DFE" w:rsidRPr="00F97360">
        <w:rPr>
          <w:rFonts w:ascii="Arial" w:hAnsi="Arial" w:cs="Arial"/>
          <w:sz w:val="20"/>
        </w:rPr>
        <w:t xml:space="preserve">Performance </w:t>
      </w:r>
      <w:r w:rsidR="00D44FC6" w:rsidRPr="00F97360">
        <w:rPr>
          <w:rFonts w:ascii="Arial" w:hAnsi="Arial" w:cs="Arial"/>
          <w:sz w:val="20"/>
        </w:rPr>
        <w:t>Condition</w:t>
      </w:r>
      <w:bookmarkEnd w:id="114"/>
      <w:r w:rsidR="00D44FC6" w:rsidRPr="00F97360">
        <w:rPr>
          <w:rFonts w:ascii="Arial" w:hAnsi="Arial" w:cs="Arial"/>
          <w:sz w:val="20"/>
        </w:rPr>
        <w:t>s</w:t>
      </w:r>
      <w:bookmarkEnd w:id="115"/>
      <w:bookmarkEnd w:id="116"/>
      <w:bookmarkEnd w:id="117"/>
      <w:bookmarkEnd w:id="118"/>
      <w:bookmarkEnd w:id="119"/>
      <w:bookmarkEnd w:id="120"/>
    </w:p>
    <w:p w14:paraId="56712E23" w14:textId="76EFAA4A" w:rsidR="007B4FB5" w:rsidRPr="00F97360" w:rsidRDefault="00D8597D" w:rsidP="00F87596">
      <w:pPr>
        <w:pStyle w:val="Untitledsubclause1"/>
        <w:rPr>
          <w:rFonts w:ascii="Arial" w:hAnsi="Arial" w:cs="Arial"/>
          <w:sz w:val="20"/>
        </w:rPr>
      </w:pPr>
      <w:bookmarkStart w:id="121" w:name="a728157"/>
      <w:bookmarkStart w:id="122" w:name="_Ref103346871"/>
      <w:r w:rsidRPr="00F97360">
        <w:rPr>
          <w:rFonts w:ascii="Arial" w:hAnsi="Arial" w:cs="Arial"/>
          <w:sz w:val="20"/>
        </w:rPr>
        <w:t xml:space="preserve">On the Grant Date of any </w:t>
      </w:r>
      <w:r w:rsidR="00D67DB9" w:rsidRPr="00F97360">
        <w:rPr>
          <w:rFonts w:ascii="Arial" w:hAnsi="Arial" w:cs="Arial"/>
          <w:sz w:val="20"/>
        </w:rPr>
        <w:t>Award</w:t>
      </w:r>
      <w:r w:rsidRPr="00F97360">
        <w:rPr>
          <w:rFonts w:ascii="Arial" w:hAnsi="Arial" w:cs="Arial"/>
          <w:sz w:val="20"/>
        </w:rPr>
        <w:t xml:space="preserve">, the </w:t>
      </w:r>
      <w:r w:rsidR="00B00B6F" w:rsidRPr="00F97360">
        <w:rPr>
          <w:rFonts w:ascii="Arial" w:hAnsi="Arial" w:cs="Arial"/>
          <w:sz w:val="20"/>
        </w:rPr>
        <w:t>Remuneration Committee</w:t>
      </w:r>
      <w:r w:rsidR="00492A86" w:rsidRPr="00F97360">
        <w:rPr>
          <w:rFonts w:ascii="Arial" w:hAnsi="Arial" w:cs="Arial"/>
          <w:sz w:val="20"/>
        </w:rPr>
        <w:t xml:space="preserve"> may</w:t>
      </w:r>
      <w:r w:rsidR="00DE7DFE" w:rsidRPr="00F97360">
        <w:rPr>
          <w:rFonts w:ascii="Arial" w:hAnsi="Arial" w:cs="Arial"/>
          <w:sz w:val="20"/>
        </w:rPr>
        <w:t xml:space="preserve"> </w:t>
      </w:r>
      <w:r w:rsidRPr="00F97360">
        <w:rPr>
          <w:rFonts w:ascii="Arial" w:hAnsi="Arial" w:cs="Arial"/>
          <w:sz w:val="20"/>
        </w:rPr>
        <w:t xml:space="preserve">specify </w:t>
      </w:r>
      <w:r w:rsidR="007B4FB5" w:rsidRPr="00F97360">
        <w:rPr>
          <w:rFonts w:ascii="Arial" w:hAnsi="Arial" w:cs="Arial"/>
          <w:sz w:val="20"/>
        </w:rPr>
        <w:t xml:space="preserve">one or more </w:t>
      </w:r>
      <w:bookmarkEnd w:id="121"/>
      <w:r w:rsidR="007B4FB5" w:rsidRPr="00F97360">
        <w:rPr>
          <w:rFonts w:ascii="Arial" w:hAnsi="Arial" w:cs="Arial"/>
          <w:sz w:val="20"/>
        </w:rPr>
        <w:t xml:space="preserve">Performance </w:t>
      </w:r>
      <w:r w:rsidR="00D44FC6" w:rsidRPr="00F97360">
        <w:rPr>
          <w:rFonts w:ascii="Arial" w:hAnsi="Arial" w:cs="Arial"/>
          <w:sz w:val="20"/>
        </w:rPr>
        <w:t>Conditions</w:t>
      </w:r>
      <w:r w:rsidR="007B4FB5" w:rsidRPr="00F97360">
        <w:rPr>
          <w:rFonts w:ascii="Arial" w:hAnsi="Arial" w:cs="Arial"/>
          <w:sz w:val="20"/>
        </w:rPr>
        <w:t xml:space="preserve"> </w:t>
      </w:r>
      <w:r w:rsidR="0073293C" w:rsidRPr="00F97360">
        <w:rPr>
          <w:rFonts w:ascii="Arial" w:hAnsi="Arial" w:cs="Arial"/>
          <w:sz w:val="20"/>
        </w:rPr>
        <w:t xml:space="preserve">to which the </w:t>
      </w:r>
      <w:r w:rsidR="005664F4" w:rsidRPr="00F97360">
        <w:rPr>
          <w:rFonts w:ascii="Arial" w:hAnsi="Arial" w:cs="Arial"/>
          <w:sz w:val="20"/>
        </w:rPr>
        <w:t>Vesting</w:t>
      </w:r>
      <w:r w:rsidR="0073293C" w:rsidRPr="00F97360">
        <w:rPr>
          <w:rFonts w:ascii="Arial" w:hAnsi="Arial" w:cs="Arial"/>
          <w:sz w:val="20"/>
        </w:rPr>
        <w:t xml:space="preserve"> of </w:t>
      </w:r>
      <w:r w:rsidR="007B4FB5" w:rsidRPr="00F97360">
        <w:rPr>
          <w:rFonts w:ascii="Arial" w:hAnsi="Arial" w:cs="Arial"/>
          <w:sz w:val="20"/>
        </w:rPr>
        <w:t>the Award</w:t>
      </w:r>
      <w:r w:rsidR="0073293C" w:rsidRPr="00F97360">
        <w:rPr>
          <w:rFonts w:ascii="Arial" w:hAnsi="Arial" w:cs="Arial"/>
          <w:sz w:val="20"/>
        </w:rPr>
        <w:t xml:space="preserve"> is subject</w:t>
      </w:r>
      <w:r w:rsidR="007B4FB5" w:rsidRPr="00F97360">
        <w:rPr>
          <w:rFonts w:ascii="Arial" w:hAnsi="Arial" w:cs="Arial"/>
          <w:sz w:val="20"/>
        </w:rPr>
        <w:t>.</w:t>
      </w:r>
      <w:bookmarkEnd w:id="122"/>
      <w:r w:rsidR="007A42E7" w:rsidRPr="00F97360">
        <w:rPr>
          <w:rFonts w:ascii="Arial" w:hAnsi="Arial" w:cs="Arial"/>
          <w:sz w:val="20"/>
        </w:rPr>
        <w:t xml:space="preserve"> Awards granted to Executive Directors must, unless the applicable Directors’ Remuneration Policy provides otherwise, be subject to </w:t>
      </w:r>
      <w:r w:rsidR="00CF7EAA" w:rsidRPr="00F97360">
        <w:rPr>
          <w:rFonts w:ascii="Arial" w:hAnsi="Arial" w:cs="Arial"/>
          <w:sz w:val="20"/>
        </w:rPr>
        <w:t>one or more P</w:t>
      </w:r>
      <w:r w:rsidR="007A42E7" w:rsidRPr="00F97360">
        <w:rPr>
          <w:rFonts w:ascii="Arial" w:hAnsi="Arial" w:cs="Arial"/>
          <w:sz w:val="20"/>
        </w:rPr>
        <w:t xml:space="preserve">erformance </w:t>
      </w:r>
      <w:r w:rsidR="00CF7EAA" w:rsidRPr="00F97360">
        <w:rPr>
          <w:rFonts w:ascii="Arial" w:hAnsi="Arial" w:cs="Arial"/>
          <w:sz w:val="20"/>
        </w:rPr>
        <w:t>C</w:t>
      </w:r>
      <w:r w:rsidR="007A42E7" w:rsidRPr="00F97360">
        <w:rPr>
          <w:rFonts w:ascii="Arial" w:hAnsi="Arial" w:cs="Arial"/>
          <w:sz w:val="20"/>
        </w:rPr>
        <w:t>ondition</w:t>
      </w:r>
      <w:r w:rsidR="00CF7EAA" w:rsidRPr="00F97360">
        <w:rPr>
          <w:rFonts w:ascii="Arial" w:hAnsi="Arial" w:cs="Arial"/>
          <w:sz w:val="20"/>
        </w:rPr>
        <w:t>s</w:t>
      </w:r>
      <w:r w:rsidR="007A42E7" w:rsidRPr="00F97360">
        <w:rPr>
          <w:rFonts w:ascii="Arial" w:hAnsi="Arial" w:cs="Arial"/>
          <w:sz w:val="20"/>
        </w:rPr>
        <w:t xml:space="preserve"> which will be assessed over a </w:t>
      </w:r>
      <w:r w:rsidR="00CF7EAA" w:rsidRPr="00F97360">
        <w:rPr>
          <w:rFonts w:ascii="Arial" w:hAnsi="Arial" w:cs="Arial"/>
          <w:sz w:val="20"/>
        </w:rPr>
        <w:t>P</w:t>
      </w:r>
      <w:r w:rsidR="007A42E7" w:rsidRPr="00F97360">
        <w:rPr>
          <w:rFonts w:ascii="Arial" w:hAnsi="Arial" w:cs="Arial"/>
          <w:sz w:val="20"/>
        </w:rPr>
        <w:t xml:space="preserve">erformance </w:t>
      </w:r>
      <w:r w:rsidR="00CF7EAA" w:rsidRPr="00F97360">
        <w:rPr>
          <w:rFonts w:ascii="Arial" w:hAnsi="Arial" w:cs="Arial"/>
          <w:sz w:val="20"/>
        </w:rPr>
        <w:t>P</w:t>
      </w:r>
      <w:r w:rsidR="007A42E7" w:rsidRPr="00F97360">
        <w:rPr>
          <w:rFonts w:ascii="Arial" w:hAnsi="Arial" w:cs="Arial"/>
          <w:sz w:val="20"/>
        </w:rPr>
        <w:t>eriod of normally at least three years.</w:t>
      </w:r>
    </w:p>
    <w:p w14:paraId="678AF82F" w14:textId="37845921" w:rsidR="007B4FB5" w:rsidRPr="00F97360" w:rsidRDefault="00D8597D" w:rsidP="00AC0B75">
      <w:pPr>
        <w:pStyle w:val="Untitledsubclause1"/>
        <w:rPr>
          <w:rFonts w:ascii="Arial" w:hAnsi="Arial" w:cs="Arial"/>
          <w:sz w:val="20"/>
        </w:rPr>
      </w:pPr>
      <w:bookmarkStart w:id="123" w:name="a858924"/>
      <w:r w:rsidRPr="00F97360">
        <w:rPr>
          <w:rFonts w:ascii="Arial" w:hAnsi="Arial" w:cs="Arial"/>
          <w:sz w:val="20"/>
        </w:rPr>
        <w:t xml:space="preserve">The </w:t>
      </w:r>
      <w:r w:rsidR="00623047" w:rsidRPr="00F97360">
        <w:rPr>
          <w:rFonts w:ascii="Arial" w:hAnsi="Arial" w:cs="Arial"/>
          <w:sz w:val="20"/>
        </w:rPr>
        <w:t>Remuneration Committee</w:t>
      </w:r>
      <w:r w:rsidRPr="00F97360">
        <w:rPr>
          <w:rFonts w:ascii="Arial" w:hAnsi="Arial" w:cs="Arial"/>
          <w:sz w:val="20"/>
        </w:rPr>
        <w:t xml:space="preserve"> may </w:t>
      </w:r>
      <w:r w:rsidR="00D105D9" w:rsidRPr="00F97360">
        <w:rPr>
          <w:rFonts w:ascii="Arial" w:hAnsi="Arial" w:cs="Arial"/>
          <w:sz w:val="20"/>
        </w:rPr>
        <w:t>amend or substitute</w:t>
      </w:r>
      <w:r w:rsidRPr="00F97360">
        <w:rPr>
          <w:rFonts w:ascii="Arial" w:hAnsi="Arial" w:cs="Arial"/>
          <w:sz w:val="20"/>
        </w:rPr>
        <w:t xml:space="preserve"> </w:t>
      </w:r>
      <w:r w:rsidR="007B4FB5" w:rsidRPr="00F97360">
        <w:rPr>
          <w:rFonts w:ascii="Arial" w:hAnsi="Arial" w:cs="Arial"/>
          <w:sz w:val="20"/>
        </w:rPr>
        <w:t>any</w:t>
      </w:r>
      <w:r w:rsidRPr="00F97360">
        <w:rPr>
          <w:rFonts w:ascii="Arial" w:hAnsi="Arial" w:cs="Arial"/>
          <w:sz w:val="20"/>
        </w:rPr>
        <w:t xml:space="preserve"> </w:t>
      </w:r>
      <w:r w:rsidR="00DE7DFE" w:rsidRPr="00F97360">
        <w:rPr>
          <w:rFonts w:ascii="Arial" w:hAnsi="Arial" w:cs="Arial"/>
          <w:sz w:val="20"/>
        </w:rPr>
        <w:t xml:space="preserve">Performance </w:t>
      </w:r>
      <w:r w:rsidR="007B4FB5" w:rsidRPr="00F97360">
        <w:rPr>
          <w:rFonts w:ascii="Arial" w:hAnsi="Arial" w:cs="Arial"/>
          <w:sz w:val="20"/>
        </w:rPr>
        <w:t>Condition</w:t>
      </w:r>
      <w:r w:rsidR="009A280E" w:rsidRPr="00F97360">
        <w:rPr>
          <w:rFonts w:ascii="Arial" w:hAnsi="Arial" w:cs="Arial"/>
          <w:sz w:val="20"/>
        </w:rPr>
        <w:t xml:space="preserve"> </w:t>
      </w:r>
      <w:r w:rsidR="009B4031" w:rsidRPr="00F97360">
        <w:rPr>
          <w:rFonts w:ascii="Arial" w:hAnsi="Arial" w:cs="Arial"/>
          <w:sz w:val="20"/>
        </w:rPr>
        <w:t xml:space="preserve">if an event occurs which causes the </w:t>
      </w:r>
      <w:r w:rsidR="00623047" w:rsidRPr="00F97360">
        <w:rPr>
          <w:rFonts w:ascii="Arial" w:hAnsi="Arial" w:cs="Arial"/>
          <w:sz w:val="20"/>
        </w:rPr>
        <w:t>Remuneration Committee</w:t>
      </w:r>
      <w:r w:rsidR="00B92640" w:rsidRPr="00F97360">
        <w:rPr>
          <w:rFonts w:ascii="Arial" w:hAnsi="Arial" w:cs="Arial"/>
          <w:sz w:val="20"/>
        </w:rPr>
        <w:t xml:space="preserve"> to consider that it would be appropriate to </w:t>
      </w:r>
      <w:r w:rsidR="009A280E" w:rsidRPr="00F97360">
        <w:rPr>
          <w:rFonts w:ascii="Arial" w:hAnsi="Arial" w:cs="Arial"/>
          <w:sz w:val="20"/>
        </w:rPr>
        <w:lastRenderedPageBreak/>
        <w:t>amend</w:t>
      </w:r>
      <w:r w:rsidR="00D07B96" w:rsidRPr="00F97360">
        <w:rPr>
          <w:rFonts w:ascii="Arial" w:hAnsi="Arial" w:cs="Arial"/>
          <w:sz w:val="20"/>
        </w:rPr>
        <w:t xml:space="preserve"> or substitute </w:t>
      </w:r>
      <w:r w:rsidR="009A280E" w:rsidRPr="00F97360">
        <w:rPr>
          <w:rFonts w:ascii="Arial" w:hAnsi="Arial" w:cs="Arial"/>
          <w:sz w:val="20"/>
        </w:rPr>
        <w:t>th</w:t>
      </w:r>
      <w:r w:rsidR="00DF6079" w:rsidRPr="00F97360">
        <w:rPr>
          <w:rFonts w:ascii="Arial" w:hAnsi="Arial" w:cs="Arial"/>
          <w:sz w:val="20"/>
        </w:rPr>
        <w:t>at</w:t>
      </w:r>
      <w:r w:rsidR="009A280E" w:rsidRPr="00F97360">
        <w:rPr>
          <w:rFonts w:ascii="Arial" w:hAnsi="Arial" w:cs="Arial"/>
          <w:sz w:val="20"/>
        </w:rPr>
        <w:t xml:space="preserve"> Performance</w:t>
      </w:r>
      <w:r w:rsidR="00DF6079" w:rsidRPr="00F97360">
        <w:rPr>
          <w:rFonts w:ascii="Arial" w:hAnsi="Arial" w:cs="Arial"/>
          <w:sz w:val="20"/>
        </w:rPr>
        <w:t xml:space="preserve"> Condition</w:t>
      </w:r>
      <w:r w:rsidR="002F4DCE" w:rsidRPr="00F97360">
        <w:rPr>
          <w:rFonts w:ascii="Arial" w:hAnsi="Arial" w:cs="Arial"/>
          <w:sz w:val="20"/>
        </w:rPr>
        <w:t xml:space="preserve">, </w:t>
      </w:r>
      <w:r w:rsidRPr="00F97360">
        <w:rPr>
          <w:rFonts w:ascii="Arial" w:hAnsi="Arial" w:cs="Arial"/>
          <w:sz w:val="20"/>
        </w:rPr>
        <w:t>provided that</w:t>
      </w:r>
      <w:r w:rsidR="00066842" w:rsidRPr="00F97360">
        <w:rPr>
          <w:rFonts w:ascii="Arial" w:hAnsi="Arial" w:cs="Arial"/>
          <w:sz w:val="20"/>
        </w:rPr>
        <w:t xml:space="preserve"> </w:t>
      </w:r>
      <w:r w:rsidR="00F2690E" w:rsidRPr="00F97360">
        <w:rPr>
          <w:rFonts w:ascii="Arial" w:hAnsi="Arial" w:cs="Arial"/>
          <w:sz w:val="20"/>
        </w:rPr>
        <w:t xml:space="preserve">the </w:t>
      </w:r>
      <w:r w:rsidR="00623047" w:rsidRPr="00F97360">
        <w:rPr>
          <w:rFonts w:ascii="Arial" w:hAnsi="Arial" w:cs="Arial"/>
          <w:sz w:val="20"/>
        </w:rPr>
        <w:t>Remuneration Committee</w:t>
      </w:r>
      <w:r w:rsidR="00F2690E" w:rsidRPr="00F97360">
        <w:rPr>
          <w:rFonts w:ascii="Arial" w:hAnsi="Arial" w:cs="Arial"/>
          <w:sz w:val="20"/>
        </w:rPr>
        <w:t xml:space="preserve"> considers the </w:t>
      </w:r>
      <w:r w:rsidRPr="00F97360">
        <w:rPr>
          <w:rFonts w:ascii="Arial" w:hAnsi="Arial" w:cs="Arial"/>
          <w:sz w:val="20"/>
        </w:rPr>
        <w:t xml:space="preserve">varied </w:t>
      </w:r>
      <w:r w:rsidR="00DE7DFE" w:rsidRPr="00F97360">
        <w:rPr>
          <w:rFonts w:ascii="Arial" w:hAnsi="Arial" w:cs="Arial"/>
          <w:sz w:val="20"/>
        </w:rPr>
        <w:t xml:space="preserve">Performance </w:t>
      </w:r>
      <w:r w:rsidR="0046413D" w:rsidRPr="00F97360">
        <w:rPr>
          <w:rFonts w:ascii="Arial" w:hAnsi="Arial" w:cs="Arial"/>
          <w:sz w:val="20"/>
        </w:rPr>
        <w:t xml:space="preserve">Condition </w:t>
      </w:r>
      <w:r w:rsidR="00F2690E" w:rsidRPr="00F97360">
        <w:rPr>
          <w:rFonts w:ascii="Arial" w:hAnsi="Arial" w:cs="Arial"/>
          <w:sz w:val="20"/>
        </w:rPr>
        <w:t>to be</w:t>
      </w:r>
      <w:r w:rsidR="000B3FEF" w:rsidRPr="00F97360">
        <w:rPr>
          <w:rFonts w:ascii="Arial" w:hAnsi="Arial" w:cs="Arial"/>
          <w:sz w:val="20"/>
        </w:rPr>
        <w:t>:</w:t>
      </w:r>
    </w:p>
    <w:p w14:paraId="48044A73" w14:textId="4188A07E" w:rsidR="007B4FB5" w:rsidRPr="00F97360" w:rsidRDefault="007B4FB5" w:rsidP="00F97360">
      <w:pPr>
        <w:pStyle w:val="Untitledsubclause2"/>
        <w:tabs>
          <w:tab w:val="clear" w:pos="1554"/>
          <w:tab w:val="num" w:pos="1985"/>
        </w:tabs>
        <w:ind w:left="1985" w:hanging="567"/>
        <w:rPr>
          <w:rFonts w:ascii="Arial" w:hAnsi="Arial" w:cs="Arial"/>
          <w:sz w:val="20"/>
        </w:rPr>
      </w:pPr>
      <w:bookmarkStart w:id="124" w:name="a50052"/>
      <w:r w:rsidRPr="00F97360">
        <w:rPr>
          <w:rFonts w:ascii="Arial" w:hAnsi="Arial" w:cs="Arial"/>
          <w:sz w:val="20"/>
        </w:rPr>
        <w:t>no</w:t>
      </w:r>
      <w:r w:rsidR="00F2690E" w:rsidRPr="00F97360">
        <w:rPr>
          <w:rFonts w:ascii="Arial" w:hAnsi="Arial" w:cs="Arial"/>
          <w:sz w:val="20"/>
        </w:rPr>
        <w:t xml:space="preserve"> </w:t>
      </w:r>
      <w:r w:rsidR="003B40EA" w:rsidRPr="00F97360">
        <w:rPr>
          <w:rFonts w:ascii="Arial" w:hAnsi="Arial" w:cs="Arial"/>
          <w:sz w:val="20"/>
        </w:rPr>
        <w:t xml:space="preserve">more </w:t>
      </w:r>
      <w:r w:rsidRPr="00F97360">
        <w:rPr>
          <w:rFonts w:ascii="Arial" w:hAnsi="Arial" w:cs="Arial"/>
          <w:sz w:val="20"/>
        </w:rPr>
        <w:t>difficult to satisfy</w:t>
      </w:r>
      <w:r w:rsidR="00D8597D" w:rsidRPr="00F97360">
        <w:rPr>
          <w:rFonts w:ascii="Arial" w:hAnsi="Arial" w:cs="Arial"/>
          <w:sz w:val="20"/>
        </w:rPr>
        <w:t xml:space="preserve"> than the original Performance </w:t>
      </w:r>
      <w:r w:rsidRPr="00F97360">
        <w:rPr>
          <w:rFonts w:ascii="Arial" w:hAnsi="Arial" w:cs="Arial"/>
          <w:sz w:val="20"/>
        </w:rPr>
        <w:t xml:space="preserve">Condition was at the Grant Date; </w:t>
      </w:r>
      <w:r w:rsidR="00D8597D" w:rsidRPr="00F97360">
        <w:rPr>
          <w:rFonts w:ascii="Arial" w:hAnsi="Arial" w:cs="Arial"/>
          <w:sz w:val="20"/>
        </w:rPr>
        <w:t>and</w:t>
      </w:r>
      <w:bookmarkEnd w:id="124"/>
    </w:p>
    <w:p w14:paraId="67A8FF55" w14:textId="77777777" w:rsidR="007B4FB5" w:rsidRPr="00F97360" w:rsidRDefault="007B4FB5" w:rsidP="00F97360">
      <w:pPr>
        <w:pStyle w:val="Untitledsubclause2"/>
        <w:tabs>
          <w:tab w:val="clear" w:pos="1554"/>
          <w:tab w:val="num" w:pos="1985"/>
        </w:tabs>
        <w:ind w:left="1985"/>
        <w:rPr>
          <w:rFonts w:ascii="Arial" w:hAnsi="Arial" w:cs="Arial"/>
          <w:sz w:val="20"/>
        </w:rPr>
      </w:pPr>
      <w:bookmarkStart w:id="125" w:name="a565346"/>
      <w:r w:rsidRPr="00F97360">
        <w:rPr>
          <w:rFonts w:ascii="Arial" w:hAnsi="Arial" w:cs="Arial"/>
          <w:sz w:val="20"/>
        </w:rPr>
        <w:t>not materially easier to satisfy than the original Performance Condition was at the Grant Date, unless the variation of the Performance Condition has been approved in advance by the Company in general meeting.</w:t>
      </w:r>
      <w:bookmarkEnd w:id="125"/>
    </w:p>
    <w:p w14:paraId="56712E25" w14:textId="5E58B0D8" w:rsidR="008F257F" w:rsidRPr="00F97360" w:rsidRDefault="00D8597D" w:rsidP="00D455FC">
      <w:pPr>
        <w:pStyle w:val="TitleClause"/>
        <w:rPr>
          <w:rFonts w:ascii="Arial" w:hAnsi="Arial" w:cs="Arial"/>
          <w:sz w:val="20"/>
        </w:rPr>
      </w:pPr>
      <w:bookmarkStart w:id="126" w:name="_Toc105671017"/>
      <w:bookmarkStart w:id="127" w:name="_Ref128147844"/>
      <w:bookmarkStart w:id="128" w:name="_Toc145339772"/>
      <w:bookmarkStart w:id="129" w:name="_Toc131682122"/>
      <w:bookmarkStart w:id="130" w:name="_Toc161658057"/>
      <w:bookmarkEnd w:id="123"/>
      <w:r w:rsidRPr="00F97360">
        <w:rPr>
          <w:rFonts w:ascii="Arial" w:hAnsi="Arial" w:cs="Arial"/>
          <w:sz w:val="20"/>
        </w:rPr>
        <w:t xml:space="preserve">Adjustment to </w:t>
      </w:r>
      <w:r w:rsidR="000B3FEF" w:rsidRPr="00F97360">
        <w:rPr>
          <w:rFonts w:ascii="Arial" w:hAnsi="Arial" w:cs="Arial"/>
          <w:sz w:val="20"/>
        </w:rPr>
        <w:t>Vesting of Awards</w:t>
      </w:r>
      <w:bookmarkEnd w:id="126"/>
      <w:bookmarkEnd w:id="127"/>
      <w:bookmarkEnd w:id="128"/>
      <w:bookmarkEnd w:id="129"/>
      <w:bookmarkEnd w:id="130"/>
    </w:p>
    <w:p w14:paraId="74035F58" w14:textId="6C87DF2A" w:rsidR="00973662" w:rsidRPr="00F97360" w:rsidRDefault="00973662" w:rsidP="007B4FB5">
      <w:pPr>
        <w:pStyle w:val="Untitledsubclause1"/>
        <w:rPr>
          <w:rFonts w:ascii="Arial" w:hAnsi="Arial" w:cs="Arial"/>
          <w:sz w:val="20"/>
        </w:rPr>
      </w:pPr>
      <w:r w:rsidRPr="00F97360">
        <w:rPr>
          <w:rFonts w:ascii="Arial" w:hAnsi="Arial" w:cs="Arial"/>
          <w:sz w:val="20"/>
        </w:rPr>
        <w:t>The Remuneration Committee may adjust the formulaic vesting outcome of any Award (including to zero) if it does not consider the vesting outcome to be a fair reflection of the performance of the Company and / or the Award Holder, after having had regard to the wider circumstances and the performance of the Company over the performance period and the experience of shareholders and other stakeholders.</w:t>
      </w:r>
    </w:p>
    <w:p w14:paraId="56712E27" w14:textId="77777777" w:rsidR="007B4FB5" w:rsidRPr="00F97360" w:rsidRDefault="00D8597D" w:rsidP="007B4FB5">
      <w:pPr>
        <w:pStyle w:val="TitleClause"/>
        <w:rPr>
          <w:rFonts w:ascii="Arial" w:hAnsi="Arial" w:cs="Arial"/>
          <w:sz w:val="20"/>
        </w:rPr>
      </w:pPr>
      <w:bookmarkStart w:id="131" w:name="_Ref80871824"/>
      <w:bookmarkStart w:id="132" w:name="_Toc105671018"/>
      <w:bookmarkStart w:id="133" w:name="_Toc103273390"/>
      <w:bookmarkStart w:id="134" w:name="_Toc145339773"/>
      <w:bookmarkStart w:id="135" w:name="_Toc131682123"/>
      <w:bookmarkStart w:id="136" w:name="_Toc161658058"/>
      <w:r w:rsidRPr="00F97360">
        <w:rPr>
          <w:rFonts w:ascii="Arial" w:hAnsi="Arial" w:cs="Arial"/>
          <w:sz w:val="20"/>
        </w:rPr>
        <w:t xml:space="preserve">Rights in relation to Shares and </w:t>
      </w:r>
      <w:r w:rsidRPr="00F97360">
        <w:rPr>
          <w:rFonts w:ascii="Arial" w:hAnsi="Arial" w:cs="Arial"/>
          <w:sz w:val="20"/>
        </w:rPr>
        <w:fldChar w:fldCharType="begin"/>
      </w:r>
      <w:r w:rsidRPr="00F97360">
        <w:rPr>
          <w:rFonts w:ascii="Arial" w:hAnsi="Arial" w:cs="Arial"/>
          <w:sz w:val="20"/>
        </w:rPr>
        <w:instrText>TC "4. Dividend Equivalents" \l 1</w:instrText>
      </w:r>
      <w:r w:rsidRPr="00F97360">
        <w:rPr>
          <w:rFonts w:ascii="Arial" w:hAnsi="Arial" w:cs="Arial"/>
          <w:sz w:val="20"/>
        </w:rPr>
        <w:fldChar w:fldCharType="end"/>
      </w:r>
      <w:bookmarkStart w:id="137" w:name="a62542"/>
      <w:r w:rsidRPr="00F97360">
        <w:rPr>
          <w:rFonts w:ascii="Arial" w:hAnsi="Arial" w:cs="Arial"/>
          <w:sz w:val="20"/>
        </w:rPr>
        <w:t>Dividend Equivalents</w:t>
      </w:r>
      <w:bookmarkEnd w:id="131"/>
      <w:bookmarkEnd w:id="132"/>
      <w:bookmarkEnd w:id="133"/>
      <w:bookmarkEnd w:id="134"/>
      <w:bookmarkEnd w:id="135"/>
      <w:bookmarkEnd w:id="136"/>
      <w:bookmarkEnd w:id="137"/>
    </w:p>
    <w:p w14:paraId="184FD6A2" w14:textId="77777777" w:rsidR="009F1990" w:rsidRPr="00F97360" w:rsidRDefault="00D8597D" w:rsidP="00F97360">
      <w:pPr>
        <w:pStyle w:val="Untitledsubclause1"/>
        <w:tabs>
          <w:tab w:val="clear" w:pos="720"/>
          <w:tab w:val="num" w:pos="1985"/>
        </w:tabs>
        <w:rPr>
          <w:rFonts w:ascii="Arial" w:hAnsi="Arial" w:cs="Arial"/>
          <w:sz w:val="20"/>
        </w:rPr>
      </w:pPr>
      <w:bookmarkStart w:id="138" w:name="a884742"/>
      <w:r w:rsidRPr="00F97360">
        <w:rPr>
          <w:rFonts w:ascii="Arial" w:hAnsi="Arial" w:cs="Arial"/>
          <w:sz w:val="20"/>
        </w:rPr>
        <w:t>An Award Holder</w:t>
      </w:r>
      <w:r w:rsidR="004C43B4" w:rsidRPr="00F97360">
        <w:rPr>
          <w:rFonts w:ascii="Arial" w:hAnsi="Arial" w:cs="Arial"/>
          <w:sz w:val="20"/>
        </w:rPr>
        <w:t xml:space="preserve"> has no voting, dividend or other rights attaching to the Shares </w:t>
      </w:r>
      <w:r w:rsidR="00EF04C6" w:rsidRPr="00F97360">
        <w:rPr>
          <w:rFonts w:ascii="Arial" w:hAnsi="Arial" w:cs="Arial"/>
          <w:sz w:val="20"/>
        </w:rPr>
        <w:t xml:space="preserve">over which their </w:t>
      </w:r>
      <w:r w:rsidR="004C43B4" w:rsidRPr="00F97360">
        <w:rPr>
          <w:rFonts w:ascii="Arial" w:hAnsi="Arial" w:cs="Arial"/>
          <w:sz w:val="20"/>
        </w:rPr>
        <w:t xml:space="preserve">Award </w:t>
      </w:r>
      <w:r w:rsidR="00EF04C6" w:rsidRPr="00F97360">
        <w:rPr>
          <w:rFonts w:ascii="Arial" w:hAnsi="Arial" w:cs="Arial"/>
          <w:sz w:val="20"/>
        </w:rPr>
        <w:t xml:space="preserve">subsists </w:t>
      </w:r>
      <w:r w:rsidR="004C43B4" w:rsidRPr="00F97360">
        <w:rPr>
          <w:rFonts w:ascii="Arial" w:hAnsi="Arial" w:cs="Arial"/>
          <w:sz w:val="20"/>
        </w:rPr>
        <w:t>before</w:t>
      </w:r>
      <w:r w:rsidR="002C7858" w:rsidRPr="00F97360">
        <w:rPr>
          <w:rFonts w:ascii="Arial" w:hAnsi="Arial" w:cs="Arial"/>
          <w:sz w:val="20"/>
        </w:rPr>
        <w:t xml:space="preserve"> the</w:t>
      </w:r>
      <w:r w:rsidR="00D44374" w:rsidRPr="00F97360">
        <w:rPr>
          <w:rFonts w:ascii="Arial" w:hAnsi="Arial" w:cs="Arial"/>
          <w:sz w:val="20"/>
        </w:rPr>
        <w:t>y</w:t>
      </w:r>
      <w:r w:rsidR="002C7858" w:rsidRPr="00F97360">
        <w:rPr>
          <w:rFonts w:ascii="Arial" w:hAnsi="Arial" w:cs="Arial"/>
          <w:sz w:val="20"/>
        </w:rPr>
        <w:t xml:space="preserve"> acquire</w:t>
      </w:r>
      <w:r w:rsidR="00D44374" w:rsidRPr="00F97360">
        <w:rPr>
          <w:rFonts w:ascii="Arial" w:hAnsi="Arial" w:cs="Arial"/>
          <w:sz w:val="20"/>
        </w:rPr>
        <w:t xml:space="preserve"> such Shares</w:t>
      </w:r>
      <w:r w:rsidR="004C43B4" w:rsidRPr="00F97360">
        <w:rPr>
          <w:rFonts w:ascii="Arial" w:hAnsi="Arial" w:cs="Arial"/>
          <w:sz w:val="20"/>
        </w:rPr>
        <w:t>.</w:t>
      </w:r>
      <w:r w:rsidR="009F1990" w:rsidRPr="00F97360">
        <w:rPr>
          <w:rFonts w:ascii="Arial" w:hAnsi="Arial" w:cs="Arial"/>
          <w:sz w:val="20"/>
        </w:rPr>
        <w:t xml:space="preserve"> </w:t>
      </w:r>
    </w:p>
    <w:p w14:paraId="3B0BBE2A" w14:textId="1C1D30BD" w:rsidR="002120E6" w:rsidRPr="0059105D" w:rsidRDefault="009F1990" w:rsidP="00F97360">
      <w:pPr>
        <w:pStyle w:val="Untitledsubclause1"/>
        <w:tabs>
          <w:tab w:val="clear" w:pos="720"/>
          <w:tab w:val="num" w:pos="1985"/>
        </w:tabs>
        <w:rPr>
          <w:rFonts w:ascii="Arial" w:hAnsi="Arial" w:cs="Arial"/>
          <w:color w:val="70AD47" w:themeColor="accent6"/>
          <w:sz w:val="20"/>
        </w:rPr>
      </w:pPr>
      <w:r w:rsidRPr="00F97360">
        <w:rPr>
          <w:rFonts w:ascii="Arial" w:hAnsi="Arial" w:cs="Arial"/>
          <w:sz w:val="20"/>
        </w:rPr>
        <w:t>T</w:t>
      </w:r>
      <w:r w:rsidR="00D8597D" w:rsidRPr="00F97360">
        <w:rPr>
          <w:rFonts w:ascii="Arial" w:hAnsi="Arial" w:cs="Arial"/>
          <w:sz w:val="20"/>
        </w:rPr>
        <w:t xml:space="preserve">he </w:t>
      </w:r>
      <w:r w:rsidR="00623047" w:rsidRPr="00F97360">
        <w:rPr>
          <w:rFonts w:ascii="Arial" w:hAnsi="Arial" w:cs="Arial"/>
          <w:sz w:val="20"/>
        </w:rPr>
        <w:t>Remuneration Committee</w:t>
      </w:r>
      <w:r w:rsidR="00D8597D" w:rsidRPr="00F97360">
        <w:rPr>
          <w:rFonts w:ascii="Arial" w:hAnsi="Arial" w:cs="Arial"/>
          <w:sz w:val="20"/>
        </w:rPr>
        <w:t xml:space="preserve"> may</w:t>
      </w:r>
    </w:p>
    <w:p w14:paraId="4C8B2CD2" w14:textId="1E10AAF6" w:rsidR="002120E6" w:rsidRPr="00F97360" w:rsidRDefault="002120E6" w:rsidP="00F97360">
      <w:pPr>
        <w:pStyle w:val="Untitledsubclause2"/>
        <w:numPr>
          <w:ilvl w:val="2"/>
          <w:numId w:val="37"/>
        </w:numPr>
        <w:tabs>
          <w:tab w:val="clear" w:pos="1554"/>
          <w:tab w:val="num" w:pos="1985"/>
        </w:tabs>
        <w:ind w:left="1985"/>
        <w:rPr>
          <w:rFonts w:ascii="Arial" w:hAnsi="Arial" w:cs="Arial"/>
          <w:sz w:val="20"/>
        </w:rPr>
      </w:pPr>
      <w:r w:rsidRPr="00F97360">
        <w:rPr>
          <w:rFonts w:ascii="Arial" w:hAnsi="Arial" w:cs="Arial"/>
          <w:sz w:val="20"/>
        </w:rPr>
        <w:t>grant an Award on the basis that the number of Shares to which it relates will be increased, or</w:t>
      </w:r>
    </w:p>
    <w:p w14:paraId="3AE55BFD" w14:textId="286F2414" w:rsidR="002120E6" w:rsidRPr="00F97360" w:rsidRDefault="002120E6" w:rsidP="00F97360">
      <w:pPr>
        <w:pStyle w:val="Untitledsubclause2"/>
        <w:numPr>
          <w:ilvl w:val="2"/>
          <w:numId w:val="37"/>
        </w:numPr>
        <w:tabs>
          <w:tab w:val="clear" w:pos="1554"/>
          <w:tab w:val="num" w:pos="1985"/>
        </w:tabs>
        <w:ind w:left="1985"/>
        <w:rPr>
          <w:rFonts w:ascii="Arial" w:hAnsi="Arial" w:cs="Arial"/>
          <w:sz w:val="20"/>
        </w:rPr>
      </w:pPr>
      <w:r w:rsidRPr="00F97360">
        <w:rPr>
          <w:rFonts w:ascii="Arial" w:hAnsi="Arial" w:cs="Arial"/>
          <w:sz w:val="20"/>
        </w:rPr>
        <w:t>determine at any time that a</w:t>
      </w:r>
      <w:r w:rsidR="00D7102F" w:rsidRPr="00F97360">
        <w:rPr>
          <w:rFonts w:ascii="Arial" w:hAnsi="Arial" w:cs="Arial"/>
          <w:sz w:val="20"/>
        </w:rPr>
        <w:t xml:space="preserve">n Award Holder </w:t>
      </w:r>
      <w:r w:rsidRPr="00F97360">
        <w:rPr>
          <w:rFonts w:ascii="Arial" w:hAnsi="Arial" w:cs="Arial"/>
          <w:sz w:val="20"/>
        </w:rPr>
        <w:t>will be entitled to a benefit (provided in the form of additional Shares or the cash equivalent)</w:t>
      </w:r>
      <w:r w:rsidR="005C3686" w:rsidRPr="00F97360">
        <w:rPr>
          <w:rFonts w:ascii="Arial" w:hAnsi="Arial" w:cs="Arial"/>
          <w:sz w:val="20"/>
        </w:rPr>
        <w:t xml:space="preserve"> on (or shortly following) the Vesting Date or, in respect of an Option, the Exercise Date</w:t>
      </w:r>
      <w:r w:rsidR="00D92FF3" w:rsidRPr="00F97360">
        <w:rPr>
          <w:rFonts w:ascii="Arial" w:hAnsi="Arial" w:cs="Arial"/>
          <w:sz w:val="20"/>
        </w:rPr>
        <w:t>,</w:t>
      </w:r>
    </w:p>
    <w:p w14:paraId="19AA4667" w14:textId="1CF9C892" w:rsidR="00100A0A" w:rsidRPr="00F97360" w:rsidRDefault="002120E6" w:rsidP="00AA71D4">
      <w:pPr>
        <w:pStyle w:val="Untitledsubclause1"/>
        <w:numPr>
          <w:ilvl w:val="0"/>
          <w:numId w:val="0"/>
        </w:numPr>
        <w:ind w:left="720"/>
        <w:rPr>
          <w:rFonts w:ascii="Arial" w:hAnsi="Arial" w:cs="Arial"/>
          <w:sz w:val="20"/>
        </w:rPr>
      </w:pPr>
      <w:bookmarkStart w:id="139" w:name="_Hlk161653000"/>
      <w:r w:rsidRPr="00F97360">
        <w:rPr>
          <w:rFonts w:ascii="Arial" w:hAnsi="Arial" w:cs="Arial"/>
          <w:sz w:val="20"/>
        </w:rPr>
        <w:t xml:space="preserve">based on the value of some or all of the </w:t>
      </w:r>
      <w:r w:rsidR="00880EFB" w:rsidRPr="00F97360">
        <w:rPr>
          <w:rFonts w:ascii="Arial" w:hAnsi="Arial" w:cs="Arial"/>
          <w:sz w:val="20"/>
        </w:rPr>
        <w:t xml:space="preserve">aggregate </w:t>
      </w:r>
      <w:r w:rsidRPr="00F97360">
        <w:rPr>
          <w:rFonts w:ascii="Arial" w:hAnsi="Arial" w:cs="Arial"/>
          <w:sz w:val="20"/>
        </w:rPr>
        <w:t xml:space="preserve">dividends </w:t>
      </w:r>
      <w:r w:rsidR="00100A0A" w:rsidRPr="00F97360">
        <w:rPr>
          <w:rFonts w:ascii="Arial" w:hAnsi="Arial" w:cs="Arial"/>
          <w:sz w:val="20"/>
        </w:rPr>
        <w:t xml:space="preserve">(calculated on any basis the Remuneration Committee decides) </w:t>
      </w:r>
      <w:r w:rsidR="00F95028" w:rsidRPr="00F97360">
        <w:rPr>
          <w:rFonts w:ascii="Arial" w:hAnsi="Arial" w:cs="Arial"/>
          <w:sz w:val="20"/>
        </w:rPr>
        <w:t xml:space="preserve">paid on a Share in the period </w:t>
      </w:r>
      <w:r w:rsidR="00304C63" w:rsidRPr="00F97360">
        <w:rPr>
          <w:rFonts w:ascii="Arial" w:hAnsi="Arial" w:cs="Arial"/>
          <w:sz w:val="20"/>
        </w:rPr>
        <w:t xml:space="preserve">from the </w:t>
      </w:r>
      <w:r w:rsidR="00100A0A" w:rsidRPr="00F97360">
        <w:rPr>
          <w:rFonts w:ascii="Arial" w:hAnsi="Arial" w:cs="Arial"/>
          <w:sz w:val="20"/>
        </w:rPr>
        <w:t xml:space="preserve">Grant Date </w:t>
      </w:r>
      <w:r w:rsidR="00304C63" w:rsidRPr="00F97360">
        <w:rPr>
          <w:rFonts w:ascii="Arial" w:hAnsi="Arial" w:cs="Arial"/>
          <w:sz w:val="20"/>
        </w:rPr>
        <w:t xml:space="preserve">to </w:t>
      </w:r>
      <w:bookmarkStart w:id="140" w:name="_Ref104564978"/>
      <w:r w:rsidR="00100A0A" w:rsidRPr="00F97360">
        <w:rPr>
          <w:rFonts w:ascii="Arial" w:hAnsi="Arial" w:cs="Arial"/>
          <w:sz w:val="20"/>
        </w:rPr>
        <w:t>the Vesting Date of the relevant Award (or, where the Award is an Option which is subject to a Holding Period, the period between the Grant Date and the earlier of (</w:t>
      </w:r>
      <w:proofErr w:type="spellStart"/>
      <w:r w:rsidR="00100A0A" w:rsidRPr="00F97360">
        <w:rPr>
          <w:rFonts w:ascii="Arial" w:hAnsi="Arial" w:cs="Arial"/>
          <w:sz w:val="20"/>
        </w:rPr>
        <w:t>i</w:t>
      </w:r>
      <w:proofErr w:type="spellEnd"/>
      <w:r w:rsidR="00100A0A" w:rsidRPr="00F97360">
        <w:rPr>
          <w:rFonts w:ascii="Arial" w:hAnsi="Arial" w:cs="Arial"/>
          <w:sz w:val="20"/>
        </w:rPr>
        <w:t>) the Exercise Date or</w:t>
      </w:r>
      <w:bookmarkEnd w:id="140"/>
      <w:r w:rsidR="00100A0A" w:rsidRPr="00F97360">
        <w:rPr>
          <w:rFonts w:ascii="Arial" w:hAnsi="Arial" w:cs="Arial"/>
          <w:sz w:val="20"/>
        </w:rPr>
        <w:t xml:space="preserve"> (ii) the date of the last day of the Holding Period),</w:t>
      </w:r>
      <w:bookmarkEnd w:id="139"/>
      <w:r w:rsidR="00100A0A" w:rsidRPr="00F97360">
        <w:rPr>
          <w:rFonts w:ascii="Arial" w:hAnsi="Arial" w:cs="Arial"/>
          <w:sz w:val="20"/>
        </w:rPr>
        <w:t xml:space="preserve"> multiplied by the number of Shares in respect of which the Award has Vested (or, in respect of an Option, the number of Shares in respect of which it has been exercised).</w:t>
      </w:r>
    </w:p>
    <w:bookmarkStart w:id="141" w:name="_Toc145339774"/>
    <w:bookmarkStart w:id="142" w:name="_Toc131682124"/>
    <w:bookmarkEnd w:id="138"/>
    <w:p w14:paraId="715DCD68" w14:textId="6C1AFE95" w:rsidR="007B4FB5" w:rsidRPr="00F97360" w:rsidRDefault="007B4FB5" w:rsidP="007A42E7">
      <w:pPr>
        <w:pStyle w:val="TitleClause"/>
        <w:rPr>
          <w:rFonts w:ascii="Arial" w:hAnsi="Arial" w:cs="Arial"/>
          <w:sz w:val="20"/>
        </w:rPr>
      </w:pPr>
      <w:r w:rsidRPr="00F97360">
        <w:rPr>
          <w:rFonts w:ascii="Arial" w:hAnsi="Arial" w:cs="Arial"/>
          <w:sz w:val="20"/>
        </w:rPr>
        <w:fldChar w:fldCharType="begin"/>
      </w:r>
      <w:r w:rsidRPr="00F97360">
        <w:rPr>
          <w:rFonts w:ascii="Arial" w:hAnsi="Arial" w:cs="Arial"/>
          <w:sz w:val="20"/>
        </w:rPr>
        <w:instrText>TC "5. Overall grant limits" \l 1</w:instrText>
      </w:r>
      <w:r w:rsidRPr="00F97360">
        <w:rPr>
          <w:rFonts w:ascii="Arial" w:hAnsi="Arial" w:cs="Arial"/>
          <w:sz w:val="20"/>
        </w:rPr>
        <w:fldChar w:fldCharType="end"/>
      </w:r>
      <w:bookmarkStart w:id="143" w:name="a272740"/>
      <w:bookmarkStart w:id="144" w:name="_Toc103273391"/>
      <w:bookmarkStart w:id="145" w:name="_Toc161658059"/>
      <w:r w:rsidRPr="00F97360">
        <w:rPr>
          <w:rFonts w:ascii="Arial" w:hAnsi="Arial" w:cs="Arial"/>
          <w:sz w:val="20"/>
        </w:rPr>
        <w:t>Overall grant limits</w:t>
      </w:r>
      <w:bookmarkEnd w:id="141"/>
      <w:bookmarkEnd w:id="142"/>
      <w:bookmarkEnd w:id="143"/>
      <w:bookmarkEnd w:id="144"/>
      <w:bookmarkEnd w:id="145"/>
    </w:p>
    <w:p w14:paraId="369DF62F" w14:textId="77777777" w:rsidR="007B4FB5" w:rsidRPr="00F97360" w:rsidRDefault="007B4FB5" w:rsidP="00F95028">
      <w:pPr>
        <w:pStyle w:val="Untitledsubclause1"/>
        <w:numPr>
          <w:ilvl w:val="1"/>
          <w:numId w:val="46"/>
        </w:numPr>
        <w:rPr>
          <w:rFonts w:ascii="Arial" w:hAnsi="Arial" w:cs="Arial"/>
          <w:sz w:val="20"/>
        </w:rPr>
      </w:pPr>
      <w:bookmarkStart w:id="146" w:name="a948472"/>
      <w:r w:rsidRPr="00F97360">
        <w:rPr>
          <w:rFonts w:ascii="Arial" w:hAnsi="Arial" w:cs="Arial"/>
          <w:sz w:val="20"/>
        </w:rPr>
        <w:t>The Company may not grant an Award if that grant would result in the total number of Dilutive Shares exceeding 10% of the issued</w:t>
      </w:r>
      <w:r w:rsidR="00F63EEF" w:rsidRPr="00F97360">
        <w:rPr>
          <w:rFonts w:ascii="Arial" w:hAnsi="Arial" w:cs="Arial"/>
          <w:sz w:val="20"/>
        </w:rPr>
        <w:t xml:space="preserve"> ordinary</w:t>
      </w:r>
      <w:r w:rsidRPr="00F97360">
        <w:rPr>
          <w:rFonts w:ascii="Arial" w:hAnsi="Arial" w:cs="Arial"/>
          <w:sz w:val="20"/>
        </w:rPr>
        <w:t xml:space="preserve"> share capital of the Company.</w:t>
      </w:r>
      <w:bookmarkEnd w:id="146"/>
    </w:p>
    <w:p w14:paraId="64FA3606" w14:textId="77777777" w:rsidR="007B4FB5" w:rsidRPr="00F97360" w:rsidRDefault="007B4FB5" w:rsidP="00F95028">
      <w:pPr>
        <w:pStyle w:val="Untitledsubclause1"/>
        <w:numPr>
          <w:ilvl w:val="1"/>
          <w:numId w:val="46"/>
        </w:numPr>
        <w:rPr>
          <w:rFonts w:ascii="Arial" w:hAnsi="Arial" w:cs="Arial"/>
          <w:sz w:val="20"/>
        </w:rPr>
      </w:pPr>
      <w:bookmarkStart w:id="147" w:name="a762844"/>
      <w:r w:rsidRPr="00F97360">
        <w:rPr>
          <w:rFonts w:ascii="Arial" w:hAnsi="Arial" w:cs="Arial"/>
          <w:sz w:val="20"/>
        </w:rPr>
        <w:t xml:space="preserve">The Company may not grant an Award if that grant would result in the total number of Discretionary Dilutive Shares exceeding 5% of the issued </w:t>
      </w:r>
      <w:r w:rsidR="00F63EEF" w:rsidRPr="00F97360">
        <w:rPr>
          <w:rFonts w:ascii="Arial" w:hAnsi="Arial" w:cs="Arial"/>
          <w:sz w:val="20"/>
        </w:rPr>
        <w:t xml:space="preserve">ordinary </w:t>
      </w:r>
      <w:r w:rsidRPr="00F97360">
        <w:rPr>
          <w:rFonts w:ascii="Arial" w:hAnsi="Arial" w:cs="Arial"/>
          <w:sz w:val="20"/>
        </w:rPr>
        <w:t>share capital of the Company.</w:t>
      </w:r>
      <w:bookmarkEnd w:id="147"/>
    </w:p>
    <w:p w14:paraId="56712E34" w14:textId="74D56B68" w:rsidR="007B4FB5" w:rsidRPr="00F97360" w:rsidRDefault="007B4FB5" w:rsidP="007B4FB5">
      <w:pPr>
        <w:pStyle w:val="TitleClause"/>
        <w:rPr>
          <w:rFonts w:ascii="Arial" w:hAnsi="Arial" w:cs="Arial"/>
          <w:sz w:val="20"/>
        </w:rPr>
      </w:pPr>
      <w:r w:rsidRPr="00F97360">
        <w:rPr>
          <w:rFonts w:ascii="Arial" w:hAnsi="Arial" w:cs="Arial"/>
          <w:sz w:val="20"/>
        </w:rPr>
        <w:lastRenderedPageBreak/>
        <w:fldChar w:fldCharType="begin"/>
      </w:r>
      <w:r w:rsidRPr="00F97360">
        <w:rPr>
          <w:rFonts w:ascii="Arial" w:hAnsi="Arial" w:cs="Arial"/>
          <w:sz w:val="20"/>
        </w:rPr>
        <w:instrText>TC "6. Individual grant limits" \l 1</w:instrText>
      </w:r>
      <w:r w:rsidRPr="00F97360">
        <w:rPr>
          <w:rFonts w:ascii="Arial" w:hAnsi="Arial" w:cs="Arial"/>
          <w:sz w:val="20"/>
        </w:rPr>
        <w:fldChar w:fldCharType="end"/>
      </w:r>
      <w:bookmarkStart w:id="148" w:name="_Toc103273392"/>
      <w:bookmarkStart w:id="149" w:name="_Toc145339775"/>
      <w:bookmarkStart w:id="150" w:name="_Toc131682125"/>
      <w:bookmarkStart w:id="151" w:name="_Toc161658060"/>
      <w:r w:rsidRPr="00F97360">
        <w:rPr>
          <w:rFonts w:ascii="Arial" w:hAnsi="Arial" w:cs="Arial"/>
          <w:sz w:val="20"/>
        </w:rPr>
        <w:t>Individual grant</w:t>
      </w:r>
      <w:bookmarkStart w:id="152" w:name="a341102"/>
      <w:bookmarkStart w:id="153" w:name="_Toc105671019"/>
      <w:r w:rsidR="00D8597D" w:rsidRPr="00F97360">
        <w:rPr>
          <w:rFonts w:ascii="Arial" w:hAnsi="Arial" w:cs="Arial"/>
          <w:sz w:val="20"/>
        </w:rPr>
        <w:t xml:space="preserve"> limits</w:t>
      </w:r>
      <w:bookmarkEnd w:id="148"/>
      <w:bookmarkEnd w:id="149"/>
      <w:bookmarkEnd w:id="150"/>
      <w:bookmarkEnd w:id="151"/>
      <w:bookmarkEnd w:id="152"/>
      <w:bookmarkEnd w:id="153"/>
    </w:p>
    <w:p w14:paraId="15D609EE" w14:textId="45A7E959" w:rsidR="007B4FB5" w:rsidRPr="00F97360" w:rsidRDefault="00D8597D" w:rsidP="00F95028">
      <w:pPr>
        <w:pStyle w:val="Untitledsubclause1"/>
        <w:numPr>
          <w:ilvl w:val="1"/>
          <w:numId w:val="46"/>
        </w:numPr>
        <w:rPr>
          <w:rFonts w:ascii="Arial" w:hAnsi="Arial" w:cs="Arial"/>
          <w:sz w:val="20"/>
        </w:rPr>
      </w:pPr>
      <w:bookmarkStart w:id="154" w:name="_Ref101776957"/>
      <w:bookmarkStart w:id="155" w:name="a753629"/>
      <w:r w:rsidRPr="00F97360">
        <w:rPr>
          <w:rFonts w:ascii="Arial" w:hAnsi="Arial" w:cs="Arial"/>
          <w:sz w:val="20"/>
        </w:rPr>
        <w:t>T</w:t>
      </w:r>
      <w:r w:rsidR="007B4FB5" w:rsidRPr="00F97360">
        <w:rPr>
          <w:rFonts w:ascii="Arial" w:hAnsi="Arial" w:cs="Arial"/>
          <w:sz w:val="20"/>
        </w:rPr>
        <w:t xml:space="preserve">he Company may not grant </w:t>
      </w:r>
      <w:r w:rsidR="00D93C59" w:rsidRPr="00F97360">
        <w:rPr>
          <w:rFonts w:ascii="Arial" w:hAnsi="Arial" w:cs="Arial"/>
          <w:sz w:val="20"/>
        </w:rPr>
        <w:t>an Award</w:t>
      </w:r>
      <w:r w:rsidR="00823C3A" w:rsidRPr="00F97360">
        <w:rPr>
          <w:rFonts w:ascii="Arial" w:hAnsi="Arial" w:cs="Arial"/>
          <w:sz w:val="20"/>
        </w:rPr>
        <w:t xml:space="preserve"> </w:t>
      </w:r>
      <w:r w:rsidR="007B4FB5" w:rsidRPr="00F97360">
        <w:rPr>
          <w:rFonts w:ascii="Arial" w:hAnsi="Arial" w:cs="Arial"/>
          <w:sz w:val="20"/>
        </w:rPr>
        <w:t>to any Employee</w:t>
      </w:r>
      <w:bookmarkStart w:id="156" w:name="_Ref101776945"/>
      <w:bookmarkStart w:id="157" w:name="_Ref101776949"/>
      <w:bookmarkEnd w:id="154"/>
      <w:bookmarkEnd w:id="155"/>
      <w:r w:rsidR="00333E53" w:rsidRPr="00F97360">
        <w:rPr>
          <w:rFonts w:ascii="Arial" w:hAnsi="Arial" w:cs="Arial"/>
          <w:sz w:val="20"/>
        </w:rPr>
        <w:t xml:space="preserve"> </w:t>
      </w:r>
      <w:r w:rsidR="00001D8E" w:rsidRPr="00F97360">
        <w:rPr>
          <w:rFonts w:ascii="Arial" w:hAnsi="Arial" w:cs="Arial"/>
          <w:sz w:val="20"/>
        </w:rPr>
        <w:t xml:space="preserve">if that grant would result in the Market Value of Awards made to that Employee in that Year </w:t>
      </w:r>
      <w:r w:rsidR="00FB6487" w:rsidRPr="00F97360">
        <w:rPr>
          <w:rFonts w:ascii="Arial" w:hAnsi="Arial" w:cs="Arial"/>
          <w:sz w:val="20"/>
        </w:rPr>
        <w:t>exceeding</w:t>
      </w:r>
      <w:r w:rsidR="00171CAF" w:rsidRPr="00F97360">
        <w:rPr>
          <w:rFonts w:ascii="Arial" w:hAnsi="Arial" w:cs="Arial"/>
          <w:sz w:val="20"/>
        </w:rPr>
        <w:t xml:space="preserve"> 250% of </w:t>
      </w:r>
      <w:r w:rsidR="004D1436" w:rsidRPr="00F97360">
        <w:rPr>
          <w:rFonts w:ascii="Arial" w:hAnsi="Arial" w:cs="Arial"/>
          <w:sz w:val="20"/>
        </w:rPr>
        <w:t xml:space="preserve">the Employee’s </w:t>
      </w:r>
      <w:r w:rsidR="00171CAF" w:rsidRPr="00F97360">
        <w:rPr>
          <w:rFonts w:ascii="Arial" w:hAnsi="Arial" w:cs="Arial"/>
          <w:sz w:val="20"/>
        </w:rPr>
        <w:t>bas</w:t>
      </w:r>
      <w:r w:rsidR="00A0088D" w:rsidRPr="00F97360">
        <w:rPr>
          <w:rFonts w:ascii="Arial" w:hAnsi="Arial" w:cs="Arial"/>
          <w:sz w:val="20"/>
        </w:rPr>
        <w:t xml:space="preserve">ic annual </w:t>
      </w:r>
      <w:r w:rsidR="00171CAF" w:rsidRPr="00F97360">
        <w:rPr>
          <w:rFonts w:ascii="Arial" w:hAnsi="Arial" w:cs="Arial"/>
          <w:sz w:val="20"/>
        </w:rPr>
        <w:t>salary</w:t>
      </w:r>
      <w:r w:rsidR="00CE35A8" w:rsidRPr="00F97360">
        <w:rPr>
          <w:rFonts w:ascii="Arial" w:hAnsi="Arial" w:cs="Arial"/>
          <w:sz w:val="20"/>
        </w:rPr>
        <w:t xml:space="preserve"> as at the proposed Grant Date</w:t>
      </w:r>
      <w:r w:rsidR="00171CAF" w:rsidRPr="00F97360">
        <w:rPr>
          <w:rFonts w:ascii="Arial" w:hAnsi="Arial" w:cs="Arial"/>
          <w:sz w:val="20"/>
        </w:rPr>
        <w:t xml:space="preserve">. However, unless the Company’s Directors’ Remuneration Policy states otherwise, </w:t>
      </w:r>
      <w:r w:rsidR="00CE35A8" w:rsidRPr="00F97360">
        <w:rPr>
          <w:rFonts w:ascii="Arial" w:hAnsi="Arial" w:cs="Arial"/>
          <w:sz w:val="20"/>
        </w:rPr>
        <w:t>A</w:t>
      </w:r>
      <w:r w:rsidR="00171CAF" w:rsidRPr="00F97360">
        <w:rPr>
          <w:rFonts w:ascii="Arial" w:hAnsi="Arial" w:cs="Arial"/>
          <w:sz w:val="20"/>
        </w:rPr>
        <w:t>wards to Executive Directors are normally expected to be limited to 200% of</w:t>
      </w:r>
      <w:r w:rsidR="00CE35A8" w:rsidRPr="00F97360">
        <w:rPr>
          <w:rFonts w:ascii="Arial" w:hAnsi="Arial" w:cs="Arial"/>
          <w:sz w:val="20"/>
        </w:rPr>
        <w:t xml:space="preserve"> their</w:t>
      </w:r>
      <w:r w:rsidR="00171CAF" w:rsidRPr="00F97360">
        <w:rPr>
          <w:rFonts w:ascii="Arial" w:hAnsi="Arial" w:cs="Arial"/>
          <w:sz w:val="20"/>
        </w:rPr>
        <w:t xml:space="preserve"> bas</w:t>
      </w:r>
      <w:r w:rsidR="00A0088D" w:rsidRPr="00F97360">
        <w:rPr>
          <w:rFonts w:ascii="Arial" w:hAnsi="Arial" w:cs="Arial"/>
          <w:sz w:val="20"/>
        </w:rPr>
        <w:t xml:space="preserve">ic annual </w:t>
      </w:r>
      <w:r w:rsidR="00171CAF" w:rsidRPr="00F97360">
        <w:rPr>
          <w:rFonts w:ascii="Arial" w:hAnsi="Arial" w:cs="Arial"/>
          <w:sz w:val="20"/>
        </w:rPr>
        <w:t>salary other than where the Remuneration Committee determines that exceptional circumstances exist (e.g. to facilitate a buyout award in the event of recruitment).</w:t>
      </w:r>
      <w:bookmarkEnd w:id="156"/>
      <w:bookmarkEnd w:id="157"/>
    </w:p>
    <w:p w14:paraId="56712E36" w14:textId="650D91AA" w:rsidR="007B4FB5" w:rsidRPr="00F97360" w:rsidRDefault="00D8597D" w:rsidP="00BE0CFF">
      <w:pPr>
        <w:pStyle w:val="Parasubclause1"/>
        <w:rPr>
          <w:rFonts w:ascii="Arial" w:hAnsi="Arial" w:cs="Arial"/>
          <w:sz w:val="20"/>
        </w:rPr>
      </w:pPr>
      <w:r w:rsidRPr="00F97360">
        <w:rPr>
          <w:rFonts w:ascii="Arial" w:hAnsi="Arial" w:cs="Arial"/>
          <w:sz w:val="20"/>
        </w:rPr>
        <w:t xml:space="preserve">For the purposes of this </w:t>
      </w:r>
      <w:r w:rsidRPr="00F97360">
        <w:rPr>
          <w:rFonts w:ascii="Arial" w:hAnsi="Arial" w:cs="Arial"/>
          <w:sz w:val="20"/>
        </w:rPr>
        <w:fldChar w:fldCharType="begin"/>
      </w:r>
      <w:r w:rsidRPr="00F97360">
        <w:rPr>
          <w:rFonts w:ascii="Arial" w:hAnsi="Arial" w:cs="Arial"/>
          <w:sz w:val="20"/>
        </w:rPr>
        <w:instrText>PAGEREF a753629\# "'rule '"  \h</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 xml:space="preserve">rule </w:t>
      </w:r>
      <w:r w:rsidRPr="00F97360">
        <w:rPr>
          <w:rFonts w:ascii="Arial" w:hAnsi="Arial" w:cs="Arial"/>
          <w:sz w:val="20"/>
        </w:rPr>
        <w:fldChar w:fldCharType="end"/>
      </w:r>
      <w:r w:rsidRPr="00F97360">
        <w:rPr>
          <w:rFonts w:ascii="Arial" w:hAnsi="Arial" w:cs="Arial"/>
          <w:sz w:val="20"/>
        </w:rPr>
        <w:fldChar w:fldCharType="begin"/>
      </w:r>
      <w:r w:rsidRPr="00F97360">
        <w:rPr>
          <w:rFonts w:ascii="Arial" w:hAnsi="Arial" w:cs="Arial"/>
          <w:sz w:val="20"/>
          <w:highlight w:val="lightGray"/>
        </w:rPr>
        <w:instrText>REF a753629 \h \w</w:instrText>
      </w:r>
      <w:r w:rsidR="0037270F"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highlight w:val="lightGray"/>
        </w:rPr>
        <w:t>7.1</w:t>
      </w:r>
      <w:r w:rsidRPr="00F97360">
        <w:rPr>
          <w:rFonts w:ascii="Arial" w:hAnsi="Arial" w:cs="Arial"/>
          <w:sz w:val="20"/>
        </w:rPr>
        <w:fldChar w:fldCharType="end"/>
      </w:r>
      <w:r w:rsidRPr="00F97360">
        <w:rPr>
          <w:rFonts w:ascii="Arial" w:hAnsi="Arial" w:cs="Arial"/>
          <w:sz w:val="20"/>
        </w:rPr>
        <w:t xml:space="preserve">, </w:t>
      </w:r>
      <w:r w:rsidR="00FF039C" w:rsidRPr="00F97360">
        <w:rPr>
          <w:rFonts w:ascii="Arial" w:hAnsi="Arial" w:cs="Arial"/>
          <w:sz w:val="20"/>
        </w:rPr>
        <w:t xml:space="preserve">the ‘Market Value of </w:t>
      </w:r>
      <w:r w:rsidR="00D67DB9" w:rsidRPr="00F97360">
        <w:rPr>
          <w:rFonts w:ascii="Arial" w:hAnsi="Arial" w:cs="Arial"/>
          <w:sz w:val="20"/>
        </w:rPr>
        <w:t>Award</w:t>
      </w:r>
      <w:r w:rsidR="00D62C51" w:rsidRPr="00F97360">
        <w:rPr>
          <w:rFonts w:ascii="Arial" w:hAnsi="Arial" w:cs="Arial"/>
          <w:sz w:val="20"/>
        </w:rPr>
        <w:t>s</w:t>
      </w:r>
      <w:r w:rsidR="00FF039C" w:rsidRPr="00F97360">
        <w:rPr>
          <w:rFonts w:ascii="Arial" w:hAnsi="Arial" w:cs="Arial"/>
          <w:sz w:val="20"/>
        </w:rPr>
        <w:t xml:space="preserve">’ means the aggregate Market Value of Shares subject to Awards </w:t>
      </w:r>
      <w:r w:rsidRPr="00F97360">
        <w:rPr>
          <w:rFonts w:ascii="Arial" w:hAnsi="Arial" w:cs="Arial"/>
          <w:sz w:val="20"/>
        </w:rPr>
        <w:t xml:space="preserve">measured as at </w:t>
      </w:r>
      <w:r w:rsidR="00FF039C" w:rsidRPr="00F97360">
        <w:rPr>
          <w:rFonts w:ascii="Arial" w:hAnsi="Arial" w:cs="Arial"/>
          <w:sz w:val="20"/>
        </w:rPr>
        <w:t xml:space="preserve">the </w:t>
      </w:r>
      <w:r w:rsidRPr="00F97360">
        <w:rPr>
          <w:rFonts w:ascii="Arial" w:hAnsi="Arial" w:cs="Arial"/>
          <w:sz w:val="20"/>
        </w:rPr>
        <w:t>Grant Date</w:t>
      </w:r>
      <w:r w:rsidR="00FF039C" w:rsidRPr="00F97360">
        <w:rPr>
          <w:rFonts w:ascii="Arial" w:hAnsi="Arial" w:cs="Arial"/>
          <w:sz w:val="20"/>
        </w:rPr>
        <w:t xml:space="preserve"> of the relevant Award</w:t>
      </w:r>
      <w:r w:rsidR="00413971" w:rsidRPr="00F97360">
        <w:rPr>
          <w:rFonts w:ascii="Arial" w:hAnsi="Arial" w:cs="Arial"/>
          <w:sz w:val="20"/>
        </w:rPr>
        <w:t>.</w:t>
      </w:r>
    </w:p>
    <w:p w14:paraId="1897E4F0" w14:textId="77777777" w:rsidR="00FA3FDF" w:rsidRPr="00F97360" w:rsidRDefault="00FA3FDF" w:rsidP="00F95028">
      <w:pPr>
        <w:pStyle w:val="TitleClause"/>
        <w:numPr>
          <w:ilvl w:val="0"/>
          <w:numId w:val="46"/>
        </w:numPr>
        <w:rPr>
          <w:rFonts w:ascii="Arial" w:hAnsi="Arial" w:cs="Arial"/>
          <w:sz w:val="20"/>
        </w:rPr>
      </w:pPr>
      <w:bookmarkStart w:id="158" w:name="_Toc103273393"/>
      <w:bookmarkStart w:id="159" w:name="_Ref131157805"/>
      <w:bookmarkStart w:id="160" w:name="_Toc145339776"/>
      <w:bookmarkStart w:id="161" w:name="_Toc131682126"/>
      <w:bookmarkStart w:id="162" w:name="_Toc161658061"/>
      <w:r w:rsidRPr="00F97360">
        <w:rPr>
          <w:rFonts w:ascii="Arial" w:hAnsi="Arial" w:cs="Arial"/>
          <w:sz w:val="20"/>
        </w:rPr>
        <w:t xml:space="preserve">Purported grant of an Award </w:t>
      </w:r>
      <w:proofErr w:type="gramStart"/>
      <w:r w:rsidRPr="00F97360">
        <w:rPr>
          <w:rFonts w:ascii="Arial" w:hAnsi="Arial" w:cs="Arial"/>
          <w:sz w:val="20"/>
        </w:rPr>
        <w:t>in excess of</w:t>
      </w:r>
      <w:proofErr w:type="gramEnd"/>
      <w:r w:rsidRPr="00F97360">
        <w:rPr>
          <w:rFonts w:ascii="Arial" w:hAnsi="Arial" w:cs="Arial"/>
          <w:sz w:val="20"/>
        </w:rPr>
        <w:t xml:space="preserve"> limits</w:t>
      </w:r>
      <w:bookmarkEnd w:id="158"/>
      <w:bookmarkEnd w:id="159"/>
      <w:bookmarkEnd w:id="160"/>
      <w:bookmarkEnd w:id="161"/>
      <w:bookmarkEnd w:id="162"/>
    </w:p>
    <w:p w14:paraId="1CCAD4BE" w14:textId="38E5544E" w:rsidR="00FA3FDF" w:rsidRPr="00F97360" w:rsidRDefault="00D8597D" w:rsidP="00F95028">
      <w:pPr>
        <w:pStyle w:val="Untitledsubclause1"/>
        <w:numPr>
          <w:ilvl w:val="1"/>
          <w:numId w:val="46"/>
        </w:numPr>
        <w:rPr>
          <w:rFonts w:ascii="Arial" w:hAnsi="Arial" w:cs="Arial"/>
          <w:sz w:val="20"/>
        </w:rPr>
      </w:pPr>
      <w:r w:rsidRPr="00F97360">
        <w:rPr>
          <w:rFonts w:ascii="Arial" w:hAnsi="Arial" w:cs="Arial"/>
          <w:sz w:val="20"/>
        </w:rPr>
        <w:t xml:space="preserve">If </w:t>
      </w:r>
      <w:r w:rsidR="00FA3FDF" w:rsidRPr="00F97360">
        <w:rPr>
          <w:rFonts w:ascii="Arial" w:hAnsi="Arial" w:cs="Arial"/>
          <w:sz w:val="20"/>
        </w:rPr>
        <w:t>an</w:t>
      </w:r>
      <w:r w:rsidR="00AA32FF" w:rsidRPr="00F97360">
        <w:rPr>
          <w:rFonts w:ascii="Arial" w:hAnsi="Arial" w:cs="Arial"/>
          <w:sz w:val="20"/>
        </w:rPr>
        <w:t xml:space="preserve"> Award</w:t>
      </w:r>
      <w:r w:rsidRPr="00F97360">
        <w:rPr>
          <w:rFonts w:ascii="Arial" w:hAnsi="Arial" w:cs="Arial"/>
          <w:sz w:val="20"/>
        </w:rPr>
        <w:t xml:space="preserve"> is purported to be granted in breach of the </w:t>
      </w:r>
      <w:r w:rsidR="00FA3FDF" w:rsidRPr="00F97360">
        <w:rPr>
          <w:rFonts w:ascii="Arial" w:hAnsi="Arial" w:cs="Arial"/>
          <w:sz w:val="20"/>
        </w:rPr>
        <w:t>limit</w:t>
      </w:r>
      <w:r w:rsidR="00B42BC8" w:rsidRPr="00F97360">
        <w:rPr>
          <w:rFonts w:ascii="Arial" w:hAnsi="Arial" w:cs="Arial"/>
          <w:sz w:val="20"/>
        </w:rPr>
        <w:t>(</w:t>
      </w:r>
      <w:r w:rsidR="00FA3FDF" w:rsidRPr="00F97360">
        <w:rPr>
          <w:rFonts w:ascii="Arial" w:hAnsi="Arial" w:cs="Arial"/>
          <w:sz w:val="20"/>
        </w:rPr>
        <w:t>s</w:t>
      </w:r>
      <w:r w:rsidR="00B42BC8" w:rsidRPr="00F97360">
        <w:rPr>
          <w:rFonts w:ascii="Arial" w:hAnsi="Arial" w:cs="Arial"/>
          <w:sz w:val="20"/>
        </w:rPr>
        <w:t>)</w:t>
      </w:r>
      <w:r w:rsidRPr="00F97360">
        <w:rPr>
          <w:rFonts w:ascii="Arial" w:hAnsi="Arial" w:cs="Arial"/>
          <w:sz w:val="20"/>
        </w:rPr>
        <w:t xml:space="preserve"> in</w:t>
      </w:r>
      <w:r w:rsidR="00FA3FDF" w:rsidRPr="00F97360">
        <w:rPr>
          <w:rFonts w:ascii="Arial" w:hAnsi="Arial" w:cs="Arial"/>
          <w:sz w:val="20"/>
        </w:rPr>
        <w:t>:</w:t>
      </w:r>
    </w:p>
    <w:p w14:paraId="2C502F14" w14:textId="2EC98680" w:rsidR="00FA3FDF" w:rsidRPr="00F97360" w:rsidRDefault="00FA3FDF" w:rsidP="00F97360">
      <w:pPr>
        <w:pStyle w:val="Untitledsubclause2"/>
        <w:tabs>
          <w:tab w:val="clear" w:pos="1554"/>
          <w:tab w:val="num" w:pos="1985"/>
        </w:tabs>
        <w:ind w:left="1985"/>
        <w:rPr>
          <w:rFonts w:ascii="Arial" w:hAnsi="Arial" w:cs="Arial"/>
          <w:sz w:val="20"/>
        </w:rPr>
      </w:pPr>
      <w:r w:rsidRPr="00F97360">
        <w:rPr>
          <w:rFonts w:ascii="Arial" w:hAnsi="Arial" w:cs="Arial"/>
          <w:sz w:val="20"/>
        </w:rPr>
        <w:t xml:space="preserve">Rule </w:t>
      </w:r>
      <w:r w:rsidRPr="00F97360">
        <w:rPr>
          <w:rFonts w:ascii="Arial" w:hAnsi="Arial" w:cs="Arial"/>
          <w:sz w:val="20"/>
        </w:rPr>
        <w:fldChar w:fldCharType="begin"/>
      </w:r>
      <w:r w:rsidRPr="00F97360">
        <w:rPr>
          <w:rFonts w:ascii="Arial" w:hAnsi="Arial" w:cs="Arial"/>
          <w:sz w:val="20"/>
        </w:rPr>
        <w:instrText xml:space="preserve"> REF a948472 \r \h </w:instrText>
      </w:r>
      <w:r w:rsidR="0037270F"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6.1</w:t>
      </w:r>
      <w:r w:rsidRPr="00F97360">
        <w:rPr>
          <w:rFonts w:ascii="Arial" w:hAnsi="Arial" w:cs="Arial"/>
          <w:sz w:val="20"/>
        </w:rPr>
        <w:fldChar w:fldCharType="end"/>
      </w:r>
      <w:r w:rsidRPr="00F97360">
        <w:rPr>
          <w:rFonts w:ascii="Arial" w:hAnsi="Arial" w:cs="Arial"/>
          <w:sz w:val="20"/>
        </w:rPr>
        <w:t xml:space="preserve"> and/or Rule </w:t>
      </w:r>
      <w:r w:rsidRPr="00F97360">
        <w:rPr>
          <w:rFonts w:ascii="Arial" w:hAnsi="Arial" w:cs="Arial"/>
          <w:sz w:val="20"/>
        </w:rPr>
        <w:fldChar w:fldCharType="begin"/>
      </w:r>
      <w:r w:rsidRPr="00F97360">
        <w:rPr>
          <w:rFonts w:ascii="Arial" w:hAnsi="Arial" w:cs="Arial"/>
          <w:sz w:val="20"/>
        </w:rPr>
        <w:instrText xml:space="preserve"> REF a762844 \r \h </w:instrText>
      </w:r>
      <w:r w:rsidR="0037270F"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6.2</w:t>
      </w:r>
      <w:r w:rsidRPr="00F97360">
        <w:rPr>
          <w:rFonts w:ascii="Arial" w:hAnsi="Arial" w:cs="Arial"/>
          <w:sz w:val="20"/>
        </w:rPr>
        <w:fldChar w:fldCharType="end"/>
      </w:r>
      <w:r w:rsidRPr="00F97360">
        <w:rPr>
          <w:rFonts w:ascii="Arial" w:hAnsi="Arial" w:cs="Arial"/>
          <w:sz w:val="20"/>
        </w:rPr>
        <w:t>, the</w:t>
      </w:r>
      <w:r w:rsidR="001557CB" w:rsidRPr="00F97360">
        <w:rPr>
          <w:rFonts w:ascii="Arial" w:hAnsi="Arial" w:cs="Arial"/>
          <w:sz w:val="20"/>
        </w:rPr>
        <w:t xml:space="preserve"> Remuneration Committee </w:t>
      </w:r>
      <w:r w:rsidR="00E60F03" w:rsidRPr="00F97360">
        <w:rPr>
          <w:rFonts w:ascii="Arial" w:hAnsi="Arial" w:cs="Arial"/>
          <w:sz w:val="20"/>
        </w:rPr>
        <w:t xml:space="preserve">may </w:t>
      </w:r>
      <w:r w:rsidR="00681226" w:rsidRPr="00F97360">
        <w:rPr>
          <w:rFonts w:ascii="Arial" w:hAnsi="Arial" w:cs="Arial"/>
          <w:sz w:val="20"/>
        </w:rPr>
        <w:t>decide</w:t>
      </w:r>
      <w:r w:rsidR="00E60F03" w:rsidRPr="00F97360">
        <w:rPr>
          <w:rFonts w:ascii="Arial" w:hAnsi="Arial" w:cs="Arial"/>
          <w:sz w:val="20"/>
        </w:rPr>
        <w:t xml:space="preserve"> that</w:t>
      </w:r>
      <w:r w:rsidR="00681226" w:rsidRPr="00F97360">
        <w:rPr>
          <w:rFonts w:ascii="Arial" w:hAnsi="Arial" w:cs="Arial"/>
          <w:sz w:val="20"/>
        </w:rPr>
        <w:t xml:space="preserve"> </w:t>
      </w:r>
      <w:r w:rsidR="001761A2" w:rsidRPr="00F97360">
        <w:rPr>
          <w:rFonts w:ascii="Arial" w:hAnsi="Arial" w:cs="Arial"/>
          <w:sz w:val="20"/>
        </w:rPr>
        <w:t>the</w:t>
      </w:r>
      <w:r w:rsidRPr="00F97360">
        <w:rPr>
          <w:rFonts w:ascii="Arial" w:hAnsi="Arial" w:cs="Arial"/>
          <w:sz w:val="20"/>
        </w:rPr>
        <w:t xml:space="preserve"> number of Shares over which the Award is purported to have been granted will, </w:t>
      </w:r>
      <w:r w:rsidR="00EB55CE" w:rsidRPr="00F97360">
        <w:rPr>
          <w:rFonts w:ascii="Arial" w:hAnsi="Arial" w:cs="Arial"/>
          <w:sz w:val="20"/>
        </w:rPr>
        <w:t xml:space="preserve">together </w:t>
      </w:r>
      <w:r w:rsidRPr="00F97360">
        <w:rPr>
          <w:rFonts w:ascii="Arial" w:hAnsi="Arial" w:cs="Arial"/>
          <w:sz w:val="20"/>
        </w:rPr>
        <w:t xml:space="preserve">with the number of Shares over which all other Awards have been granted on the same Grant Date, be reduced pro rata to the largest lower number that complies with Rule </w:t>
      </w:r>
      <w:r w:rsidRPr="00F97360">
        <w:rPr>
          <w:rFonts w:ascii="Arial" w:hAnsi="Arial" w:cs="Arial"/>
          <w:sz w:val="20"/>
        </w:rPr>
        <w:fldChar w:fldCharType="begin"/>
      </w:r>
      <w:r w:rsidRPr="00F97360">
        <w:rPr>
          <w:rFonts w:ascii="Arial" w:hAnsi="Arial" w:cs="Arial"/>
          <w:sz w:val="20"/>
        </w:rPr>
        <w:instrText xml:space="preserve"> REF a948472 \r \h </w:instrText>
      </w:r>
      <w:r w:rsidR="0037270F"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6.1</w:t>
      </w:r>
      <w:r w:rsidRPr="00F97360">
        <w:rPr>
          <w:rFonts w:ascii="Arial" w:hAnsi="Arial" w:cs="Arial"/>
          <w:sz w:val="20"/>
        </w:rPr>
        <w:fldChar w:fldCharType="end"/>
      </w:r>
      <w:r w:rsidRPr="00F97360">
        <w:rPr>
          <w:rFonts w:ascii="Arial" w:hAnsi="Arial" w:cs="Arial"/>
          <w:sz w:val="20"/>
        </w:rPr>
        <w:t xml:space="preserve"> and/or Rule </w:t>
      </w:r>
      <w:r w:rsidRPr="00F97360">
        <w:rPr>
          <w:rFonts w:ascii="Arial" w:hAnsi="Arial" w:cs="Arial"/>
          <w:sz w:val="20"/>
        </w:rPr>
        <w:fldChar w:fldCharType="begin"/>
      </w:r>
      <w:r w:rsidRPr="00F97360">
        <w:rPr>
          <w:rFonts w:ascii="Arial" w:hAnsi="Arial" w:cs="Arial"/>
          <w:sz w:val="20"/>
        </w:rPr>
        <w:instrText xml:space="preserve"> REF a762844 \r \h </w:instrText>
      </w:r>
      <w:r w:rsidR="0037270F"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6.2</w:t>
      </w:r>
      <w:r w:rsidRPr="00F97360">
        <w:rPr>
          <w:rFonts w:ascii="Arial" w:hAnsi="Arial" w:cs="Arial"/>
          <w:sz w:val="20"/>
        </w:rPr>
        <w:fldChar w:fldCharType="end"/>
      </w:r>
      <w:r w:rsidRPr="00F97360">
        <w:rPr>
          <w:rFonts w:ascii="Arial" w:hAnsi="Arial" w:cs="Arial"/>
          <w:sz w:val="20"/>
        </w:rPr>
        <w:t>, as appropriate. Where this Rule operates, when the number of Shares under the Award has been adjusted accordingly, an Award will take effect from the Grant Date as if it had been granted on the adjusted terms; and</w:t>
      </w:r>
    </w:p>
    <w:p w14:paraId="56712E37" w14:textId="09E1D6B2" w:rsidR="00FA3FDF" w:rsidRPr="00F97360" w:rsidRDefault="00D8597D" w:rsidP="00F97360">
      <w:pPr>
        <w:pStyle w:val="Untitledsubclause2"/>
        <w:tabs>
          <w:tab w:val="clear" w:pos="1554"/>
          <w:tab w:val="num" w:pos="1985"/>
        </w:tabs>
        <w:ind w:left="1985"/>
        <w:rPr>
          <w:rFonts w:ascii="Arial" w:hAnsi="Arial" w:cs="Arial"/>
          <w:sz w:val="20"/>
        </w:rPr>
      </w:pPr>
      <w:r w:rsidRPr="00F97360">
        <w:rPr>
          <w:rFonts w:ascii="Arial" w:hAnsi="Arial" w:cs="Arial"/>
          <w:sz w:val="20"/>
        </w:rPr>
        <w:t xml:space="preserve">Rule </w:t>
      </w:r>
      <w:r w:rsidRPr="00F97360">
        <w:rPr>
          <w:rFonts w:ascii="Arial" w:hAnsi="Arial" w:cs="Arial"/>
          <w:sz w:val="20"/>
        </w:rPr>
        <w:fldChar w:fldCharType="begin"/>
      </w:r>
      <w:r w:rsidRPr="00F97360">
        <w:rPr>
          <w:rFonts w:ascii="Arial" w:hAnsi="Arial" w:cs="Arial"/>
          <w:sz w:val="20"/>
        </w:rPr>
        <w:instrText xml:space="preserve"> REF a753629 \r \h </w:instrText>
      </w:r>
      <w:r w:rsidR="0037270F"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7.1</w:t>
      </w:r>
      <w:r w:rsidRPr="00F97360">
        <w:rPr>
          <w:rFonts w:ascii="Arial" w:hAnsi="Arial" w:cs="Arial"/>
          <w:sz w:val="20"/>
        </w:rPr>
        <w:fldChar w:fldCharType="end"/>
      </w:r>
      <w:r w:rsidRPr="00F97360">
        <w:rPr>
          <w:rFonts w:ascii="Arial" w:hAnsi="Arial" w:cs="Arial"/>
          <w:sz w:val="20"/>
        </w:rPr>
        <w:t xml:space="preserve">, the number of Shares over </w:t>
      </w:r>
      <w:r w:rsidR="004E038C" w:rsidRPr="00F97360">
        <w:rPr>
          <w:rFonts w:ascii="Arial" w:hAnsi="Arial" w:cs="Arial"/>
          <w:sz w:val="20"/>
        </w:rPr>
        <w:t xml:space="preserve">(or in respect of) </w:t>
      </w:r>
      <w:r w:rsidRPr="00F97360">
        <w:rPr>
          <w:rFonts w:ascii="Arial" w:hAnsi="Arial" w:cs="Arial"/>
          <w:sz w:val="20"/>
        </w:rPr>
        <w:t xml:space="preserve">which the </w:t>
      </w:r>
      <w:r w:rsidR="00D67DB9" w:rsidRPr="00F97360">
        <w:rPr>
          <w:rFonts w:ascii="Arial" w:hAnsi="Arial" w:cs="Arial"/>
          <w:sz w:val="20"/>
        </w:rPr>
        <w:t>Award</w:t>
      </w:r>
      <w:r w:rsidRPr="00F97360">
        <w:rPr>
          <w:rFonts w:ascii="Arial" w:hAnsi="Arial" w:cs="Arial"/>
          <w:sz w:val="20"/>
        </w:rPr>
        <w:t xml:space="preserve"> is purported to have been granted will be reduced to the largest number that would comply with Rule </w:t>
      </w:r>
      <w:r w:rsidRPr="00F97360">
        <w:rPr>
          <w:rFonts w:ascii="Arial" w:hAnsi="Arial" w:cs="Arial"/>
          <w:sz w:val="20"/>
        </w:rPr>
        <w:fldChar w:fldCharType="begin"/>
      </w:r>
      <w:r w:rsidRPr="00F97360">
        <w:rPr>
          <w:rFonts w:ascii="Arial" w:hAnsi="Arial" w:cs="Arial"/>
          <w:sz w:val="20"/>
        </w:rPr>
        <w:instrText xml:space="preserve"> REF a753629 \r \h </w:instrText>
      </w:r>
      <w:r w:rsidR="0037270F"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7.1</w:t>
      </w:r>
      <w:r w:rsidRPr="00F97360">
        <w:rPr>
          <w:rFonts w:ascii="Arial" w:hAnsi="Arial" w:cs="Arial"/>
          <w:sz w:val="20"/>
        </w:rPr>
        <w:fldChar w:fldCharType="end"/>
      </w:r>
      <w:r w:rsidR="00B42BC8" w:rsidRPr="00F97360">
        <w:rPr>
          <w:rFonts w:ascii="Arial" w:hAnsi="Arial" w:cs="Arial"/>
          <w:sz w:val="20"/>
        </w:rPr>
        <w:t xml:space="preserve"> </w:t>
      </w:r>
      <w:r w:rsidRPr="00F97360">
        <w:rPr>
          <w:rFonts w:ascii="Arial" w:hAnsi="Arial" w:cs="Arial"/>
          <w:sz w:val="20"/>
        </w:rPr>
        <w:t xml:space="preserve">and the </w:t>
      </w:r>
      <w:r w:rsidR="00D67DB9" w:rsidRPr="00F97360">
        <w:rPr>
          <w:rFonts w:ascii="Arial" w:hAnsi="Arial" w:cs="Arial"/>
          <w:sz w:val="20"/>
        </w:rPr>
        <w:t>Award</w:t>
      </w:r>
      <w:r w:rsidRPr="00F97360">
        <w:rPr>
          <w:rFonts w:ascii="Arial" w:hAnsi="Arial" w:cs="Arial"/>
          <w:sz w:val="20"/>
        </w:rPr>
        <w:t xml:space="preserve"> will take effect from the Grant Date as if it had been granted over </w:t>
      </w:r>
      <w:r w:rsidR="00FA3FDF" w:rsidRPr="00F97360">
        <w:rPr>
          <w:rFonts w:ascii="Arial" w:hAnsi="Arial" w:cs="Arial"/>
          <w:sz w:val="20"/>
        </w:rPr>
        <w:t>the</w:t>
      </w:r>
      <w:r w:rsidR="00A31422" w:rsidRPr="00F97360">
        <w:rPr>
          <w:rFonts w:ascii="Arial" w:hAnsi="Arial" w:cs="Arial"/>
          <w:sz w:val="20"/>
        </w:rPr>
        <w:t xml:space="preserve"> </w:t>
      </w:r>
      <w:r w:rsidRPr="00F97360">
        <w:rPr>
          <w:rFonts w:ascii="Arial" w:hAnsi="Arial" w:cs="Arial"/>
          <w:sz w:val="20"/>
        </w:rPr>
        <w:t>lower number of Shares at the outset.</w:t>
      </w:r>
    </w:p>
    <w:bookmarkStart w:id="163" w:name="a550683"/>
    <w:p w14:paraId="665376EB" w14:textId="4593D8FA" w:rsidR="007B4FB5" w:rsidRPr="00F97360" w:rsidRDefault="007B4FB5" w:rsidP="00F95028">
      <w:pPr>
        <w:pStyle w:val="TitleClause"/>
        <w:numPr>
          <w:ilvl w:val="0"/>
          <w:numId w:val="46"/>
        </w:numPr>
        <w:rPr>
          <w:rFonts w:ascii="Arial" w:hAnsi="Arial" w:cs="Arial"/>
          <w:sz w:val="20"/>
        </w:rPr>
      </w:pPr>
      <w:r w:rsidRPr="00F97360">
        <w:rPr>
          <w:rFonts w:ascii="Arial" w:hAnsi="Arial" w:cs="Arial"/>
          <w:sz w:val="20"/>
        </w:rPr>
        <w:fldChar w:fldCharType="begin"/>
      </w:r>
      <w:r w:rsidRPr="00F97360">
        <w:rPr>
          <w:rFonts w:ascii="Arial" w:hAnsi="Arial" w:cs="Arial"/>
          <w:sz w:val="20"/>
        </w:rPr>
        <w:instrText>TC "8. Release Date" \l 1</w:instrText>
      </w:r>
      <w:r w:rsidRPr="00F97360">
        <w:rPr>
          <w:rFonts w:ascii="Arial" w:hAnsi="Arial" w:cs="Arial"/>
          <w:sz w:val="20"/>
        </w:rPr>
        <w:fldChar w:fldCharType="end"/>
      </w:r>
      <w:bookmarkStart w:id="164" w:name="a497277"/>
      <w:bookmarkStart w:id="165" w:name="_Toc103273395"/>
      <w:bookmarkStart w:id="166" w:name="_Toc145339778"/>
      <w:bookmarkStart w:id="167" w:name="_Toc131682128"/>
      <w:bookmarkStart w:id="168" w:name="_Toc161658062"/>
      <w:r w:rsidR="008D619B" w:rsidRPr="00F97360">
        <w:rPr>
          <w:rFonts w:ascii="Arial" w:hAnsi="Arial" w:cs="Arial"/>
          <w:sz w:val="20"/>
        </w:rPr>
        <w:t>Vesting</w:t>
      </w:r>
      <w:r w:rsidRPr="00F97360">
        <w:rPr>
          <w:rFonts w:ascii="Arial" w:hAnsi="Arial" w:cs="Arial"/>
          <w:sz w:val="20"/>
        </w:rPr>
        <w:t xml:space="preserve"> Date</w:t>
      </w:r>
      <w:bookmarkEnd w:id="164"/>
      <w:bookmarkEnd w:id="165"/>
      <w:bookmarkEnd w:id="166"/>
      <w:bookmarkEnd w:id="167"/>
      <w:bookmarkEnd w:id="168"/>
    </w:p>
    <w:p w14:paraId="56712E41" w14:textId="0B3D84AA" w:rsidR="007B4FB5" w:rsidRPr="00F97360" w:rsidRDefault="00D92A8E" w:rsidP="00ED482F">
      <w:pPr>
        <w:pStyle w:val="Untitledsubclause1"/>
        <w:rPr>
          <w:rFonts w:ascii="Arial" w:hAnsi="Arial" w:cs="Arial"/>
          <w:sz w:val="20"/>
        </w:rPr>
      </w:pPr>
      <w:bookmarkStart w:id="169" w:name="_Hlk79406329"/>
      <w:r w:rsidRPr="00F97360">
        <w:rPr>
          <w:rFonts w:ascii="Arial" w:hAnsi="Arial" w:cs="Arial"/>
          <w:sz w:val="20"/>
        </w:rPr>
        <w:t>T</w:t>
      </w:r>
      <w:r w:rsidR="008600FE" w:rsidRPr="00F97360">
        <w:rPr>
          <w:rFonts w:ascii="Arial" w:hAnsi="Arial" w:cs="Arial"/>
          <w:sz w:val="20"/>
        </w:rPr>
        <w:t xml:space="preserve">he </w:t>
      </w:r>
      <w:r w:rsidR="00B00B6F" w:rsidRPr="00F97360">
        <w:rPr>
          <w:rFonts w:ascii="Arial" w:hAnsi="Arial" w:cs="Arial"/>
          <w:sz w:val="20"/>
        </w:rPr>
        <w:t>Remuneration Committee</w:t>
      </w:r>
      <w:r w:rsidR="008600FE" w:rsidRPr="00F97360">
        <w:rPr>
          <w:rFonts w:ascii="Arial" w:hAnsi="Arial" w:cs="Arial"/>
          <w:sz w:val="20"/>
        </w:rPr>
        <w:t xml:space="preserve"> will determine </w:t>
      </w:r>
      <w:r w:rsidR="00001B4F" w:rsidRPr="00F97360">
        <w:rPr>
          <w:rFonts w:ascii="Arial" w:hAnsi="Arial" w:cs="Arial"/>
          <w:sz w:val="20"/>
        </w:rPr>
        <w:t xml:space="preserve">the extent </w:t>
      </w:r>
      <w:r w:rsidR="008600FE" w:rsidRPr="00F97360">
        <w:rPr>
          <w:rFonts w:ascii="Arial" w:hAnsi="Arial" w:cs="Arial"/>
          <w:sz w:val="20"/>
        </w:rPr>
        <w:t xml:space="preserve">to which </w:t>
      </w:r>
      <w:r w:rsidRPr="00F97360">
        <w:rPr>
          <w:rFonts w:ascii="Arial" w:hAnsi="Arial" w:cs="Arial"/>
          <w:sz w:val="20"/>
        </w:rPr>
        <w:t>any</w:t>
      </w:r>
      <w:r w:rsidR="008600FE" w:rsidRPr="00F97360">
        <w:rPr>
          <w:rFonts w:ascii="Arial" w:hAnsi="Arial" w:cs="Arial"/>
          <w:sz w:val="20"/>
        </w:rPr>
        <w:t xml:space="preserve"> relevant </w:t>
      </w:r>
      <w:r w:rsidR="00DE7DFE" w:rsidRPr="00F97360">
        <w:rPr>
          <w:rFonts w:ascii="Arial" w:hAnsi="Arial" w:cs="Arial"/>
          <w:sz w:val="20"/>
        </w:rPr>
        <w:t xml:space="preserve">Performance </w:t>
      </w:r>
      <w:r w:rsidR="008600FE" w:rsidRPr="00F97360">
        <w:rPr>
          <w:rFonts w:ascii="Arial" w:hAnsi="Arial" w:cs="Arial"/>
          <w:sz w:val="20"/>
        </w:rPr>
        <w:t>Condition(s</w:t>
      </w:r>
      <w:r w:rsidR="00D8597D" w:rsidRPr="00F97360">
        <w:rPr>
          <w:rFonts w:ascii="Arial" w:hAnsi="Arial" w:cs="Arial"/>
          <w:sz w:val="20"/>
        </w:rPr>
        <w:t xml:space="preserve">) </w:t>
      </w:r>
      <w:r w:rsidR="00001B4F" w:rsidRPr="00F97360">
        <w:rPr>
          <w:rFonts w:ascii="Arial" w:hAnsi="Arial" w:cs="Arial"/>
          <w:sz w:val="20"/>
        </w:rPr>
        <w:t>ha</w:t>
      </w:r>
      <w:r w:rsidR="0032792C" w:rsidRPr="00F97360">
        <w:rPr>
          <w:rFonts w:ascii="Arial" w:hAnsi="Arial" w:cs="Arial"/>
          <w:sz w:val="20"/>
        </w:rPr>
        <w:t>s/have</w:t>
      </w:r>
      <w:r w:rsidR="00001B4F" w:rsidRPr="00F97360">
        <w:rPr>
          <w:rFonts w:ascii="Arial" w:hAnsi="Arial" w:cs="Arial"/>
          <w:sz w:val="20"/>
        </w:rPr>
        <w:t xml:space="preserve"> been </w:t>
      </w:r>
      <w:r w:rsidR="00D8597D" w:rsidRPr="00F97360">
        <w:rPr>
          <w:rFonts w:ascii="Arial" w:hAnsi="Arial" w:cs="Arial"/>
          <w:sz w:val="20"/>
        </w:rPr>
        <w:t>satisfied</w:t>
      </w:r>
      <w:r w:rsidR="008600FE" w:rsidRPr="00F97360">
        <w:rPr>
          <w:rFonts w:ascii="Arial" w:hAnsi="Arial" w:cs="Arial"/>
          <w:sz w:val="20"/>
        </w:rPr>
        <w:t xml:space="preserve"> </w:t>
      </w:r>
      <w:r w:rsidR="001B21E5" w:rsidRPr="00F97360">
        <w:rPr>
          <w:rFonts w:ascii="Arial" w:hAnsi="Arial" w:cs="Arial"/>
          <w:sz w:val="20"/>
        </w:rPr>
        <w:t>a</w:t>
      </w:r>
      <w:r w:rsidR="007B4FB5" w:rsidRPr="00F97360">
        <w:rPr>
          <w:rFonts w:ascii="Arial" w:hAnsi="Arial" w:cs="Arial"/>
          <w:sz w:val="20"/>
        </w:rPr>
        <w:t xml:space="preserve">s soon as reasonably practicable after the end of the </w:t>
      </w:r>
      <w:r w:rsidR="008600FE" w:rsidRPr="00F97360">
        <w:rPr>
          <w:rFonts w:ascii="Arial" w:hAnsi="Arial" w:cs="Arial"/>
          <w:sz w:val="20"/>
        </w:rPr>
        <w:t xml:space="preserve">relevant </w:t>
      </w:r>
      <w:r w:rsidR="007B4FB5" w:rsidRPr="00F97360">
        <w:rPr>
          <w:rFonts w:ascii="Arial" w:hAnsi="Arial" w:cs="Arial"/>
          <w:sz w:val="20"/>
        </w:rPr>
        <w:t>Performance Period</w:t>
      </w:r>
      <w:bookmarkStart w:id="170" w:name="_Hlk161651170"/>
      <w:r w:rsidR="007B4FB5" w:rsidRPr="00F97360">
        <w:rPr>
          <w:rFonts w:ascii="Arial" w:hAnsi="Arial" w:cs="Arial"/>
          <w:sz w:val="20"/>
        </w:rPr>
        <w:t>.</w:t>
      </w:r>
      <w:bookmarkEnd w:id="169"/>
      <w:r w:rsidR="00903D3C" w:rsidRPr="00F97360">
        <w:rPr>
          <w:rFonts w:ascii="Arial" w:hAnsi="Arial" w:cs="Arial"/>
          <w:sz w:val="20"/>
        </w:rPr>
        <w:t xml:space="preserve"> S</w:t>
      </w:r>
      <w:r w:rsidR="007B4FB5" w:rsidRPr="00F97360">
        <w:rPr>
          <w:rFonts w:ascii="Arial" w:hAnsi="Arial" w:cs="Arial"/>
          <w:sz w:val="20"/>
        </w:rPr>
        <w:t xml:space="preserve">ubject to </w:t>
      </w:r>
      <w:r w:rsidR="000E3F75" w:rsidRPr="00F97360">
        <w:rPr>
          <w:rFonts w:ascii="Arial" w:hAnsi="Arial" w:cs="Arial"/>
          <w:sz w:val="20"/>
        </w:rPr>
        <w:t>rule</w:t>
      </w:r>
      <w:r w:rsidR="001F3D47" w:rsidRPr="00F97360">
        <w:rPr>
          <w:rFonts w:ascii="Arial" w:hAnsi="Arial" w:cs="Arial"/>
          <w:sz w:val="20"/>
        </w:rPr>
        <w:t>s</w:t>
      </w:r>
      <w:r w:rsidR="000E3F75" w:rsidRPr="00F97360">
        <w:rPr>
          <w:rFonts w:ascii="Arial" w:hAnsi="Arial" w:cs="Arial"/>
          <w:sz w:val="20"/>
        </w:rPr>
        <w:t xml:space="preserve"> </w:t>
      </w:r>
      <w:r w:rsidR="001B21E5" w:rsidRPr="00F97360">
        <w:rPr>
          <w:rFonts w:ascii="Arial" w:hAnsi="Arial" w:cs="Arial"/>
          <w:sz w:val="20"/>
        </w:rPr>
        <w:fldChar w:fldCharType="begin"/>
      </w:r>
      <w:r w:rsidR="001B21E5" w:rsidRPr="00F97360">
        <w:rPr>
          <w:rFonts w:ascii="Arial" w:hAnsi="Arial" w:cs="Arial"/>
          <w:sz w:val="20"/>
        </w:rPr>
        <w:instrText xml:space="preserve"> REF _Ref90286380 \r \h </w:instrText>
      </w:r>
      <w:r w:rsidR="00F82DFE" w:rsidRPr="00F97360">
        <w:rPr>
          <w:rFonts w:ascii="Arial" w:hAnsi="Arial" w:cs="Arial"/>
          <w:sz w:val="20"/>
        </w:rPr>
        <w:instrText xml:space="preserve"> \* MERGEFORMAT </w:instrText>
      </w:r>
      <w:r w:rsidR="001B21E5" w:rsidRPr="00F97360">
        <w:rPr>
          <w:rFonts w:ascii="Arial" w:hAnsi="Arial" w:cs="Arial"/>
          <w:sz w:val="20"/>
        </w:rPr>
      </w:r>
      <w:r w:rsidR="001B21E5" w:rsidRPr="00F97360">
        <w:rPr>
          <w:rFonts w:ascii="Arial" w:hAnsi="Arial" w:cs="Arial"/>
          <w:sz w:val="20"/>
        </w:rPr>
        <w:fldChar w:fldCharType="separate"/>
      </w:r>
      <w:r w:rsidR="00710210" w:rsidRPr="00F97360">
        <w:rPr>
          <w:rFonts w:ascii="Arial" w:hAnsi="Arial" w:cs="Arial"/>
          <w:sz w:val="20"/>
        </w:rPr>
        <w:t>2.5</w:t>
      </w:r>
      <w:r w:rsidR="001B21E5" w:rsidRPr="00F97360">
        <w:rPr>
          <w:rFonts w:ascii="Arial" w:hAnsi="Arial" w:cs="Arial"/>
          <w:sz w:val="20"/>
        </w:rPr>
        <w:fldChar w:fldCharType="end"/>
      </w:r>
      <w:r w:rsidR="001F3D47" w:rsidRPr="00F97360">
        <w:rPr>
          <w:rFonts w:ascii="Arial" w:hAnsi="Arial" w:cs="Arial"/>
          <w:sz w:val="20"/>
        </w:rPr>
        <w:t>,</w:t>
      </w:r>
      <w:r w:rsidR="001F249E" w:rsidRPr="00F97360">
        <w:rPr>
          <w:rFonts w:ascii="Arial" w:hAnsi="Arial" w:cs="Arial"/>
          <w:sz w:val="20"/>
        </w:rPr>
        <w:t xml:space="preserve"> </w:t>
      </w:r>
      <w:r w:rsidR="001B14FE" w:rsidRPr="00F97360">
        <w:rPr>
          <w:rFonts w:ascii="Arial" w:hAnsi="Arial" w:cs="Arial"/>
          <w:sz w:val="20"/>
        </w:rPr>
        <w:fldChar w:fldCharType="begin"/>
      </w:r>
      <w:r w:rsidR="001B14FE" w:rsidRPr="00F97360">
        <w:rPr>
          <w:rFonts w:ascii="Arial" w:hAnsi="Arial" w:cs="Arial"/>
          <w:sz w:val="20"/>
        </w:rPr>
        <w:instrText xml:space="preserve"> REF _Ref145339765 \r \h </w:instrText>
      </w:r>
      <w:r w:rsidR="004C1A6B" w:rsidRPr="00F97360">
        <w:rPr>
          <w:rFonts w:ascii="Arial" w:hAnsi="Arial" w:cs="Arial"/>
          <w:sz w:val="20"/>
        </w:rPr>
        <w:instrText xml:space="preserve"> \* MERGEFORMAT </w:instrText>
      </w:r>
      <w:r w:rsidR="001B14FE" w:rsidRPr="00F97360">
        <w:rPr>
          <w:rFonts w:ascii="Arial" w:hAnsi="Arial" w:cs="Arial"/>
          <w:sz w:val="20"/>
        </w:rPr>
      </w:r>
      <w:r w:rsidR="001B14FE" w:rsidRPr="00F97360">
        <w:rPr>
          <w:rFonts w:ascii="Arial" w:hAnsi="Arial" w:cs="Arial"/>
          <w:sz w:val="20"/>
        </w:rPr>
        <w:fldChar w:fldCharType="separate"/>
      </w:r>
      <w:r w:rsidR="00710210" w:rsidRPr="00F97360">
        <w:rPr>
          <w:rFonts w:ascii="Arial" w:hAnsi="Arial" w:cs="Arial"/>
          <w:sz w:val="20"/>
        </w:rPr>
        <w:t>9.2</w:t>
      </w:r>
      <w:r w:rsidR="001B14FE" w:rsidRPr="00F97360">
        <w:rPr>
          <w:rFonts w:ascii="Arial" w:hAnsi="Arial" w:cs="Arial"/>
          <w:sz w:val="20"/>
        </w:rPr>
        <w:fldChar w:fldCharType="end"/>
      </w:r>
      <w:r w:rsidR="00ED482F" w:rsidRPr="00F97360">
        <w:rPr>
          <w:rFonts w:ascii="Arial" w:hAnsi="Arial" w:cs="Arial"/>
          <w:sz w:val="20"/>
        </w:rPr>
        <w:t>,</w:t>
      </w:r>
      <w:r w:rsidR="00682902" w:rsidRPr="00F97360">
        <w:rPr>
          <w:rFonts w:ascii="Arial" w:hAnsi="Arial" w:cs="Arial"/>
          <w:sz w:val="20"/>
        </w:rPr>
        <w:t xml:space="preserve"> </w:t>
      </w:r>
      <w:r w:rsidR="007B4FB5" w:rsidRPr="00F97360">
        <w:rPr>
          <w:rFonts w:ascii="Arial" w:hAnsi="Arial" w:cs="Arial"/>
          <w:sz w:val="20"/>
        </w:rPr>
        <w:fldChar w:fldCharType="begin"/>
      </w:r>
      <w:r w:rsidR="007B4FB5" w:rsidRPr="00F97360">
        <w:rPr>
          <w:rFonts w:ascii="Arial" w:hAnsi="Arial" w:cs="Arial"/>
          <w:sz w:val="20"/>
        </w:rPr>
        <w:instrText>REF a791230 \h \w</w:instrText>
      </w:r>
      <w:r w:rsidR="0037270F" w:rsidRPr="00F97360">
        <w:rPr>
          <w:rFonts w:ascii="Arial" w:hAnsi="Arial" w:cs="Arial"/>
          <w:sz w:val="20"/>
        </w:rPr>
        <w:instrText xml:space="preserve"> \* MERGEFORMAT </w:instrText>
      </w:r>
      <w:r w:rsidR="007B4FB5" w:rsidRPr="00F97360">
        <w:rPr>
          <w:rFonts w:ascii="Arial" w:hAnsi="Arial" w:cs="Arial"/>
          <w:sz w:val="20"/>
        </w:rPr>
      </w:r>
      <w:r w:rsidR="007B4FB5" w:rsidRPr="00F97360">
        <w:rPr>
          <w:rFonts w:ascii="Arial" w:hAnsi="Arial" w:cs="Arial"/>
          <w:sz w:val="20"/>
        </w:rPr>
        <w:fldChar w:fldCharType="separate"/>
      </w:r>
      <w:r w:rsidR="00710210" w:rsidRPr="00F97360">
        <w:rPr>
          <w:rFonts w:ascii="Arial" w:hAnsi="Arial" w:cs="Arial"/>
          <w:sz w:val="20"/>
        </w:rPr>
        <w:t>10.1</w:t>
      </w:r>
      <w:r w:rsidR="007B4FB5" w:rsidRPr="00F97360">
        <w:rPr>
          <w:rFonts w:ascii="Arial" w:hAnsi="Arial" w:cs="Arial"/>
          <w:sz w:val="20"/>
        </w:rPr>
        <w:fldChar w:fldCharType="end"/>
      </w:r>
      <w:r w:rsidR="00D224DA" w:rsidRPr="00F97360">
        <w:rPr>
          <w:rFonts w:ascii="Arial" w:hAnsi="Arial" w:cs="Arial"/>
          <w:sz w:val="20"/>
        </w:rPr>
        <w:t>,</w:t>
      </w:r>
      <w:r w:rsidR="001F249E" w:rsidRPr="00F97360">
        <w:rPr>
          <w:rFonts w:ascii="Arial" w:hAnsi="Arial" w:cs="Arial"/>
          <w:sz w:val="20"/>
        </w:rPr>
        <w:t xml:space="preserve"> </w:t>
      </w:r>
      <w:r w:rsidR="0025727D" w:rsidRPr="00F97360">
        <w:rPr>
          <w:rFonts w:ascii="Arial" w:hAnsi="Arial" w:cs="Arial"/>
          <w:sz w:val="20"/>
        </w:rPr>
        <w:fldChar w:fldCharType="begin"/>
      </w:r>
      <w:r w:rsidR="0025727D" w:rsidRPr="00F97360">
        <w:rPr>
          <w:rFonts w:ascii="Arial" w:hAnsi="Arial" w:cs="Arial"/>
          <w:sz w:val="20"/>
        </w:rPr>
        <w:instrText xml:space="preserve"> REF a489265 \r \h </w:instrText>
      </w:r>
      <w:r w:rsidR="00ED482F" w:rsidRPr="00F97360">
        <w:rPr>
          <w:rFonts w:ascii="Arial" w:hAnsi="Arial" w:cs="Arial"/>
          <w:sz w:val="20"/>
        </w:rPr>
        <w:instrText xml:space="preserve"> \* MERGEFORMAT </w:instrText>
      </w:r>
      <w:r w:rsidR="0025727D" w:rsidRPr="00F97360">
        <w:rPr>
          <w:rFonts w:ascii="Arial" w:hAnsi="Arial" w:cs="Arial"/>
          <w:sz w:val="20"/>
        </w:rPr>
      </w:r>
      <w:r w:rsidR="0025727D" w:rsidRPr="00F97360">
        <w:rPr>
          <w:rFonts w:ascii="Arial" w:hAnsi="Arial" w:cs="Arial"/>
          <w:sz w:val="20"/>
        </w:rPr>
        <w:fldChar w:fldCharType="separate"/>
      </w:r>
      <w:r w:rsidR="00710210" w:rsidRPr="00F97360">
        <w:rPr>
          <w:rFonts w:ascii="Arial" w:hAnsi="Arial" w:cs="Arial"/>
          <w:sz w:val="20"/>
        </w:rPr>
        <w:t>12.2</w:t>
      </w:r>
      <w:r w:rsidR="0025727D" w:rsidRPr="00F97360">
        <w:rPr>
          <w:rFonts w:ascii="Arial" w:hAnsi="Arial" w:cs="Arial"/>
          <w:sz w:val="20"/>
        </w:rPr>
        <w:fldChar w:fldCharType="end"/>
      </w:r>
      <w:r w:rsidR="00D224DA" w:rsidRPr="00F97360">
        <w:rPr>
          <w:rFonts w:ascii="Arial" w:hAnsi="Arial" w:cs="Arial"/>
          <w:sz w:val="20"/>
        </w:rPr>
        <w:t xml:space="preserve"> and</w:t>
      </w:r>
      <w:r w:rsidR="00016938" w:rsidRPr="00F97360">
        <w:rPr>
          <w:rFonts w:ascii="Arial" w:hAnsi="Arial" w:cs="Arial"/>
          <w:sz w:val="20"/>
        </w:rPr>
        <w:t xml:space="preserve"> </w:t>
      </w:r>
      <w:r w:rsidR="00D224DA" w:rsidRPr="00F97360">
        <w:rPr>
          <w:rFonts w:ascii="Arial" w:hAnsi="Arial" w:cs="Arial"/>
          <w:sz w:val="20"/>
        </w:rPr>
        <w:fldChar w:fldCharType="begin"/>
      </w:r>
      <w:r w:rsidR="00D224DA" w:rsidRPr="00F97360">
        <w:rPr>
          <w:rFonts w:ascii="Arial" w:hAnsi="Arial" w:cs="Arial"/>
          <w:sz w:val="20"/>
        </w:rPr>
        <w:instrText xml:space="preserve"> REF a283933 \r \h </w:instrText>
      </w:r>
      <w:r w:rsidR="00ED482F" w:rsidRPr="00F97360">
        <w:rPr>
          <w:rFonts w:ascii="Arial" w:hAnsi="Arial" w:cs="Arial"/>
          <w:sz w:val="20"/>
        </w:rPr>
        <w:instrText xml:space="preserve"> \* MERGEFORMAT </w:instrText>
      </w:r>
      <w:r w:rsidR="00D224DA" w:rsidRPr="00F97360">
        <w:rPr>
          <w:rFonts w:ascii="Arial" w:hAnsi="Arial" w:cs="Arial"/>
          <w:sz w:val="20"/>
        </w:rPr>
      </w:r>
      <w:r w:rsidR="00D224DA" w:rsidRPr="00F97360">
        <w:rPr>
          <w:rFonts w:ascii="Arial" w:hAnsi="Arial" w:cs="Arial"/>
          <w:sz w:val="20"/>
        </w:rPr>
        <w:fldChar w:fldCharType="separate"/>
      </w:r>
      <w:r w:rsidR="00710210" w:rsidRPr="00F97360">
        <w:rPr>
          <w:rFonts w:ascii="Arial" w:hAnsi="Arial" w:cs="Arial"/>
          <w:sz w:val="20"/>
        </w:rPr>
        <w:t>16</w:t>
      </w:r>
      <w:r w:rsidR="00D224DA" w:rsidRPr="00F97360">
        <w:rPr>
          <w:rFonts w:ascii="Arial" w:hAnsi="Arial" w:cs="Arial"/>
          <w:sz w:val="20"/>
        </w:rPr>
        <w:fldChar w:fldCharType="end"/>
      </w:r>
      <w:r w:rsidR="00D224DA" w:rsidRPr="00F97360">
        <w:rPr>
          <w:rFonts w:ascii="Arial" w:hAnsi="Arial" w:cs="Arial"/>
          <w:sz w:val="20"/>
        </w:rPr>
        <w:t xml:space="preserve"> </w:t>
      </w:r>
      <w:r w:rsidR="00016938" w:rsidRPr="00F97360">
        <w:rPr>
          <w:rFonts w:ascii="Arial" w:hAnsi="Arial" w:cs="Arial"/>
          <w:sz w:val="20"/>
        </w:rPr>
        <w:t xml:space="preserve">and </w:t>
      </w:r>
      <w:r w:rsidR="00223AA2" w:rsidRPr="00F97360">
        <w:rPr>
          <w:rFonts w:ascii="Arial" w:hAnsi="Arial" w:cs="Arial"/>
          <w:sz w:val="20"/>
        </w:rPr>
        <w:t>to the extent</w:t>
      </w:r>
      <w:r w:rsidR="00016938" w:rsidRPr="00F97360">
        <w:rPr>
          <w:rFonts w:ascii="Arial" w:hAnsi="Arial" w:cs="Arial"/>
          <w:sz w:val="20"/>
        </w:rPr>
        <w:t xml:space="preserve"> the</w:t>
      </w:r>
      <w:r w:rsidR="00223AA2" w:rsidRPr="00F97360">
        <w:rPr>
          <w:rFonts w:ascii="Arial" w:hAnsi="Arial" w:cs="Arial"/>
          <w:sz w:val="20"/>
        </w:rPr>
        <w:t xml:space="preserve"> Award has</w:t>
      </w:r>
      <w:r w:rsidR="00016938" w:rsidRPr="00F97360">
        <w:rPr>
          <w:rFonts w:ascii="Arial" w:hAnsi="Arial" w:cs="Arial"/>
          <w:sz w:val="20"/>
        </w:rPr>
        <w:t xml:space="preserve"> not </w:t>
      </w:r>
      <w:r w:rsidR="008D619B" w:rsidRPr="00F97360">
        <w:rPr>
          <w:rFonts w:ascii="Arial" w:hAnsi="Arial" w:cs="Arial"/>
          <w:sz w:val="20"/>
        </w:rPr>
        <w:t>Vested</w:t>
      </w:r>
      <w:r w:rsidR="00016938" w:rsidRPr="00F97360">
        <w:rPr>
          <w:rFonts w:ascii="Arial" w:hAnsi="Arial" w:cs="Arial"/>
          <w:sz w:val="20"/>
        </w:rPr>
        <w:t xml:space="preserve"> </w:t>
      </w:r>
      <w:r w:rsidR="00FA7ADD" w:rsidRPr="00F97360">
        <w:rPr>
          <w:rFonts w:ascii="Arial" w:hAnsi="Arial" w:cs="Arial"/>
          <w:sz w:val="20"/>
        </w:rPr>
        <w:t>or lapsed</w:t>
      </w:r>
      <w:r w:rsidR="0049756C" w:rsidRPr="00F97360">
        <w:rPr>
          <w:rFonts w:ascii="Arial" w:hAnsi="Arial" w:cs="Arial"/>
          <w:sz w:val="20"/>
        </w:rPr>
        <w:t xml:space="preserve"> </w:t>
      </w:r>
      <w:r w:rsidR="00016938" w:rsidRPr="00F97360">
        <w:rPr>
          <w:rFonts w:ascii="Arial" w:hAnsi="Arial" w:cs="Arial"/>
          <w:sz w:val="20"/>
        </w:rPr>
        <w:t>already under</w:t>
      </w:r>
      <w:r w:rsidR="00223AA2" w:rsidRPr="00F97360">
        <w:rPr>
          <w:rFonts w:ascii="Arial" w:hAnsi="Arial" w:cs="Arial"/>
          <w:sz w:val="20"/>
        </w:rPr>
        <w:t xml:space="preserve"> these rules</w:t>
      </w:r>
      <w:r w:rsidR="007B4FB5" w:rsidRPr="00F97360">
        <w:rPr>
          <w:rFonts w:ascii="Arial" w:hAnsi="Arial" w:cs="Arial"/>
          <w:sz w:val="20"/>
        </w:rPr>
        <w:t xml:space="preserve">, the Award will </w:t>
      </w:r>
      <w:r w:rsidR="008D619B" w:rsidRPr="00F97360">
        <w:rPr>
          <w:rFonts w:ascii="Arial" w:hAnsi="Arial" w:cs="Arial"/>
          <w:sz w:val="20"/>
        </w:rPr>
        <w:t>Vest</w:t>
      </w:r>
      <w:r w:rsidR="007B4FB5" w:rsidRPr="00F97360">
        <w:rPr>
          <w:rFonts w:ascii="Arial" w:hAnsi="Arial" w:cs="Arial"/>
          <w:sz w:val="20"/>
        </w:rPr>
        <w:t xml:space="preserve"> on the </w:t>
      </w:r>
      <w:r w:rsidR="00016938" w:rsidRPr="00F97360">
        <w:rPr>
          <w:rFonts w:ascii="Arial" w:hAnsi="Arial" w:cs="Arial"/>
          <w:sz w:val="20"/>
        </w:rPr>
        <w:t xml:space="preserve">Ordinary </w:t>
      </w:r>
      <w:r w:rsidR="008D619B" w:rsidRPr="00F97360">
        <w:rPr>
          <w:rFonts w:ascii="Arial" w:hAnsi="Arial" w:cs="Arial"/>
          <w:sz w:val="20"/>
        </w:rPr>
        <w:t>Vesting</w:t>
      </w:r>
      <w:r w:rsidR="007B4FB5" w:rsidRPr="00F97360">
        <w:rPr>
          <w:rFonts w:ascii="Arial" w:hAnsi="Arial" w:cs="Arial"/>
          <w:sz w:val="20"/>
        </w:rPr>
        <w:t xml:space="preserve"> Date</w:t>
      </w:r>
      <w:r w:rsidR="00001B4F" w:rsidRPr="00F97360">
        <w:rPr>
          <w:rFonts w:ascii="Arial" w:hAnsi="Arial" w:cs="Arial"/>
          <w:sz w:val="20"/>
        </w:rPr>
        <w:t xml:space="preserve"> </w:t>
      </w:r>
      <w:bookmarkEnd w:id="170"/>
      <w:r w:rsidR="00E62186" w:rsidRPr="00F97360">
        <w:rPr>
          <w:rFonts w:ascii="Arial" w:hAnsi="Arial" w:cs="Arial"/>
          <w:sz w:val="20"/>
        </w:rPr>
        <w:t xml:space="preserve">(where the Award is subject to Performance Condition(s), to the extent </w:t>
      </w:r>
      <w:r w:rsidR="0023137C" w:rsidRPr="00F97360">
        <w:rPr>
          <w:rFonts w:ascii="Arial" w:hAnsi="Arial" w:cs="Arial"/>
          <w:sz w:val="20"/>
        </w:rPr>
        <w:t xml:space="preserve">those </w:t>
      </w:r>
      <w:r w:rsidR="00E62186" w:rsidRPr="00F97360">
        <w:rPr>
          <w:rFonts w:ascii="Arial" w:hAnsi="Arial" w:cs="Arial"/>
          <w:sz w:val="20"/>
        </w:rPr>
        <w:t>Performance Condition(s) have been met)</w:t>
      </w:r>
      <w:r w:rsidR="00D8597D" w:rsidRPr="00F97360">
        <w:rPr>
          <w:rFonts w:ascii="Arial" w:hAnsi="Arial" w:cs="Arial"/>
          <w:sz w:val="20"/>
        </w:rPr>
        <w:t>.</w:t>
      </w:r>
      <w:bookmarkEnd w:id="163"/>
    </w:p>
    <w:p w14:paraId="6153606A" w14:textId="7A304046" w:rsidR="005D66F9" w:rsidRPr="00F97360" w:rsidRDefault="005D66F9" w:rsidP="005D66F9">
      <w:pPr>
        <w:pStyle w:val="Untitledsubclause1"/>
        <w:rPr>
          <w:rFonts w:ascii="Arial" w:hAnsi="Arial" w:cs="Arial"/>
          <w:sz w:val="20"/>
        </w:rPr>
      </w:pPr>
      <w:bookmarkStart w:id="171" w:name="_Ref131607853"/>
      <w:bookmarkStart w:id="172" w:name="_Ref145339765"/>
      <w:r w:rsidRPr="00F97360">
        <w:rPr>
          <w:rFonts w:ascii="Arial" w:hAnsi="Arial" w:cs="Arial"/>
          <w:sz w:val="20"/>
        </w:rPr>
        <w:t>Where Dealing Restrictions would prevent an Award Holder from selling Shares they acquire on the Vesting of a Conditional Share Award to fund a Tax Liability which would arise on the Vesting of such Award, the Award will instead Vest on the first Dealing Day after such Dealing Restrictions cease to apply</w:t>
      </w:r>
      <w:bookmarkEnd w:id="171"/>
      <w:r w:rsidRPr="00F97360">
        <w:rPr>
          <w:rFonts w:ascii="Arial" w:hAnsi="Arial" w:cs="Arial"/>
          <w:sz w:val="20"/>
        </w:rPr>
        <w:t xml:space="preserve"> (unless the Remuneration Committee decides, if permitted by the relevant Dealing Restrictions, that the Vesting will not be so delayed).</w:t>
      </w:r>
      <w:bookmarkEnd w:id="172"/>
    </w:p>
    <w:p w14:paraId="56712E42" w14:textId="20A0E729" w:rsidR="007B4FB5" w:rsidRPr="00F97360" w:rsidRDefault="00D8597D" w:rsidP="007B4FB5">
      <w:pPr>
        <w:pStyle w:val="TitleClause"/>
        <w:rPr>
          <w:rFonts w:ascii="Arial" w:hAnsi="Arial" w:cs="Arial"/>
          <w:sz w:val="20"/>
        </w:rPr>
      </w:pPr>
      <w:r w:rsidRPr="00F97360">
        <w:rPr>
          <w:rFonts w:ascii="Arial" w:hAnsi="Arial" w:cs="Arial"/>
          <w:sz w:val="20"/>
        </w:rPr>
        <w:lastRenderedPageBreak/>
        <w:fldChar w:fldCharType="begin"/>
      </w:r>
      <w:r w:rsidRPr="00F97360">
        <w:rPr>
          <w:rFonts w:ascii="Arial" w:hAnsi="Arial" w:cs="Arial"/>
          <w:sz w:val="20"/>
        </w:rPr>
        <w:instrText>TC "9. Suspension of Awards" \l 1</w:instrText>
      </w:r>
      <w:r w:rsidRPr="00F97360">
        <w:rPr>
          <w:rFonts w:ascii="Arial" w:hAnsi="Arial" w:cs="Arial"/>
          <w:sz w:val="20"/>
        </w:rPr>
        <w:fldChar w:fldCharType="end"/>
      </w:r>
      <w:bookmarkStart w:id="173" w:name="a852550"/>
      <w:bookmarkStart w:id="174" w:name="_Toc105671022"/>
      <w:bookmarkStart w:id="175" w:name="_Toc103273396"/>
      <w:bookmarkStart w:id="176" w:name="_Toc145339779"/>
      <w:bookmarkStart w:id="177" w:name="_Toc131682129"/>
      <w:bookmarkStart w:id="178" w:name="_Toc161658063"/>
      <w:r w:rsidRPr="00F97360">
        <w:rPr>
          <w:rFonts w:ascii="Arial" w:hAnsi="Arial" w:cs="Arial"/>
          <w:sz w:val="20"/>
        </w:rPr>
        <w:t xml:space="preserve">Suspension of </w:t>
      </w:r>
      <w:r w:rsidR="00D67DB9" w:rsidRPr="00F97360">
        <w:rPr>
          <w:rFonts w:ascii="Arial" w:hAnsi="Arial" w:cs="Arial"/>
          <w:sz w:val="20"/>
        </w:rPr>
        <w:t>Award</w:t>
      </w:r>
      <w:r w:rsidR="00D62C51" w:rsidRPr="00F97360">
        <w:rPr>
          <w:rFonts w:ascii="Arial" w:hAnsi="Arial" w:cs="Arial"/>
          <w:sz w:val="20"/>
        </w:rPr>
        <w:t>s</w:t>
      </w:r>
      <w:bookmarkEnd w:id="173"/>
      <w:bookmarkEnd w:id="174"/>
      <w:bookmarkEnd w:id="175"/>
      <w:bookmarkEnd w:id="176"/>
      <w:bookmarkEnd w:id="177"/>
      <w:bookmarkEnd w:id="178"/>
    </w:p>
    <w:p w14:paraId="56712E43" w14:textId="7DA27BB0" w:rsidR="007B4FB5" w:rsidRPr="00F97360" w:rsidRDefault="00C344FA" w:rsidP="007B4FB5">
      <w:pPr>
        <w:pStyle w:val="Untitledsubclause1"/>
        <w:rPr>
          <w:rFonts w:ascii="Arial" w:hAnsi="Arial" w:cs="Arial"/>
          <w:sz w:val="20"/>
        </w:rPr>
      </w:pPr>
      <w:bookmarkStart w:id="179" w:name="a791230"/>
      <w:r w:rsidRPr="00F97360">
        <w:rPr>
          <w:rFonts w:ascii="Arial" w:hAnsi="Arial"/>
          <w:sz w:val="20"/>
        </w:rPr>
        <w:t>Notwithstanding any other rule of this Plan</w:t>
      </w:r>
      <w:r w:rsidRPr="00F97360">
        <w:rPr>
          <w:rFonts w:ascii="Arial" w:hAnsi="Arial" w:cs="Arial"/>
          <w:sz w:val="20"/>
        </w:rPr>
        <w:t>, a</w:t>
      </w:r>
      <w:r w:rsidR="00D93C59" w:rsidRPr="00F97360">
        <w:rPr>
          <w:rFonts w:ascii="Arial" w:hAnsi="Arial" w:cs="Arial"/>
          <w:sz w:val="20"/>
        </w:rPr>
        <w:t>n Award</w:t>
      </w:r>
      <w:r w:rsidR="00D8597D" w:rsidRPr="00F97360">
        <w:rPr>
          <w:rFonts w:ascii="Arial" w:hAnsi="Arial" w:cs="Arial"/>
          <w:sz w:val="20"/>
        </w:rPr>
        <w:t xml:space="preserve"> shall not </w:t>
      </w:r>
      <w:r w:rsidR="00D44FC6" w:rsidRPr="00F97360">
        <w:rPr>
          <w:rFonts w:ascii="Arial" w:hAnsi="Arial" w:cs="Arial"/>
          <w:sz w:val="20"/>
        </w:rPr>
        <w:t>Vest</w:t>
      </w:r>
      <w:r w:rsidR="00D8597D" w:rsidRPr="00F97360">
        <w:rPr>
          <w:rFonts w:ascii="Arial" w:hAnsi="Arial" w:cs="Arial"/>
          <w:sz w:val="20"/>
        </w:rPr>
        <w:t xml:space="preserve">, and </w:t>
      </w:r>
      <w:r w:rsidR="00AA32FF" w:rsidRPr="00F97360">
        <w:rPr>
          <w:rFonts w:ascii="Arial" w:hAnsi="Arial" w:cs="Arial"/>
          <w:sz w:val="20"/>
        </w:rPr>
        <w:t>an Award Holder</w:t>
      </w:r>
      <w:r w:rsidR="00D8597D" w:rsidRPr="00F97360">
        <w:rPr>
          <w:rFonts w:ascii="Arial" w:hAnsi="Arial" w:cs="Arial"/>
          <w:sz w:val="20"/>
        </w:rPr>
        <w:t xml:space="preserve"> may not exercise an Option, at any time:</w:t>
      </w:r>
      <w:bookmarkEnd w:id="179"/>
    </w:p>
    <w:p w14:paraId="56712E44" w14:textId="77777777" w:rsidR="007B4FB5" w:rsidRPr="00F97360" w:rsidRDefault="00D8597D" w:rsidP="00F97360">
      <w:pPr>
        <w:pStyle w:val="Untitledsubclause2"/>
        <w:tabs>
          <w:tab w:val="clear" w:pos="1554"/>
          <w:tab w:val="num" w:pos="1985"/>
        </w:tabs>
        <w:ind w:left="1985"/>
        <w:rPr>
          <w:rFonts w:ascii="Arial" w:hAnsi="Arial" w:cs="Arial"/>
          <w:sz w:val="20"/>
        </w:rPr>
      </w:pPr>
      <w:bookmarkStart w:id="180" w:name="a807035"/>
      <w:r w:rsidRPr="00F97360">
        <w:rPr>
          <w:rFonts w:ascii="Arial" w:hAnsi="Arial" w:cs="Arial"/>
          <w:sz w:val="20"/>
        </w:rPr>
        <w:t>while disciplinary proceedings by any Group Company are underway against the Award Holder; or</w:t>
      </w:r>
      <w:bookmarkEnd w:id="180"/>
    </w:p>
    <w:p w14:paraId="56712E45" w14:textId="77777777" w:rsidR="007B4FB5" w:rsidRPr="00F97360" w:rsidRDefault="00D8597D" w:rsidP="00F97360">
      <w:pPr>
        <w:pStyle w:val="Untitledsubclause2"/>
        <w:tabs>
          <w:tab w:val="clear" w:pos="1554"/>
          <w:tab w:val="num" w:pos="1985"/>
        </w:tabs>
        <w:ind w:left="1985"/>
        <w:rPr>
          <w:rFonts w:ascii="Arial" w:hAnsi="Arial" w:cs="Arial"/>
          <w:sz w:val="20"/>
        </w:rPr>
      </w:pPr>
      <w:bookmarkStart w:id="181" w:name="a355829"/>
      <w:r w:rsidRPr="00F97360">
        <w:rPr>
          <w:rFonts w:ascii="Arial" w:hAnsi="Arial" w:cs="Arial"/>
          <w:sz w:val="20"/>
        </w:rPr>
        <w:t>while any Group Company is investigating the Award Holder's conduct and may as a result begin disciplinary proceedings.</w:t>
      </w:r>
      <w:bookmarkEnd w:id="181"/>
    </w:p>
    <w:p w14:paraId="56712E47" w14:textId="6EDF0A32" w:rsidR="009307D9" w:rsidRPr="00F97360" w:rsidRDefault="00D8597D" w:rsidP="007B4FB5">
      <w:pPr>
        <w:pStyle w:val="Untitledsubclause1"/>
        <w:rPr>
          <w:rFonts w:ascii="Arial" w:hAnsi="Arial" w:cs="Arial"/>
          <w:sz w:val="20"/>
        </w:rPr>
      </w:pPr>
      <w:bookmarkStart w:id="182" w:name="a60797"/>
      <w:r w:rsidRPr="00F97360">
        <w:rPr>
          <w:rFonts w:ascii="Arial" w:hAnsi="Arial" w:cs="Arial"/>
          <w:sz w:val="20"/>
        </w:rPr>
        <w:t>S</w:t>
      </w:r>
      <w:r w:rsidR="007B4FB5" w:rsidRPr="00F97360">
        <w:rPr>
          <w:rFonts w:ascii="Arial" w:hAnsi="Arial" w:cs="Arial"/>
          <w:sz w:val="20"/>
        </w:rPr>
        <w:t xml:space="preserve">ubject to </w:t>
      </w:r>
      <w:r w:rsidR="000E3F75" w:rsidRPr="00F97360">
        <w:rPr>
          <w:rFonts w:ascii="Arial" w:hAnsi="Arial" w:cs="Arial"/>
          <w:sz w:val="20"/>
        </w:rPr>
        <w:t xml:space="preserve">rule </w:t>
      </w:r>
      <w:r w:rsidR="001B21E5" w:rsidRPr="00F97360">
        <w:rPr>
          <w:rFonts w:ascii="Arial" w:hAnsi="Arial" w:cs="Arial"/>
          <w:sz w:val="20"/>
        </w:rPr>
        <w:fldChar w:fldCharType="begin"/>
      </w:r>
      <w:r w:rsidR="001B21E5" w:rsidRPr="00F97360">
        <w:rPr>
          <w:rFonts w:ascii="Arial" w:hAnsi="Arial" w:cs="Arial"/>
          <w:sz w:val="20"/>
        </w:rPr>
        <w:instrText xml:space="preserve"> REF _Ref90286380 \r \h </w:instrText>
      </w:r>
      <w:r w:rsidR="00F82DFE" w:rsidRPr="00F97360">
        <w:rPr>
          <w:rFonts w:ascii="Arial" w:hAnsi="Arial" w:cs="Arial"/>
          <w:sz w:val="20"/>
        </w:rPr>
        <w:instrText xml:space="preserve"> \* MERGEFORMAT </w:instrText>
      </w:r>
      <w:r w:rsidR="001B21E5" w:rsidRPr="00F97360">
        <w:rPr>
          <w:rFonts w:ascii="Arial" w:hAnsi="Arial" w:cs="Arial"/>
          <w:sz w:val="20"/>
        </w:rPr>
      </w:r>
      <w:r w:rsidR="001B21E5" w:rsidRPr="00F97360">
        <w:rPr>
          <w:rFonts w:ascii="Arial" w:hAnsi="Arial" w:cs="Arial"/>
          <w:sz w:val="20"/>
        </w:rPr>
        <w:fldChar w:fldCharType="separate"/>
      </w:r>
      <w:r w:rsidR="00710210" w:rsidRPr="00F97360">
        <w:rPr>
          <w:rFonts w:ascii="Arial" w:hAnsi="Arial" w:cs="Arial"/>
          <w:sz w:val="20"/>
        </w:rPr>
        <w:t>2.5</w:t>
      </w:r>
      <w:r w:rsidR="001B21E5" w:rsidRPr="00F97360">
        <w:rPr>
          <w:rFonts w:ascii="Arial" w:hAnsi="Arial" w:cs="Arial"/>
          <w:sz w:val="20"/>
        </w:rPr>
        <w:fldChar w:fldCharType="end"/>
      </w:r>
      <w:r w:rsidR="00F5484F" w:rsidRPr="00F97360">
        <w:rPr>
          <w:rFonts w:ascii="Arial" w:hAnsi="Arial" w:cs="Arial"/>
          <w:sz w:val="20"/>
        </w:rPr>
        <w:t xml:space="preserve"> and</w:t>
      </w:r>
      <w:r w:rsidR="003A4392" w:rsidRPr="00F97360">
        <w:rPr>
          <w:rFonts w:ascii="Arial" w:hAnsi="Arial" w:cs="Arial"/>
          <w:sz w:val="20"/>
        </w:rPr>
        <w:t xml:space="preserve"> rule </w:t>
      </w:r>
      <w:r w:rsidR="003A4392" w:rsidRPr="00F97360">
        <w:rPr>
          <w:rFonts w:ascii="Arial" w:hAnsi="Arial" w:cs="Arial"/>
          <w:sz w:val="20"/>
        </w:rPr>
        <w:fldChar w:fldCharType="begin"/>
      </w:r>
      <w:r w:rsidR="003A4392" w:rsidRPr="00F97360">
        <w:rPr>
          <w:rFonts w:ascii="Arial" w:hAnsi="Arial" w:cs="Arial"/>
          <w:sz w:val="20"/>
        </w:rPr>
        <w:instrText xml:space="preserve"> REF a870810 \r \h </w:instrText>
      </w:r>
      <w:r w:rsidR="00F82DFE" w:rsidRPr="00F97360">
        <w:rPr>
          <w:rFonts w:ascii="Arial" w:hAnsi="Arial" w:cs="Arial"/>
          <w:sz w:val="20"/>
        </w:rPr>
        <w:instrText xml:space="preserve"> \* MERGEFORMAT </w:instrText>
      </w:r>
      <w:r w:rsidR="003A4392" w:rsidRPr="00F97360">
        <w:rPr>
          <w:rFonts w:ascii="Arial" w:hAnsi="Arial" w:cs="Arial"/>
          <w:sz w:val="20"/>
        </w:rPr>
      </w:r>
      <w:r w:rsidR="003A4392" w:rsidRPr="00F97360">
        <w:rPr>
          <w:rFonts w:ascii="Arial" w:hAnsi="Arial" w:cs="Arial"/>
          <w:sz w:val="20"/>
        </w:rPr>
        <w:fldChar w:fldCharType="separate"/>
      </w:r>
      <w:r w:rsidR="00710210" w:rsidRPr="00F97360">
        <w:rPr>
          <w:rFonts w:ascii="Arial" w:hAnsi="Arial" w:cs="Arial"/>
          <w:sz w:val="20"/>
        </w:rPr>
        <w:t>19</w:t>
      </w:r>
      <w:r w:rsidR="003A4392" w:rsidRPr="00F97360">
        <w:rPr>
          <w:rFonts w:ascii="Arial" w:hAnsi="Arial" w:cs="Arial"/>
          <w:sz w:val="20"/>
        </w:rPr>
        <w:fldChar w:fldCharType="end"/>
      </w:r>
      <w:r w:rsidR="007B4FB5" w:rsidRPr="00F97360">
        <w:rPr>
          <w:rFonts w:ascii="Arial" w:hAnsi="Arial" w:cs="Arial"/>
          <w:sz w:val="20"/>
        </w:rPr>
        <w:t xml:space="preserve">, </w:t>
      </w:r>
      <w:r w:rsidR="00D93C59" w:rsidRPr="00F97360">
        <w:rPr>
          <w:rFonts w:ascii="Arial" w:hAnsi="Arial" w:cs="Arial"/>
          <w:sz w:val="20"/>
        </w:rPr>
        <w:t>an Award</w:t>
      </w:r>
      <w:r w:rsidR="007B4FB5" w:rsidRPr="00F97360">
        <w:rPr>
          <w:rFonts w:ascii="Arial" w:hAnsi="Arial" w:cs="Arial"/>
          <w:sz w:val="20"/>
        </w:rPr>
        <w:t xml:space="preserve"> that </w:t>
      </w:r>
      <w:r w:rsidR="00C014E1" w:rsidRPr="00F97360">
        <w:rPr>
          <w:rFonts w:ascii="Arial" w:hAnsi="Arial" w:cs="Arial"/>
          <w:sz w:val="20"/>
        </w:rPr>
        <w:t>did not Vest</w:t>
      </w:r>
      <w:r w:rsidR="007B4FB5" w:rsidRPr="00F97360">
        <w:rPr>
          <w:rFonts w:ascii="Arial" w:hAnsi="Arial" w:cs="Arial"/>
          <w:sz w:val="20"/>
        </w:rPr>
        <w:t xml:space="preserve"> on its expected </w:t>
      </w:r>
      <w:r w:rsidR="00D44FC6" w:rsidRPr="00F97360">
        <w:rPr>
          <w:rFonts w:ascii="Arial" w:hAnsi="Arial" w:cs="Arial"/>
          <w:sz w:val="20"/>
        </w:rPr>
        <w:t>Vesting Date</w:t>
      </w:r>
      <w:r w:rsidR="00636C53" w:rsidRPr="00F97360">
        <w:rPr>
          <w:rFonts w:ascii="Arial" w:hAnsi="Arial" w:cs="Arial"/>
          <w:sz w:val="20"/>
        </w:rPr>
        <w:t xml:space="preserve"> (and an Option which the </w:t>
      </w:r>
      <w:r w:rsidR="00C51F20" w:rsidRPr="00F97360">
        <w:rPr>
          <w:rFonts w:ascii="Arial" w:hAnsi="Arial" w:cs="Arial"/>
          <w:sz w:val="20"/>
        </w:rPr>
        <w:t>Award Holder</w:t>
      </w:r>
      <w:r w:rsidR="00636C53" w:rsidRPr="00F97360">
        <w:rPr>
          <w:rFonts w:ascii="Arial" w:hAnsi="Arial" w:cs="Arial"/>
          <w:sz w:val="20"/>
        </w:rPr>
        <w:t xml:space="preserve"> was prevented from exercising) </w:t>
      </w:r>
      <w:r w:rsidR="007B4FB5" w:rsidRPr="00F97360">
        <w:rPr>
          <w:rFonts w:ascii="Arial" w:hAnsi="Arial" w:cs="Arial"/>
          <w:sz w:val="20"/>
        </w:rPr>
        <w:t xml:space="preserve">due to the application of </w:t>
      </w:r>
      <w:r w:rsidR="007B4FB5" w:rsidRPr="00F97360">
        <w:rPr>
          <w:rFonts w:ascii="Arial" w:hAnsi="Arial" w:cs="Arial"/>
          <w:sz w:val="20"/>
        </w:rPr>
        <w:fldChar w:fldCharType="begin"/>
      </w:r>
      <w:r w:rsidR="007B4FB5" w:rsidRPr="00F97360">
        <w:rPr>
          <w:rFonts w:ascii="Arial" w:hAnsi="Arial" w:cs="Arial"/>
          <w:sz w:val="20"/>
        </w:rPr>
        <w:instrText>PAGEREF a791230\# "'rule '"  \h</w:instrText>
      </w:r>
      <w:r w:rsidR="007B4FB5" w:rsidRPr="00F97360">
        <w:rPr>
          <w:rFonts w:ascii="Arial" w:hAnsi="Arial" w:cs="Arial"/>
          <w:sz w:val="20"/>
        </w:rPr>
      </w:r>
      <w:r w:rsidR="007B4FB5" w:rsidRPr="00F97360">
        <w:rPr>
          <w:rFonts w:ascii="Arial" w:hAnsi="Arial" w:cs="Arial"/>
          <w:sz w:val="20"/>
        </w:rPr>
        <w:fldChar w:fldCharType="separate"/>
      </w:r>
      <w:r w:rsidR="00710210" w:rsidRPr="00F97360">
        <w:rPr>
          <w:rFonts w:ascii="Arial" w:hAnsi="Arial" w:cs="Arial"/>
          <w:sz w:val="20"/>
        </w:rPr>
        <w:t xml:space="preserve">rule </w:t>
      </w:r>
      <w:r w:rsidR="007B4FB5" w:rsidRPr="00F97360">
        <w:rPr>
          <w:rFonts w:ascii="Arial" w:hAnsi="Arial" w:cs="Arial"/>
          <w:sz w:val="20"/>
        </w:rPr>
        <w:fldChar w:fldCharType="end"/>
      </w:r>
      <w:r w:rsidR="007B4FB5" w:rsidRPr="00F97360">
        <w:rPr>
          <w:rFonts w:ascii="Arial" w:hAnsi="Arial" w:cs="Arial"/>
          <w:sz w:val="20"/>
        </w:rPr>
        <w:fldChar w:fldCharType="begin"/>
      </w:r>
      <w:r w:rsidR="007B4FB5" w:rsidRPr="00F97360">
        <w:rPr>
          <w:rFonts w:ascii="Arial" w:hAnsi="Arial" w:cs="Arial"/>
          <w:sz w:val="20"/>
        </w:rPr>
        <w:instrText>REF a791230 \h \w</w:instrText>
      </w:r>
      <w:r w:rsidR="0037270F" w:rsidRPr="00F97360">
        <w:rPr>
          <w:rFonts w:ascii="Arial" w:hAnsi="Arial" w:cs="Arial"/>
          <w:sz w:val="20"/>
        </w:rPr>
        <w:instrText xml:space="preserve"> \* MERGEFORMAT </w:instrText>
      </w:r>
      <w:r w:rsidR="007B4FB5" w:rsidRPr="00F97360">
        <w:rPr>
          <w:rFonts w:ascii="Arial" w:hAnsi="Arial" w:cs="Arial"/>
          <w:sz w:val="20"/>
        </w:rPr>
      </w:r>
      <w:r w:rsidR="007B4FB5" w:rsidRPr="00F97360">
        <w:rPr>
          <w:rFonts w:ascii="Arial" w:hAnsi="Arial" w:cs="Arial"/>
          <w:sz w:val="20"/>
        </w:rPr>
        <w:fldChar w:fldCharType="separate"/>
      </w:r>
      <w:r w:rsidR="00710210" w:rsidRPr="00F97360">
        <w:rPr>
          <w:rFonts w:ascii="Arial" w:hAnsi="Arial" w:cs="Arial"/>
          <w:sz w:val="20"/>
        </w:rPr>
        <w:t>10.1</w:t>
      </w:r>
      <w:r w:rsidR="007B4FB5" w:rsidRPr="00F97360">
        <w:rPr>
          <w:rFonts w:ascii="Arial" w:hAnsi="Arial" w:cs="Arial"/>
          <w:sz w:val="20"/>
        </w:rPr>
        <w:fldChar w:fldCharType="end"/>
      </w:r>
      <w:r w:rsidR="007B4FB5" w:rsidRPr="00F97360">
        <w:rPr>
          <w:rFonts w:ascii="Arial" w:hAnsi="Arial" w:cs="Arial"/>
          <w:sz w:val="20"/>
        </w:rPr>
        <w:t xml:space="preserve"> shall </w:t>
      </w:r>
      <w:r w:rsidR="00D44FC6" w:rsidRPr="00F97360">
        <w:rPr>
          <w:rFonts w:ascii="Arial" w:hAnsi="Arial" w:cs="Arial"/>
          <w:sz w:val="20"/>
        </w:rPr>
        <w:t>Vest</w:t>
      </w:r>
      <w:r w:rsidR="007B4FB5" w:rsidRPr="00F97360">
        <w:rPr>
          <w:rFonts w:ascii="Arial" w:hAnsi="Arial" w:cs="Arial"/>
          <w:sz w:val="20"/>
        </w:rPr>
        <w:t xml:space="preserve"> </w:t>
      </w:r>
      <w:bookmarkStart w:id="183" w:name="_Hlk116923368"/>
      <w:r w:rsidR="00636C53" w:rsidRPr="00F97360">
        <w:rPr>
          <w:rFonts w:ascii="Arial" w:hAnsi="Arial" w:cs="Arial"/>
          <w:sz w:val="20"/>
        </w:rPr>
        <w:t>(and</w:t>
      </w:r>
      <w:r w:rsidR="00743F3E" w:rsidRPr="00F97360">
        <w:rPr>
          <w:rFonts w:ascii="Arial" w:hAnsi="Arial" w:cs="Arial"/>
          <w:sz w:val="20"/>
        </w:rPr>
        <w:t xml:space="preserve"> an Option which has already </w:t>
      </w:r>
      <w:r w:rsidR="00C156E4" w:rsidRPr="00F97360">
        <w:rPr>
          <w:rFonts w:ascii="Arial" w:hAnsi="Arial" w:cs="Arial"/>
          <w:sz w:val="20"/>
        </w:rPr>
        <w:t>Vested</w:t>
      </w:r>
      <w:r w:rsidR="00743F3E" w:rsidRPr="00F97360">
        <w:rPr>
          <w:rFonts w:ascii="Arial" w:hAnsi="Arial" w:cs="Arial"/>
          <w:sz w:val="20"/>
        </w:rPr>
        <w:t xml:space="preserve"> </w:t>
      </w:r>
      <w:r w:rsidR="00636C53" w:rsidRPr="00F97360">
        <w:rPr>
          <w:rFonts w:ascii="Arial" w:hAnsi="Arial" w:cs="Arial"/>
          <w:sz w:val="20"/>
        </w:rPr>
        <w:t xml:space="preserve">may be exercised) </w:t>
      </w:r>
      <w:bookmarkEnd w:id="183"/>
      <w:r w:rsidR="007B4FB5" w:rsidRPr="00F97360">
        <w:rPr>
          <w:rFonts w:ascii="Arial" w:hAnsi="Arial" w:cs="Arial"/>
          <w:sz w:val="20"/>
        </w:rPr>
        <w:t xml:space="preserve">if the </w:t>
      </w:r>
      <w:r w:rsidR="00623047" w:rsidRPr="00F97360">
        <w:rPr>
          <w:rFonts w:ascii="Arial" w:hAnsi="Arial" w:cs="Arial"/>
          <w:sz w:val="20"/>
        </w:rPr>
        <w:t>Remuneration Committee</w:t>
      </w:r>
      <w:r w:rsidR="007B4FB5" w:rsidRPr="00F97360">
        <w:rPr>
          <w:rFonts w:ascii="Arial" w:hAnsi="Arial" w:cs="Arial"/>
          <w:sz w:val="20"/>
        </w:rPr>
        <w:t xml:space="preserve"> so determines </w:t>
      </w:r>
      <w:r w:rsidR="00A94938" w:rsidRPr="00F97360">
        <w:rPr>
          <w:rFonts w:ascii="Arial" w:hAnsi="Arial" w:cs="Arial"/>
          <w:sz w:val="20"/>
        </w:rPr>
        <w:t xml:space="preserve">within </w:t>
      </w:r>
      <w:r w:rsidR="000A5C93" w:rsidRPr="00F97360">
        <w:rPr>
          <w:rFonts w:ascii="Arial" w:hAnsi="Arial" w:cs="Arial"/>
          <w:sz w:val="20"/>
        </w:rPr>
        <w:t>21</w:t>
      </w:r>
      <w:r w:rsidR="00A94938" w:rsidRPr="00F97360">
        <w:rPr>
          <w:rFonts w:ascii="Arial" w:hAnsi="Arial" w:cs="Arial"/>
          <w:sz w:val="20"/>
        </w:rPr>
        <w:t xml:space="preserve"> </w:t>
      </w:r>
      <w:r w:rsidR="00EA281E" w:rsidRPr="00F97360">
        <w:rPr>
          <w:rFonts w:ascii="Arial" w:hAnsi="Arial" w:cs="Arial"/>
          <w:sz w:val="20"/>
        </w:rPr>
        <w:t>B</w:t>
      </w:r>
      <w:r w:rsidR="00A94938" w:rsidRPr="00F97360">
        <w:rPr>
          <w:rFonts w:ascii="Arial" w:hAnsi="Arial" w:cs="Arial"/>
          <w:sz w:val="20"/>
        </w:rPr>
        <w:t xml:space="preserve">usiness </w:t>
      </w:r>
      <w:r w:rsidR="00EA281E" w:rsidRPr="00F97360">
        <w:rPr>
          <w:rFonts w:ascii="Arial" w:hAnsi="Arial" w:cs="Arial"/>
          <w:sz w:val="20"/>
        </w:rPr>
        <w:t>D</w:t>
      </w:r>
      <w:r w:rsidR="00A94938" w:rsidRPr="00F97360">
        <w:rPr>
          <w:rFonts w:ascii="Arial" w:hAnsi="Arial" w:cs="Arial"/>
          <w:sz w:val="20"/>
        </w:rPr>
        <w:t xml:space="preserve">ays of </w:t>
      </w:r>
      <w:r w:rsidR="007B4FB5" w:rsidRPr="00F97360">
        <w:rPr>
          <w:rFonts w:ascii="Arial" w:hAnsi="Arial" w:cs="Arial"/>
          <w:sz w:val="20"/>
        </w:rPr>
        <w:t>the conclusion of the disciplinary proceedings or investigation</w:t>
      </w:r>
      <w:r w:rsidRPr="00F97360">
        <w:rPr>
          <w:rFonts w:ascii="Arial" w:hAnsi="Arial" w:cs="Arial"/>
          <w:sz w:val="20"/>
        </w:rPr>
        <w:t xml:space="preserve">. </w:t>
      </w:r>
    </w:p>
    <w:p w14:paraId="56712E48" w14:textId="0E8502E6" w:rsidR="009307D9" w:rsidRPr="00F97360" w:rsidRDefault="00D8597D" w:rsidP="00F97360">
      <w:pPr>
        <w:pStyle w:val="Untitledsubclause2"/>
        <w:tabs>
          <w:tab w:val="clear" w:pos="1554"/>
          <w:tab w:val="num" w:pos="1985"/>
        </w:tabs>
        <w:ind w:left="1985"/>
        <w:rPr>
          <w:rFonts w:ascii="Arial" w:hAnsi="Arial" w:cs="Arial"/>
          <w:sz w:val="20"/>
        </w:rPr>
      </w:pPr>
      <w:r w:rsidRPr="00F97360">
        <w:rPr>
          <w:rFonts w:ascii="Arial" w:hAnsi="Arial" w:cs="Arial"/>
          <w:sz w:val="20"/>
        </w:rPr>
        <w:t xml:space="preserve">If the </w:t>
      </w:r>
      <w:r w:rsidR="00623047" w:rsidRPr="00F97360">
        <w:rPr>
          <w:rFonts w:ascii="Arial" w:hAnsi="Arial" w:cs="Arial"/>
          <w:sz w:val="20"/>
        </w:rPr>
        <w:t>Remuneration Committee</w:t>
      </w:r>
      <w:r w:rsidRPr="00F97360">
        <w:rPr>
          <w:rFonts w:ascii="Arial" w:hAnsi="Arial" w:cs="Arial"/>
          <w:sz w:val="20"/>
        </w:rPr>
        <w:t xml:space="preserve"> determines that the </w:t>
      </w:r>
      <w:r w:rsidR="00D67DB9" w:rsidRPr="00F97360">
        <w:rPr>
          <w:rFonts w:ascii="Arial" w:hAnsi="Arial" w:cs="Arial"/>
          <w:sz w:val="20"/>
        </w:rPr>
        <w:t>Award</w:t>
      </w:r>
      <w:r w:rsidRPr="00F97360">
        <w:rPr>
          <w:rFonts w:ascii="Arial" w:hAnsi="Arial" w:cs="Arial"/>
          <w:sz w:val="20"/>
        </w:rPr>
        <w:t xml:space="preserve"> shall </w:t>
      </w:r>
      <w:r w:rsidR="00D44FC6" w:rsidRPr="00F97360">
        <w:rPr>
          <w:rFonts w:ascii="Arial" w:hAnsi="Arial" w:cs="Arial"/>
          <w:sz w:val="20"/>
        </w:rPr>
        <w:t>Vest</w:t>
      </w:r>
      <w:r w:rsidR="00636C53" w:rsidRPr="00F97360">
        <w:rPr>
          <w:rFonts w:ascii="Arial" w:hAnsi="Arial" w:cs="Arial"/>
          <w:sz w:val="20"/>
        </w:rPr>
        <w:t xml:space="preserve"> (and/or may be exercised)</w:t>
      </w:r>
      <w:r w:rsidRPr="00F97360">
        <w:rPr>
          <w:rFonts w:ascii="Arial" w:hAnsi="Arial" w:cs="Arial"/>
          <w:sz w:val="20"/>
        </w:rPr>
        <w:t>, the</w:t>
      </w:r>
      <w:r w:rsidR="00A94938" w:rsidRPr="00F97360">
        <w:rPr>
          <w:rFonts w:ascii="Arial" w:hAnsi="Arial" w:cs="Arial"/>
          <w:sz w:val="20"/>
        </w:rPr>
        <w:t xml:space="preserve"> </w:t>
      </w:r>
      <w:r w:rsidR="00D44FC6" w:rsidRPr="00F97360">
        <w:rPr>
          <w:rFonts w:ascii="Arial" w:hAnsi="Arial" w:cs="Arial"/>
          <w:sz w:val="20"/>
        </w:rPr>
        <w:t>Vesting Date</w:t>
      </w:r>
      <w:r w:rsidRPr="00F97360">
        <w:rPr>
          <w:rFonts w:ascii="Arial" w:hAnsi="Arial" w:cs="Arial"/>
          <w:sz w:val="20"/>
        </w:rPr>
        <w:t xml:space="preserve"> of that </w:t>
      </w:r>
      <w:r w:rsidR="00D67DB9" w:rsidRPr="00F97360">
        <w:rPr>
          <w:rFonts w:ascii="Arial" w:hAnsi="Arial" w:cs="Arial"/>
          <w:sz w:val="20"/>
        </w:rPr>
        <w:t>Award</w:t>
      </w:r>
      <w:r w:rsidR="00636C53" w:rsidRPr="00F97360">
        <w:rPr>
          <w:rFonts w:ascii="Arial" w:hAnsi="Arial" w:cs="Arial"/>
          <w:sz w:val="20"/>
        </w:rPr>
        <w:t xml:space="preserve"> (and/or the date from which the Option may be exercised) </w:t>
      </w:r>
      <w:r w:rsidRPr="00F97360">
        <w:rPr>
          <w:rFonts w:ascii="Arial" w:hAnsi="Arial" w:cs="Arial"/>
          <w:sz w:val="20"/>
        </w:rPr>
        <w:t xml:space="preserve">shall be the date of the </w:t>
      </w:r>
      <w:r w:rsidR="00623047" w:rsidRPr="00F97360">
        <w:rPr>
          <w:rFonts w:ascii="Arial" w:hAnsi="Arial" w:cs="Arial"/>
          <w:sz w:val="20"/>
        </w:rPr>
        <w:t>Remuneration Committee</w:t>
      </w:r>
      <w:r w:rsidRPr="00F97360">
        <w:rPr>
          <w:rFonts w:ascii="Arial" w:hAnsi="Arial" w:cs="Arial"/>
          <w:sz w:val="20"/>
        </w:rPr>
        <w:t xml:space="preserve">'s determination (or, if that date falls in a Closed Period, the first Dealing Day following the end of that Closed Period). </w:t>
      </w:r>
    </w:p>
    <w:p w14:paraId="56712E49" w14:textId="02DCB42B" w:rsidR="007B4FB5" w:rsidRPr="00F97360" w:rsidRDefault="00D8597D" w:rsidP="00F97360">
      <w:pPr>
        <w:pStyle w:val="Untitledsubclause2"/>
        <w:tabs>
          <w:tab w:val="clear" w:pos="1554"/>
          <w:tab w:val="num" w:pos="1985"/>
        </w:tabs>
        <w:ind w:left="1985"/>
        <w:rPr>
          <w:rFonts w:ascii="Arial" w:hAnsi="Arial" w:cs="Arial"/>
          <w:sz w:val="20"/>
        </w:rPr>
      </w:pPr>
      <w:r w:rsidRPr="00F97360">
        <w:rPr>
          <w:rFonts w:ascii="Arial" w:hAnsi="Arial" w:cs="Arial"/>
          <w:sz w:val="20"/>
        </w:rPr>
        <w:t>I</w:t>
      </w:r>
      <w:r w:rsidR="00A94938" w:rsidRPr="00F97360">
        <w:rPr>
          <w:rFonts w:ascii="Arial" w:hAnsi="Arial" w:cs="Arial"/>
          <w:sz w:val="20"/>
        </w:rPr>
        <w:t xml:space="preserve">f the </w:t>
      </w:r>
      <w:r w:rsidR="00623047" w:rsidRPr="00F97360">
        <w:rPr>
          <w:rFonts w:ascii="Arial" w:hAnsi="Arial" w:cs="Arial"/>
          <w:sz w:val="20"/>
        </w:rPr>
        <w:t>Remuneration Committee</w:t>
      </w:r>
      <w:r w:rsidRPr="00F97360">
        <w:rPr>
          <w:rFonts w:ascii="Arial" w:hAnsi="Arial" w:cs="Arial"/>
          <w:sz w:val="20"/>
        </w:rPr>
        <w:t xml:space="preserve"> does not determine that the </w:t>
      </w:r>
      <w:r w:rsidR="00D67DB9" w:rsidRPr="00F97360">
        <w:rPr>
          <w:rFonts w:ascii="Arial" w:hAnsi="Arial" w:cs="Arial"/>
          <w:sz w:val="20"/>
        </w:rPr>
        <w:t>Award</w:t>
      </w:r>
      <w:r w:rsidRPr="00F97360">
        <w:rPr>
          <w:rFonts w:ascii="Arial" w:hAnsi="Arial" w:cs="Arial"/>
          <w:sz w:val="20"/>
        </w:rPr>
        <w:t xml:space="preserve"> shall </w:t>
      </w:r>
      <w:r w:rsidR="00D44FC6" w:rsidRPr="00F97360">
        <w:rPr>
          <w:rFonts w:ascii="Arial" w:hAnsi="Arial" w:cs="Arial"/>
          <w:sz w:val="20"/>
        </w:rPr>
        <w:t>Vest</w:t>
      </w:r>
      <w:r w:rsidR="00636C53" w:rsidRPr="00F97360">
        <w:rPr>
          <w:rFonts w:ascii="Arial" w:hAnsi="Arial" w:cs="Arial"/>
          <w:sz w:val="20"/>
        </w:rPr>
        <w:t xml:space="preserve"> (and/or may be exercised)</w:t>
      </w:r>
      <w:r w:rsidRPr="00F97360">
        <w:rPr>
          <w:rFonts w:ascii="Arial" w:hAnsi="Arial" w:cs="Arial"/>
          <w:sz w:val="20"/>
        </w:rPr>
        <w:t>, the</w:t>
      </w:r>
      <w:r w:rsidR="00737507" w:rsidRPr="00F97360">
        <w:rPr>
          <w:rFonts w:ascii="Arial" w:hAnsi="Arial" w:cs="Arial"/>
          <w:sz w:val="20"/>
        </w:rPr>
        <w:t xml:space="preserve"> </w:t>
      </w:r>
      <w:r w:rsidR="00D67DB9" w:rsidRPr="00F97360">
        <w:rPr>
          <w:rFonts w:ascii="Arial" w:hAnsi="Arial" w:cs="Arial"/>
          <w:sz w:val="20"/>
        </w:rPr>
        <w:t>Award</w:t>
      </w:r>
      <w:r w:rsidRPr="00F97360">
        <w:rPr>
          <w:rFonts w:ascii="Arial" w:hAnsi="Arial" w:cs="Arial"/>
          <w:sz w:val="20"/>
        </w:rPr>
        <w:t xml:space="preserve"> </w:t>
      </w:r>
      <w:r w:rsidR="00A94938" w:rsidRPr="00F97360">
        <w:rPr>
          <w:rFonts w:ascii="Arial" w:hAnsi="Arial" w:cs="Arial"/>
          <w:sz w:val="20"/>
        </w:rPr>
        <w:t>shall lapse at the end of th</w:t>
      </w:r>
      <w:r w:rsidRPr="00F97360">
        <w:rPr>
          <w:rFonts w:ascii="Arial" w:hAnsi="Arial" w:cs="Arial"/>
          <w:sz w:val="20"/>
        </w:rPr>
        <w:t xml:space="preserve">e </w:t>
      </w:r>
      <w:r w:rsidR="0007294A" w:rsidRPr="00F97360">
        <w:rPr>
          <w:rFonts w:ascii="Arial" w:hAnsi="Arial" w:cs="Arial"/>
          <w:sz w:val="20"/>
        </w:rPr>
        <w:t>21-day</w:t>
      </w:r>
      <w:r w:rsidR="00A94938" w:rsidRPr="00F97360">
        <w:rPr>
          <w:rFonts w:ascii="Arial" w:hAnsi="Arial" w:cs="Arial"/>
          <w:sz w:val="20"/>
        </w:rPr>
        <w:t xml:space="preserve"> period</w:t>
      </w:r>
      <w:r w:rsidRPr="00F97360">
        <w:rPr>
          <w:rFonts w:ascii="Arial" w:hAnsi="Arial" w:cs="Arial"/>
          <w:sz w:val="20"/>
        </w:rPr>
        <w:t>.</w:t>
      </w:r>
      <w:bookmarkEnd w:id="182"/>
    </w:p>
    <w:bookmarkStart w:id="184" w:name="_Hlk87020475"/>
    <w:p w14:paraId="56712E4A" w14:textId="77777777" w:rsidR="007B4FB5" w:rsidRPr="00F97360" w:rsidRDefault="00D8597D" w:rsidP="007B4FB5">
      <w:pPr>
        <w:pStyle w:val="TitleClause"/>
        <w:rPr>
          <w:rFonts w:ascii="Arial" w:hAnsi="Arial" w:cs="Arial"/>
          <w:sz w:val="20"/>
        </w:rPr>
      </w:pPr>
      <w:r w:rsidRPr="00F97360">
        <w:rPr>
          <w:rFonts w:ascii="Arial" w:hAnsi="Arial" w:cs="Arial"/>
          <w:sz w:val="20"/>
        </w:rPr>
        <w:fldChar w:fldCharType="begin"/>
      </w:r>
      <w:r w:rsidRPr="00F97360">
        <w:rPr>
          <w:rFonts w:ascii="Arial" w:hAnsi="Arial" w:cs="Arial"/>
          <w:sz w:val="20"/>
        </w:rPr>
        <w:instrText>TC "10. Circumstances in which malus and clawback can apply" \l 1</w:instrText>
      </w:r>
      <w:r w:rsidRPr="00F97360">
        <w:rPr>
          <w:rFonts w:ascii="Arial" w:hAnsi="Arial" w:cs="Arial"/>
          <w:sz w:val="20"/>
        </w:rPr>
        <w:fldChar w:fldCharType="end"/>
      </w:r>
      <w:bookmarkStart w:id="185" w:name="a714948"/>
      <w:bookmarkStart w:id="186" w:name="_Toc105671023"/>
      <w:bookmarkStart w:id="187" w:name="_Toc103273397"/>
      <w:bookmarkStart w:id="188" w:name="_Toc145339780"/>
      <w:bookmarkStart w:id="189" w:name="_Toc131682130"/>
      <w:bookmarkStart w:id="190" w:name="_Toc161658064"/>
      <w:r w:rsidRPr="00F97360">
        <w:rPr>
          <w:rFonts w:ascii="Arial" w:hAnsi="Arial" w:cs="Arial"/>
          <w:sz w:val="20"/>
        </w:rPr>
        <w:t xml:space="preserve">Circumstances in which malus and clawback can </w:t>
      </w:r>
      <w:proofErr w:type="gramStart"/>
      <w:r w:rsidRPr="00F97360">
        <w:rPr>
          <w:rFonts w:ascii="Arial" w:hAnsi="Arial" w:cs="Arial"/>
          <w:sz w:val="20"/>
        </w:rPr>
        <w:t>apply</w:t>
      </w:r>
      <w:bookmarkEnd w:id="185"/>
      <w:bookmarkEnd w:id="186"/>
      <w:bookmarkEnd w:id="187"/>
      <w:bookmarkEnd w:id="188"/>
      <w:bookmarkEnd w:id="189"/>
      <w:bookmarkEnd w:id="190"/>
      <w:proofErr w:type="gramEnd"/>
    </w:p>
    <w:p w14:paraId="56712E4B" w14:textId="49A7989E" w:rsidR="007B4FB5" w:rsidRPr="00F97360" w:rsidRDefault="00D8597D" w:rsidP="00B0799E">
      <w:pPr>
        <w:pStyle w:val="Untitledsubclause1"/>
        <w:rPr>
          <w:rFonts w:ascii="Arial" w:hAnsi="Arial" w:cs="Arial"/>
          <w:sz w:val="20"/>
        </w:rPr>
      </w:pPr>
      <w:r w:rsidRPr="00F97360">
        <w:rPr>
          <w:rFonts w:ascii="Arial" w:hAnsi="Arial" w:cs="Arial"/>
          <w:sz w:val="20"/>
        </w:rPr>
        <w:t xml:space="preserve">Rule </w:t>
      </w:r>
      <w:bookmarkStart w:id="191" w:name="a720990"/>
      <w:r w:rsidRPr="00F97360">
        <w:rPr>
          <w:rFonts w:ascii="Arial" w:hAnsi="Arial" w:cs="Arial"/>
          <w:sz w:val="20"/>
        </w:rPr>
        <w:fldChar w:fldCharType="begin"/>
      </w:r>
      <w:r w:rsidRPr="00F97360">
        <w:rPr>
          <w:rFonts w:ascii="Arial" w:hAnsi="Arial" w:cs="Arial"/>
          <w:sz w:val="20"/>
          <w:highlight w:val="lightGray"/>
        </w:rPr>
        <w:instrText>REF a714948 \h \w</w:instrText>
      </w:r>
      <w:r w:rsidR="0037270F"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highlight w:val="lightGray"/>
        </w:rPr>
        <w:t>11</w:t>
      </w:r>
      <w:r w:rsidRPr="00F97360">
        <w:rPr>
          <w:rFonts w:ascii="Arial" w:hAnsi="Arial" w:cs="Arial"/>
          <w:sz w:val="20"/>
        </w:rPr>
        <w:fldChar w:fldCharType="end"/>
      </w:r>
      <w:r w:rsidRPr="00F97360">
        <w:rPr>
          <w:rFonts w:ascii="Arial" w:hAnsi="Arial" w:cs="Arial"/>
          <w:sz w:val="20"/>
        </w:rPr>
        <w:t xml:space="preserve"> applies in relation to </w:t>
      </w:r>
      <w:r w:rsidR="00D93C59" w:rsidRPr="00F97360">
        <w:rPr>
          <w:rFonts w:ascii="Arial" w:hAnsi="Arial" w:cs="Arial"/>
          <w:sz w:val="20"/>
        </w:rPr>
        <w:t>an Award</w:t>
      </w:r>
      <w:r w:rsidR="00504161" w:rsidRPr="00F97360">
        <w:rPr>
          <w:rFonts w:ascii="Arial" w:hAnsi="Arial" w:cs="Arial"/>
          <w:sz w:val="20"/>
        </w:rPr>
        <w:t xml:space="preserve"> if</w:t>
      </w:r>
      <w:r w:rsidRPr="00F97360">
        <w:rPr>
          <w:rFonts w:ascii="Arial" w:hAnsi="Arial" w:cs="Arial"/>
          <w:sz w:val="20"/>
        </w:rPr>
        <w:t xml:space="preserve"> </w:t>
      </w:r>
      <w:bookmarkStart w:id="192" w:name="a302761"/>
      <w:bookmarkEnd w:id="191"/>
      <w:r w:rsidRPr="00F97360">
        <w:rPr>
          <w:rFonts w:ascii="Arial" w:hAnsi="Arial" w:cs="Arial"/>
          <w:sz w:val="20"/>
        </w:rPr>
        <w:fldChar w:fldCharType="begin"/>
      </w:r>
      <w:r w:rsidRPr="00F97360">
        <w:rPr>
          <w:rFonts w:ascii="Arial" w:hAnsi="Arial" w:cs="Arial"/>
          <w:sz w:val="20"/>
        </w:rPr>
        <w:instrText>PAGEREF a751038\# "'rule '"  \h</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 xml:space="preserve">rule </w:t>
      </w:r>
      <w:r w:rsidRPr="00F97360">
        <w:rPr>
          <w:rFonts w:ascii="Arial" w:hAnsi="Arial" w:cs="Arial"/>
          <w:sz w:val="20"/>
        </w:rPr>
        <w:fldChar w:fldCharType="end"/>
      </w:r>
      <w:r w:rsidRPr="00F97360">
        <w:rPr>
          <w:rFonts w:ascii="Arial" w:hAnsi="Arial" w:cs="Arial"/>
          <w:sz w:val="20"/>
        </w:rPr>
        <w:fldChar w:fldCharType="begin"/>
      </w:r>
      <w:r w:rsidRPr="00F97360">
        <w:rPr>
          <w:rFonts w:ascii="Arial" w:hAnsi="Arial" w:cs="Arial"/>
          <w:sz w:val="20"/>
          <w:highlight w:val="lightGray"/>
        </w:rPr>
        <w:instrText>REF a751038 \h \w</w:instrText>
      </w:r>
      <w:r w:rsidR="0037270F"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highlight w:val="lightGray"/>
        </w:rPr>
        <w:t>11.2</w:t>
      </w:r>
      <w:r w:rsidRPr="00F97360">
        <w:rPr>
          <w:rFonts w:ascii="Arial" w:hAnsi="Arial" w:cs="Arial"/>
          <w:sz w:val="20"/>
        </w:rPr>
        <w:fldChar w:fldCharType="end"/>
      </w:r>
      <w:r w:rsidRPr="00F97360">
        <w:rPr>
          <w:rFonts w:ascii="Arial" w:hAnsi="Arial" w:cs="Arial"/>
          <w:sz w:val="20"/>
        </w:rPr>
        <w:t xml:space="preserve"> and </w:t>
      </w:r>
      <w:bookmarkEnd w:id="192"/>
      <w:r w:rsidRPr="00F97360">
        <w:rPr>
          <w:rFonts w:ascii="Arial" w:hAnsi="Arial" w:cs="Arial"/>
          <w:sz w:val="20"/>
        </w:rPr>
        <w:fldChar w:fldCharType="begin"/>
      </w:r>
      <w:r w:rsidRPr="00F97360">
        <w:rPr>
          <w:rFonts w:ascii="Arial" w:hAnsi="Arial" w:cs="Arial"/>
          <w:sz w:val="20"/>
        </w:rPr>
        <w:instrText>PAGEREF a585683\# "'rule '"  \h</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 xml:space="preserve">rule </w:t>
      </w:r>
      <w:r w:rsidRPr="00F97360">
        <w:rPr>
          <w:rFonts w:ascii="Arial" w:hAnsi="Arial" w:cs="Arial"/>
          <w:sz w:val="20"/>
        </w:rPr>
        <w:fldChar w:fldCharType="end"/>
      </w:r>
      <w:bookmarkStart w:id="193" w:name="a219902"/>
      <w:r w:rsidR="00126261" w:rsidRPr="00F97360">
        <w:rPr>
          <w:rFonts w:ascii="Arial" w:hAnsi="Arial" w:cs="Arial"/>
          <w:sz w:val="20"/>
        </w:rPr>
        <w:fldChar w:fldCharType="begin"/>
      </w:r>
      <w:r w:rsidR="00126261" w:rsidRPr="00F97360">
        <w:rPr>
          <w:rFonts w:ascii="Arial" w:hAnsi="Arial" w:cs="Arial"/>
          <w:sz w:val="20"/>
        </w:rPr>
        <w:instrText xml:space="preserve"> REF _Ref102991480 \r \h </w:instrText>
      </w:r>
      <w:r w:rsidR="004C1A6B" w:rsidRPr="00F97360">
        <w:rPr>
          <w:rFonts w:ascii="Arial" w:hAnsi="Arial" w:cs="Arial"/>
          <w:sz w:val="20"/>
        </w:rPr>
        <w:instrText xml:space="preserve"> \* MERGEFORMAT </w:instrText>
      </w:r>
      <w:r w:rsidR="00126261" w:rsidRPr="00F97360">
        <w:rPr>
          <w:rFonts w:ascii="Arial" w:hAnsi="Arial" w:cs="Arial"/>
          <w:sz w:val="20"/>
        </w:rPr>
      </w:r>
      <w:r w:rsidR="00126261" w:rsidRPr="00F97360">
        <w:rPr>
          <w:rFonts w:ascii="Arial" w:hAnsi="Arial" w:cs="Arial"/>
          <w:sz w:val="20"/>
        </w:rPr>
        <w:fldChar w:fldCharType="separate"/>
      </w:r>
      <w:r w:rsidR="00710210" w:rsidRPr="00F97360">
        <w:rPr>
          <w:rFonts w:ascii="Arial" w:hAnsi="Arial" w:cs="Arial"/>
          <w:sz w:val="20"/>
        </w:rPr>
        <w:t>11.3</w:t>
      </w:r>
      <w:r w:rsidR="00126261" w:rsidRPr="00F97360">
        <w:rPr>
          <w:rFonts w:ascii="Arial" w:hAnsi="Arial" w:cs="Arial"/>
          <w:sz w:val="20"/>
        </w:rPr>
        <w:fldChar w:fldCharType="end"/>
      </w:r>
      <w:r w:rsidRPr="00F97360">
        <w:rPr>
          <w:rFonts w:ascii="Arial" w:hAnsi="Arial" w:cs="Arial"/>
          <w:sz w:val="20"/>
        </w:rPr>
        <w:t xml:space="preserve"> appl</w:t>
      </w:r>
      <w:r w:rsidR="00504161" w:rsidRPr="00F97360">
        <w:rPr>
          <w:rFonts w:ascii="Arial" w:hAnsi="Arial" w:cs="Arial"/>
          <w:sz w:val="20"/>
        </w:rPr>
        <w:t>y</w:t>
      </w:r>
      <w:r w:rsidRPr="00F97360">
        <w:rPr>
          <w:rFonts w:ascii="Arial" w:hAnsi="Arial" w:cs="Arial"/>
          <w:sz w:val="20"/>
        </w:rPr>
        <w:t>.</w:t>
      </w:r>
      <w:bookmarkEnd w:id="193"/>
    </w:p>
    <w:p w14:paraId="56712E4C" w14:textId="7C970ECF" w:rsidR="007B4FB5" w:rsidRPr="00F97360" w:rsidRDefault="00D8597D" w:rsidP="007B4FB5">
      <w:pPr>
        <w:pStyle w:val="Untitledsubclause1"/>
        <w:rPr>
          <w:rFonts w:ascii="Arial" w:hAnsi="Arial" w:cs="Arial"/>
          <w:sz w:val="20"/>
        </w:rPr>
      </w:pPr>
      <w:bookmarkStart w:id="194" w:name="a751038"/>
      <w:r w:rsidRPr="00F97360">
        <w:rPr>
          <w:rFonts w:ascii="Arial" w:hAnsi="Arial" w:cs="Arial"/>
          <w:sz w:val="20"/>
        </w:rPr>
        <w:t xml:space="preserve">This </w:t>
      </w:r>
      <w:r w:rsidRPr="00F97360">
        <w:rPr>
          <w:rFonts w:ascii="Arial" w:hAnsi="Arial" w:cs="Arial"/>
          <w:sz w:val="20"/>
        </w:rPr>
        <w:fldChar w:fldCharType="begin"/>
      </w:r>
      <w:r w:rsidRPr="00F97360">
        <w:rPr>
          <w:rFonts w:ascii="Arial" w:hAnsi="Arial" w:cs="Arial"/>
          <w:sz w:val="20"/>
        </w:rPr>
        <w:instrText>PAGEREF a751038\# "'rule '"  \h</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 xml:space="preserve">rule </w:t>
      </w:r>
      <w:r w:rsidRPr="00F97360">
        <w:rPr>
          <w:rFonts w:ascii="Arial" w:hAnsi="Arial" w:cs="Arial"/>
          <w:sz w:val="20"/>
        </w:rPr>
        <w:fldChar w:fldCharType="end"/>
      </w:r>
      <w:r w:rsidRPr="00F97360">
        <w:rPr>
          <w:rFonts w:ascii="Arial" w:hAnsi="Arial" w:cs="Arial"/>
          <w:sz w:val="20"/>
        </w:rPr>
        <w:fldChar w:fldCharType="begin"/>
      </w:r>
      <w:r w:rsidRPr="00F97360">
        <w:rPr>
          <w:rFonts w:ascii="Arial" w:hAnsi="Arial" w:cs="Arial"/>
          <w:sz w:val="20"/>
          <w:highlight w:val="lightGray"/>
        </w:rPr>
        <w:instrText>REF a751038 \h \w</w:instrText>
      </w:r>
      <w:r w:rsidR="0037270F"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highlight w:val="lightGray"/>
        </w:rPr>
        <w:t>11.2</w:t>
      </w:r>
      <w:r w:rsidRPr="00F97360">
        <w:rPr>
          <w:rFonts w:ascii="Arial" w:hAnsi="Arial" w:cs="Arial"/>
          <w:sz w:val="20"/>
        </w:rPr>
        <w:fldChar w:fldCharType="end"/>
      </w:r>
      <w:r w:rsidRPr="00F97360">
        <w:rPr>
          <w:rFonts w:ascii="Arial" w:hAnsi="Arial" w:cs="Arial"/>
          <w:sz w:val="20"/>
        </w:rPr>
        <w:t xml:space="preserve"> applies in relation to </w:t>
      </w:r>
      <w:r w:rsidR="00D93C59" w:rsidRPr="00F97360">
        <w:rPr>
          <w:rFonts w:ascii="Arial" w:hAnsi="Arial" w:cs="Arial"/>
          <w:sz w:val="20"/>
        </w:rPr>
        <w:t>an Award</w:t>
      </w:r>
      <w:r w:rsidRPr="00F97360">
        <w:rPr>
          <w:rFonts w:ascii="Arial" w:hAnsi="Arial" w:cs="Arial"/>
          <w:sz w:val="20"/>
        </w:rPr>
        <w:t xml:space="preserve"> if the </w:t>
      </w:r>
      <w:r w:rsidR="00B00B6F" w:rsidRPr="00F97360">
        <w:rPr>
          <w:rFonts w:ascii="Arial" w:hAnsi="Arial" w:cs="Arial"/>
          <w:sz w:val="20"/>
        </w:rPr>
        <w:t>Remuneration Committee</w:t>
      </w:r>
      <w:r w:rsidRPr="00F97360">
        <w:rPr>
          <w:rFonts w:ascii="Arial" w:hAnsi="Arial" w:cs="Arial"/>
          <w:sz w:val="20"/>
        </w:rPr>
        <w:t xml:space="preserve">, </w:t>
      </w:r>
      <w:r w:rsidR="00D82986" w:rsidRPr="00F97360">
        <w:rPr>
          <w:rFonts w:ascii="Arial" w:hAnsi="Arial" w:cs="Arial"/>
          <w:sz w:val="20"/>
        </w:rPr>
        <w:t xml:space="preserve">in </w:t>
      </w:r>
      <w:r w:rsidRPr="00F97360">
        <w:rPr>
          <w:rFonts w:ascii="Arial" w:hAnsi="Arial" w:cs="Arial"/>
          <w:sz w:val="20"/>
        </w:rPr>
        <w:t xml:space="preserve">its </w:t>
      </w:r>
      <w:r w:rsidR="00D82986" w:rsidRPr="00F97360">
        <w:rPr>
          <w:rFonts w:ascii="Arial" w:hAnsi="Arial" w:cs="Arial"/>
          <w:sz w:val="20"/>
        </w:rPr>
        <w:t xml:space="preserve">absolute </w:t>
      </w:r>
      <w:r w:rsidRPr="00F97360">
        <w:rPr>
          <w:rFonts w:ascii="Arial" w:hAnsi="Arial" w:cs="Arial"/>
          <w:sz w:val="20"/>
        </w:rPr>
        <w:t>discretion, determines that any of the following circumstances exist:</w:t>
      </w:r>
      <w:bookmarkEnd w:id="194"/>
    </w:p>
    <w:p w14:paraId="424A5B91" w14:textId="4A211409" w:rsidR="00835FD4" w:rsidRPr="00F97360" w:rsidRDefault="008473D2" w:rsidP="00F97360">
      <w:pPr>
        <w:pStyle w:val="Untitledsubclause2"/>
        <w:tabs>
          <w:tab w:val="clear" w:pos="1554"/>
          <w:tab w:val="left" w:pos="1985"/>
        </w:tabs>
        <w:ind w:left="1985"/>
        <w:rPr>
          <w:rFonts w:ascii="Arial" w:hAnsi="Arial" w:cs="Arial"/>
          <w:sz w:val="20"/>
        </w:rPr>
      </w:pPr>
      <w:bookmarkStart w:id="195" w:name="a414846"/>
      <w:bookmarkStart w:id="196" w:name="a975345"/>
      <w:r w:rsidRPr="00F97360">
        <w:rPr>
          <w:rFonts w:ascii="Arial" w:hAnsi="Arial"/>
          <w:sz w:val="20"/>
        </w:rPr>
        <w:t xml:space="preserve">there is a material misstatement or restatement of the Company’s financial results or an error in calculating the number of Shares over </w:t>
      </w:r>
      <w:r w:rsidR="00314785" w:rsidRPr="00F97360">
        <w:rPr>
          <w:rFonts w:ascii="Arial" w:hAnsi="Arial"/>
          <w:sz w:val="20"/>
        </w:rPr>
        <w:t xml:space="preserve">(or in respect of) </w:t>
      </w:r>
      <w:r w:rsidRPr="00F97360">
        <w:rPr>
          <w:rFonts w:ascii="Arial" w:hAnsi="Arial"/>
          <w:sz w:val="20"/>
        </w:rPr>
        <w:t>which a</w:t>
      </w:r>
      <w:r w:rsidR="007465E7" w:rsidRPr="00F97360">
        <w:rPr>
          <w:rFonts w:ascii="Arial" w:hAnsi="Arial"/>
          <w:sz w:val="20"/>
        </w:rPr>
        <w:t xml:space="preserve">n </w:t>
      </w:r>
      <w:r w:rsidRPr="00F97360">
        <w:rPr>
          <w:rFonts w:ascii="Arial" w:hAnsi="Arial"/>
          <w:sz w:val="20"/>
        </w:rPr>
        <w:t xml:space="preserve">Award was granted or </w:t>
      </w:r>
      <w:proofErr w:type="gramStart"/>
      <w:r w:rsidRPr="00F97360">
        <w:rPr>
          <w:rFonts w:ascii="Arial" w:hAnsi="Arial"/>
          <w:sz w:val="20"/>
        </w:rPr>
        <w:t>Vests</w:t>
      </w:r>
      <w:r w:rsidR="00314785" w:rsidRPr="00F97360">
        <w:rPr>
          <w:rFonts w:ascii="Arial" w:hAnsi="Arial"/>
          <w:sz w:val="20"/>
        </w:rPr>
        <w:t>;</w:t>
      </w:r>
      <w:proofErr w:type="gramEnd"/>
    </w:p>
    <w:bookmarkEnd w:id="195"/>
    <w:p w14:paraId="56712E4D" w14:textId="0A1FA640" w:rsidR="007B4FB5" w:rsidRPr="00F97360" w:rsidRDefault="00D8597D" w:rsidP="00F97360">
      <w:pPr>
        <w:pStyle w:val="Untitledsubclause2"/>
        <w:tabs>
          <w:tab w:val="clear" w:pos="1554"/>
          <w:tab w:val="left" w:pos="1985"/>
        </w:tabs>
        <w:ind w:left="1985"/>
        <w:rPr>
          <w:rFonts w:ascii="Arial" w:hAnsi="Arial" w:cs="Arial"/>
          <w:sz w:val="20"/>
        </w:rPr>
      </w:pPr>
      <w:r w:rsidRPr="00F97360">
        <w:rPr>
          <w:rFonts w:ascii="Arial" w:hAnsi="Arial" w:cs="Arial"/>
          <w:sz w:val="20"/>
        </w:rPr>
        <w:t>the Company has reasonable evidence of fraud</w:t>
      </w:r>
      <w:r w:rsidR="004E42AF" w:rsidRPr="00F97360">
        <w:rPr>
          <w:rFonts w:ascii="Arial" w:hAnsi="Arial" w:cs="Arial"/>
          <w:sz w:val="20"/>
        </w:rPr>
        <w:t>, gross misconduct</w:t>
      </w:r>
      <w:r w:rsidR="00E24DA6" w:rsidRPr="00F97360">
        <w:rPr>
          <w:rFonts w:ascii="Arial" w:hAnsi="Arial" w:cs="Arial"/>
          <w:sz w:val="20"/>
        </w:rPr>
        <w:t>,</w:t>
      </w:r>
      <w:r w:rsidRPr="00F97360">
        <w:rPr>
          <w:rFonts w:ascii="Arial" w:hAnsi="Arial" w:cs="Arial"/>
          <w:sz w:val="20"/>
        </w:rPr>
        <w:t xml:space="preserve"> dishonesty </w:t>
      </w:r>
      <w:r w:rsidR="00E24DA6" w:rsidRPr="00F97360">
        <w:rPr>
          <w:rFonts w:ascii="Arial" w:hAnsi="Arial" w:cs="Arial"/>
          <w:sz w:val="20"/>
        </w:rPr>
        <w:t xml:space="preserve">or other behaviour which would have entitled </w:t>
      </w:r>
      <w:r w:rsidRPr="00F97360">
        <w:rPr>
          <w:rFonts w:ascii="Arial" w:hAnsi="Arial" w:cs="Arial"/>
          <w:sz w:val="20"/>
        </w:rPr>
        <w:t>the Award Holder</w:t>
      </w:r>
      <w:r w:rsidR="00E24DA6" w:rsidRPr="00F97360">
        <w:rPr>
          <w:rFonts w:ascii="Arial" w:hAnsi="Arial" w:cs="Arial"/>
          <w:sz w:val="20"/>
        </w:rPr>
        <w:t xml:space="preserve">’s employer to summarily dismiss </w:t>
      </w:r>
      <w:proofErr w:type="gramStart"/>
      <w:r w:rsidR="00E24DA6" w:rsidRPr="00F97360">
        <w:rPr>
          <w:rFonts w:ascii="Arial" w:hAnsi="Arial" w:cs="Arial"/>
          <w:sz w:val="20"/>
        </w:rPr>
        <w:t>them</w:t>
      </w:r>
      <w:r w:rsidRPr="00F97360">
        <w:rPr>
          <w:rFonts w:ascii="Arial" w:hAnsi="Arial" w:cs="Arial"/>
          <w:sz w:val="20"/>
        </w:rPr>
        <w:t>;</w:t>
      </w:r>
      <w:proofErr w:type="gramEnd"/>
    </w:p>
    <w:p w14:paraId="7DDDADD8" w14:textId="0E093CCD" w:rsidR="00D646D3" w:rsidRPr="00F97360" w:rsidRDefault="00D646D3" w:rsidP="00F97360">
      <w:pPr>
        <w:pStyle w:val="Untitledsubclause2"/>
        <w:tabs>
          <w:tab w:val="clear" w:pos="1554"/>
          <w:tab w:val="left" w:pos="1985"/>
        </w:tabs>
        <w:ind w:left="1985"/>
        <w:rPr>
          <w:rFonts w:ascii="Arial" w:hAnsi="Arial" w:cs="Arial"/>
          <w:sz w:val="20"/>
        </w:rPr>
      </w:pPr>
      <w:r w:rsidRPr="00F97360">
        <w:rPr>
          <w:rFonts w:ascii="Arial" w:hAnsi="Arial" w:cs="Arial"/>
          <w:sz w:val="20"/>
        </w:rPr>
        <w:t xml:space="preserve">a Group Company or </w:t>
      </w:r>
      <w:r w:rsidR="0007294A" w:rsidRPr="0059105D">
        <w:rPr>
          <w:rFonts w:ascii="Arial" w:hAnsi="Arial" w:cs="Arial"/>
          <w:sz w:val="20"/>
        </w:rPr>
        <w:t>B</w:t>
      </w:r>
      <w:r w:rsidRPr="00F97360">
        <w:rPr>
          <w:rFonts w:ascii="Arial" w:hAnsi="Arial" w:cs="Arial"/>
          <w:sz w:val="20"/>
        </w:rPr>
        <w:t xml:space="preserve">usiness </w:t>
      </w:r>
      <w:r w:rsidR="0007294A" w:rsidRPr="0059105D">
        <w:rPr>
          <w:rFonts w:ascii="Arial" w:hAnsi="Arial" w:cs="Arial"/>
          <w:sz w:val="20"/>
        </w:rPr>
        <w:t>U</w:t>
      </w:r>
      <w:r w:rsidRPr="00F97360">
        <w:rPr>
          <w:rFonts w:ascii="Arial" w:hAnsi="Arial" w:cs="Arial"/>
          <w:sz w:val="20"/>
        </w:rPr>
        <w:t>nit that employs or employed the Award Holder, or for which the Award Holder is or was (in whole or as to a material part) responsible, has suffered</w:t>
      </w:r>
      <w:r w:rsidR="00911AEC" w:rsidRPr="00F97360">
        <w:rPr>
          <w:rFonts w:ascii="Arial" w:hAnsi="Arial" w:cs="Arial"/>
          <w:sz w:val="20"/>
        </w:rPr>
        <w:t xml:space="preserve"> </w:t>
      </w:r>
      <w:r w:rsidRPr="00F97360">
        <w:rPr>
          <w:rFonts w:ascii="Arial" w:hAnsi="Arial" w:cs="Arial"/>
          <w:sz w:val="20"/>
        </w:rPr>
        <w:t xml:space="preserve">a </w:t>
      </w:r>
      <w:r w:rsidR="00DE22D7" w:rsidRPr="00F97360">
        <w:rPr>
          <w:rFonts w:ascii="Arial" w:hAnsi="Arial" w:cs="Arial"/>
          <w:sz w:val="20"/>
        </w:rPr>
        <w:t>material</w:t>
      </w:r>
      <w:r w:rsidRPr="00F97360">
        <w:rPr>
          <w:rFonts w:ascii="Arial" w:hAnsi="Arial" w:cs="Arial"/>
          <w:sz w:val="20"/>
        </w:rPr>
        <w:t xml:space="preserve"> health and safety </w:t>
      </w:r>
      <w:proofErr w:type="gramStart"/>
      <w:r w:rsidR="00BE0B7F" w:rsidRPr="00F97360">
        <w:rPr>
          <w:rFonts w:ascii="Arial" w:hAnsi="Arial" w:cs="Arial"/>
          <w:sz w:val="20"/>
        </w:rPr>
        <w:t>breach</w:t>
      </w:r>
      <w:r w:rsidRPr="00F97360">
        <w:rPr>
          <w:rFonts w:ascii="Arial" w:hAnsi="Arial" w:cs="Arial"/>
          <w:sz w:val="20"/>
        </w:rPr>
        <w:t>;</w:t>
      </w:r>
      <w:proofErr w:type="gramEnd"/>
    </w:p>
    <w:p w14:paraId="52D9B3F5" w14:textId="1EF79561" w:rsidR="0098194F" w:rsidRPr="00F97360" w:rsidRDefault="0098194F" w:rsidP="00F97360">
      <w:pPr>
        <w:pStyle w:val="Untitledsubclause2"/>
        <w:tabs>
          <w:tab w:val="clear" w:pos="1554"/>
          <w:tab w:val="left" w:pos="1985"/>
        </w:tabs>
        <w:ind w:left="1985"/>
        <w:rPr>
          <w:rFonts w:ascii="Arial" w:hAnsi="Arial" w:cs="Arial"/>
          <w:sz w:val="20"/>
        </w:rPr>
      </w:pPr>
      <w:bookmarkStart w:id="197" w:name="_Hlk160017283"/>
      <w:r w:rsidRPr="00F97360">
        <w:rPr>
          <w:rFonts w:ascii="Arial" w:hAnsi="Arial" w:cs="Arial"/>
          <w:sz w:val="20"/>
        </w:rPr>
        <w:t xml:space="preserve">the </w:t>
      </w:r>
      <w:r w:rsidR="0010132D" w:rsidRPr="00F97360">
        <w:rPr>
          <w:rFonts w:ascii="Arial" w:hAnsi="Arial" w:cs="Arial"/>
          <w:sz w:val="20"/>
        </w:rPr>
        <w:t>Award Holder’s</w:t>
      </w:r>
      <w:r w:rsidRPr="00F97360">
        <w:rPr>
          <w:rFonts w:ascii="Arial" w:hAnsi="Arial" w:cs="Arial"/>
          <w:sz w:val="20"/>
        </w:rPr>
        <w:t xml:space="preserve"> actions gave rise to serious reputational damage to, or the insolvency of, any </w:t>
      </w:r>
      <w:r w:rsidR="00BE2B16" w:rsidRPr="00F97360">
        <w:rPr>
          <w:rFonts w:ascii="Arial" w:hAnsi="Arial" w:cs="Arial"/>
          <w:sz w:val="20"/>
        </w:rPr>
        <w:t>G</w:t>
      </w:r>
      <w:r w:rsidRPr="00F97360">
        <w:rPr>
          <w:rFonts w:ascii="Arial" w:hAnsi="Arial" w:cs="Arial"/>
          <w:sz w:val="20"/>
        </w:rPr>
        <w:t xml:space="preserve">roup </w:t>
      </w:r>
      <w:r w:rsidR="00BE2B16" w:rsidRPr="00F97360">
        <w:rPr>
          <w:rFonts w:ascii="Arial" w:hAnsi="Arial" w:cs="Arial"/>
          <w:sz w:val="20"/>
        </w:rPr>
        <w:t xml:space="preserve">Company </w:t>
      </w:r>
      <w:r w:rsidRPr="00F97360">
        <w:rPr>
          <w:rFonts w:ascii="Arial" w:hAnsi="Arial" w:cs="Arial"/>
          <w:sz w:val="20"/>
        </w:rPr>
        <w:t xml:space="preserve">or a relevant </w:t>
      </w:r>
      <w:r w:rsidR="0007294A" w:rsidRPr="0059105D">
        <w:rPr>
          <w:rFonts w:ascii="Arial" w:hAnsi="Arial" w:cs="Arial"/>
          <w:sz w:val="20"/>
        </w:rPr>
        <w:t>B</w:t>
      </w:r>
      <w:r w:rsidRPr="00F97360">
        <w:rPr>
          <w:rFonts w:ascii="Arial" w:hAnsi="Arial" w:cs="Arial"/>
          <w:sz w:val="20"/>
        </w:rPr>
        <w:t xml:space="preserve">usiness </w:t>
      </w:r>
      <w:r w:rsidR="0007294A" w:rsidRPr="0059105D">
        <w:rPr>
          <w:rFonts w:ascii="Arial" w:hAnsi="Arial" w:cs="Arial"/>
          <w:sz w:val="20"/>
        </w:rPr>
        <w:t>U</w:t>
      </w:r>
      <w:r w:rsidRPr="00F97360">
        <w:rPr>
          <w:rFonts w:ascii="Arial" w:hAnsi="Arial" w:cs="Arial"/>
          <w:sz w:val="20"/>
        </w:rPr>
        <w:t>nit</w:t>
      </w:r>
    </w:p>
    <w:p w14:paraId="56712E55" w14:textId="43EDFADC" w:rsidR="009D0F97" w:rsidRPr="00F97360" w:rsidRDefault="00D8597D" w:rsidP="00C420DC">
      <w:pPr>
        <w:pStyle w:val="Untitledsubclause2"/>
        <w:numPr>
          <w:ilvl w:val="0"/>
          <w:numId w:val="0"/>
        </w:numPr>
        <w:ind w:left="994"/>
        <w:rPr>
          <w:rFonts w:ascii="Arial" w:hAnsi="Arial" w:cs="Arial"/>
          <w:sz w:val="20"/>
          <w:highlight w:val="yellow"/>
        </w:rPr>
      </w:pPr>
      <w:bookmarkStart w:id="198" w:name="a644224"/>
      <w:bookmarkStart w:id="199" w:name="a585683"/>
      <w:bookmarkEnd w:id="196"/>
      <w:bookmarkEnd w:id="197"/>
      <w:r w:rsidRPr="00F97360">
        <w:rPr>
          <w:rFonts w:ascii="Arial" w:hAnsi="Arial" w:cs="Arial"/>
          <w:sz w:val="20"/>
        </w:rPr>
        <w:lastRenderedPageBreak/>
        <w:t xml:space="preserve">any </w:t>
      </w:r>
      <w:r w:rsidR="00AC5729" w:rsidRPr="00F97360">
        <w:rPr>
          <w:rFonts w:ascii="Arial" w:hAnsi="Arial" w:cs="Arial"/>
          <w:sz w:val="20"/>
        </w:rPr>
        <w:t xml:space="preserve">such </w:t>
      </w:r>
      <w:r w:rsidRPr="00F97360">
        <w:rPr>
          <w:rFonts w:ascii="Arial" w:hAnsi="Arial" w:cs="Arial"/>
          <w:sz w:val="20"/>
        </w:rPr>
        <w:t xml:space="preserve">circumstances </w:t>
      </w:r>
      <w:r w:rsidR="00AC5729" w:rsidRPr="00F97360">
        <w:rPr>
          <w:rFonts w:ascii="Arial" w:hAnsi="Arial" w:cs="Arial"/>
          <w:sz w:val="20"/>
        </w:rPr>
        <w:t xml:space="preserve">which the </w:t>
      </w:r>
      <w:r w:rsidR="00623047" w:rsidRPr="00F97360">
        <w:rPr>
          <w:rFonts w:ascii="Arial" w:hAnsi="Arial" w:cs="Arial"/>
          <w:sz w:val="20"/>
        </w:rPr>
        <w:t>Remuneration Committee</w:t>
      </w:r>
      <w:r w:rsidR="00AC5729" w:rsidRPr="00F97360">
        <w:rPr>
          <w:rFonts w:ascii="Arial" w:hAnsi="Arial" w:cs="Arial"/>
          <w:sz w:val="20"/>
        </w:rPr>
        <w:t xml:space="preserve"> determines </w:t>
      </w:r>
      <w:r w:rsidRPr="00F97360">
        <w:rPr>
          <w:rFonts w:ascii="Arial" w:hAnsi="Arial" w:cs="Arial"/>
          <w:sz w:val="20"/>
        </w:rPr>
        <w:t>exist</w:t>
      </w:r>
      <w:r w:rsidR="00AC5729" w:rsidRPr="00F97360">
        <w:rPr>
          <w:rFonts w:ascii="Arial" w:hAnsi="Arial" w:cs="Arial"/>
          <w:sz w:val="20"/>
        </w:rPr>
        <w:t xml:space="preserve"> being the “</w:t>
      </w:r>
      <w:r w:rsidR="00AC5729" w:rsidRPr="00F97360">
        <w:rPr>
          <w:rFonts w:ascii="Arial" w:hAnsi="Arial" w:cs="Arial"/>
          <w:b/>
          <w:bCs/>
          <w:sz w:val="20"/>
        </w:rPr>
        <w:t>Relevant Circumstances</w:t>
      </w:r>
      <w:r w:rsidR="00AC5729" w:rsidRPr="00F97360">
        <w:rPr>
          <w:rFonts w:ascii="Arial" w:hAnsi="Arial" w:cs="Arial"/>
          <w:sz w:val="20"/>
        </w:rPr>
        <w:t>”.</w:t>
      </w:r>
    </w:p>
    <w:p w14:paraId="56712E56" w14:textId="0BF57ACC" w:rsidR="007B4FB5" w:rsidRPr="00F97360" w:rsidRDefault="00D8597D" w:rsidP="007B4FB5">
      <w:pPr>
        <w:pStyle w:val="Untitledsubclause1"/>
        <w:rPr>
          <w:rFonts w:ascii="Arial" w:hAnsi="Arial" w:cs="Arial"/>
          <w:sz w:val="20"/>
        </w:rPr>
      </w:pPr>
      <w:bookmarkStart w:id="200" w:name="_Ref102991480"/>
      <w:bookmarkEnd w:id="198"/>
      <w:r w:rsidRPr="00F97360">
        <w:rPr>
          <w:rFonts w:ascii="Arial" w:hAnsi="Arial" w:cs="Arial"/>
          <w:sz w:val="20"/>
        </w:rPr>
        <w:t xml:space="preserve">This </w:t>
      </w:r>
      <w:r w:rsidRPr="00F97360">
        <w:rPr>
          <w:rFonts w:ascii="Arial" w:hAnsi="Arial" w:cs="Arial"/>
          <w:sz w:val="20"/>
        </w:rPr>
        <w:fldChar w:fldCharType="begin"/>
      </w:r>
      <w:r w:rsidRPr="00F97360">
        <w:rPr>
          <w:rFonts w:ascii="Arial" w:hAnsi="Arial" w:cs="Arial"/>
          <w:sz w:val="20"/>
        </w:rPr>
        <w:instrText>PAGEREF a585683\# "'rule '"  \h</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 xml:space="preserve">rule </w:t>
      </w:r>
      <w:r w:rsidRPr="00F97360">
        <w:rPr>
          <w:rFonts w:ascii="Arial" w:hAnsi="Arial" w:cs="Arial"/>
          <w:sz w:val="20"/>
        </w:rPr>
        <w:fldChar w:fldCharType="end"/>
      </w:r>
      <w:r w:rsidR="00126261" w:rsidRPr="00F97360">
        <w:rPr>
          <w:rFonts w:ascii="Arial" w:hAnsi="Arial" w:cs="Arial"/>
          <w:sz w:val="20"/>
        </w:rPr>
        <w:fldChar w:fldCharType="begin"/>
      </w:r>
      <w:r w:rsidR="00126261" w:rsidRPr="00F97360">
        <w:rPr>
          <w:rFonts w:ascii="Arial" w:hAnsi="Arial" w:cs="Arial"/>
          <w:sz w:val="20"/>
        </w:rPr>
        <w:instrText xml:space="preserve"> REF _Ref102991480 \r \h </w:instrText>
      </w:r>
      <w:r w:rsidR="004C1A6B" w:rsidRPr="00F97360">
        <w:rPr>
          <w:rFonts w:ascii="Arial" w:hAnsi="Arial" w:cs="Arial"/>
          <w:sz w:val="20"/>
        </w:rPr>
        <w:instrText xml:space="preserve"> \* MERGEFORMAT </w:instrText>
      </w:r>
      <w:r w:rsidR="00126261" w:rsidRPr="00F97360">
        <w:rPr>
          <w:rFonts w:ascii="Arial" w:hAnsi="Arial" w:cs="Arial"/>
          <w:sz w:val="20"/>
        </w:rPr>
      </w:r>
      <w:r w:rsidR="00126261" w:rsidRPr="00F97360">
        <w:rPr>
          <w:rFonts w:ascii="Arial" w:hAnsi="Arial" w:cs="Arial"/>
          <w:sz w:val="20"/>
        </w:rPr>
        <w:fldChar w:fldCharType="separate"/>
      </w:r>
      <w:r w:rsidR="00710210" w:rsidRPr="00F97360">
        <w:rPr>
          <w:rFonts w:ascii="Arial" w:hAnsi="Arial" w:cs="Arial"/>
          <w:sz w:val="20"/>
        </w:rPr>
        <w:t>11.3</w:t>
      </w:r>
      <w:r w:rsidR="00126261" w:rsidRPr="00F97360">
        <w:rPr>
          <w:rFonts w:ascii="Arial" w:hAnsi="Arial" w:cs="Arial"/>
          <w:sz w:val="20"/>
        </w:rPr>
        <w:fldChar w:fldCharType="end"/>
      </w:r>
      <w:r w:rsidRPr="00F97360">
        <w:rPr>
          <w:rFonts w:ascii="Arial" w:hAnsi="Arial" w:cs="Arial"/>
          <w:sz w:val="20"/>
        </w:rPr>
        <w:t xml:space="preserve"> applies in relation to </w:t>
      </w:r>
      <w:r w:rsidR="00D93C59" w:rsidRPr="00F97360">
        <w:rPr>
          <w:rFonts w:ascii="Arial" w:hAnsi="Arial" w:cs="Arial"/>
          <w:sz w:val="20"/>
        </w:rPr>
        <w:t>an Award</w:t>
      </w:r>
      <w:r w:rsidRPr="00F97360">
        <w:rPr>
          <w:rFonts w:ascii="Arial" w:hAnsi="Arial" w:cs="Arial"/>
          <w:sz w:val="20"/>
        </w:rPr>
        <w:t xml:space="preserve"> if the </w:t>
      </w:r>
      <w:r w:rsidR="00623047" w:rsidRPr="00F97360">
        <w:rPr>
          <w:rFonts w:ascii="Arial" w:hAnsi="Arial" w:cs="Arial"/>
          <w:sz w:val="20"/>
        </w:rPr>
        <w:t>Remuneration Committee</w:t>
      </w:r>
      <w:r w:rsidRPr="00F97360">
        <w:rPr>
          <w:rFonts w:ascii="Arial" w:hAnsi="Arial" w:cs="Arial"/>
          <w:sz w:val="20"/>
        </w:rPr>
        <w:t xml:space="preserve">, at its discretion, determines that, if the </w:t>
      </w:r>
      <w:r w:rsidR="00AC5729" w:rsidRPr="00F97360">
        <w:rPr>
          <w:rFonts w:ascii="Arial" w:hAnsi="Arial" w:cs="Arial"/>
          <w:sz w:val="20"/>
        </w:rPr>
        <w:t xml:space="preserve">Relevant Circumstances </w:t>
      </w:r>
      <w:r w:rsidRPr="00F97360">
        <w:rPr>
          <w:rFonts w:ascii="Arial" w:hAnsi="Arial" w:cs="Arial"/>
          <w:sz w:val="20"/>
        </w:rPr>
        <w:t xml:space="preserve">had existed, and the </w:t>
      </w:r>
      <w:r w:rsidR="00623047" w:rsidRPr="00F97360">
        <w:rPr>
          <w:rFonts w:ascii="Arial" w:hAnsi="Arial" w:cs="Arial"/>
          <w:sz w:val="20"/>
        </w:rPr>
        <w:t>Remuneration Committee</w:t>
      </w:r>
      <w:r w:rsidRPr="00F97360">
        <w:rPr>
          <w:rFonts w:ascii="Arial" w:hAnsi="Arial" w:cs="Arial"/>
          <w:sz w:val="20"/>
        </w:rPr>
        <w:t xml:space="preserve"> had been fully aware that they existed:</w:t>
      </w:r>
      <w:bookmarkEnd w:id="199"/>
      <w:bookmarkEnd w:id="200"/>
    </w:p>
    <w:p w14:paraId="56712E57" w14:textId="411FBCA9" w:rsidR="007B4FB5" w:rsidRPr="00F97360" w:rsidRDefault="00D8597D" w:rsidP="00F97360">
      <w:pPr>
        <w:pStyle w:val="Untitledsubclause2"/>
        <w:tabs>
          <w:tab w:val="clear" w:pos="1554"/>
          <w:tab w:val="num" w:pos="1985"/>
        </w:tabs>
        <w:ind w:left="1985"/>
        <w:rPr>
          <w:rFonts w:ascii="Arial" w:hAnsi="Arial" w:cs="Arial"/>
          <w:sz w:val="20"/>
        </w:rPr>
      </w:pPr>
      <w:bookmarkStart w:id="201" w:name="a247918"/>
      <w:r w:rsidRPr="00F97360">
        <w:rPr>
          <w:rFonts w:ascii="Arial" w:hAnsi="Arial" w:cs="Arial"/>
          <w:sz w:val="20"/>
        </w:rPr>
        <w:t>at the Grant Date, or</w:t>
      </w:r>
      <w:bookmarkEnd w:id="201"/>
    </w:p>
    <w:p w14:paraId="56712E58" w14:textId="5AA1FFC4" w:rsidR="007B4FB5" w:rsidRPr="00F97360" w:rsidRDefault="00D8597D" w:rsidP="00F97360">
      <w:pPr>
        <w:pStyle w:val="Untitledsubclause2"/>
        <w:tabs>
          <w:tab w:val="clear" w:pos="1554"/>
          <w:tab w:val="num" w:pos="1985"/>
        </w:tabs>
        <w:ind w:left="1985"/>
        <w:rPr>
          <w:rFonts w:ascii="Arial" w:hAnsi="Arial" w:cs="Arial"/>
          <w:sz w:val="20"/>
        </w:rPr>
      </w:pPr>
      <w:bookmarkStart w:id="202" w:name="a762075"/>
      <w:r w:rsidRPr="00F97360">
        <w:rPr>
          <w:rFonts w:ascii="Arial" w:hAnsi="Arial" w:cs="Arial"/>
          <w:sz w:val="20"/>
        </w:rPr>
        <w:t xml:space="preserve">in the case of </w:t>
      </w:r>
      <w:r w:rsidR="00D93C59" w:rsidRPr="00F97360">
        <w:rPr>
          <w:rFonts w:ascii="Arial" w:hAnsi="Arial" w:cs="Arial"/>
          <w:sz w:val="20"/>
        </w:rPr>
        <w:t>an Award</w:t>
      </w:r>
      <w:r w:rsidRPr="00F97360">
        <w:rPr>
          <w:rFonts w:ascii="Arial" w:hAnsi="Arial" w:cs="Arial"/>
          <w:sz w:val="20"/>
        </w:rPr>
        <w:t xml:space="preserve"> that has already </w:t>
      </w:r>
      <w:r w:rsidR="00D44FC6" w:rsidRPr="00F97360">
        <w:rPr>
          <w:rFonts w:ascii="Arial" w:hAnsi="Arial" w:cs="Arial"/>
          <w:sz w:val="20"/>
        </w:rPr>
        <w:t>Vested</w:t>
      </w:r>
      <w:r w:rsidRPr="00F97360">
        <w:rPr>
          <w:rFonts w:ascii="Arial" w:hAnsi="Arial" w:cs="Arial"/>
          <w:sz w:val="20"/>
        </w:rPr>
        <w:t xml:space="preserve">, at the </w:t>
      </w:r>
      <w:r w:rsidR="001660A3" w:rsidRPr="00F97360">
        <w:rPr>
          <w:rFonts w:ascii="Arial" w:hAnsi="Arial" w:cs="Arial"/>
          <w:sz w:val="20"/>
        </w:rPr>
        <w:t>d</w:t>
      </w:r>
      <w:r w:rsidRPr="00F97360">
        <w:rPr>
          <w:rFonts w:ascii="Arial" w:hAnsi="Arial" w:cs="Arial"/>
          <w:sz w:val="20"/>
        </w:rPr>
        <w:t>ate</w:t>
      </w:r>
      <w:r w:rsidR="001660A3" w:rsidRPr="00F97360">
        <w:rPr>
          <w:rFonts w:ascii="Arial" w:hAnsi="Arial" w:cs="Arial"/>
          <w:sz w:val="20"/>
        </w:rPr>
        <w:t xml:space="preserve"> it </w:t>
      </w:r>
      <w:r w:rsidR="00D44FC6" w:rsidRPr="00F97360">
        <w:rPr>
          <w:rFonts w:ascii="Arial" w:hAnsi="Arial" w:cs="Arial"/>
          <w:sz w:val="20"/>
        </w:rPr>
        <w:t>Vested</w:t>
      </w:r>
      <w:r w:rsidRPr="00F97360">
        <w:rPr>
          <w:rFonts w:ascii="Arial" w:hAnsi="Arial" w:cs="Arial"/>
          <w:sz w:val="20"/>
        </w:rPr>
        <w:t>,</w:t>
      </w:r>
      <w:bookmarkEnd w:id="202"/>
    </w:p>
    <w:p w14:paraId="56712E59" w14:textId="77777777" w:rsidR="007B4FB5" w:rsidRPr="00F97360" w:rsidRDefault="00D8597D" w:rsidP="007B4FB5">
      <w:pPr>
        <w:pStyle w:val="Parasubclause1"/>
        <w:rPr>
          <w:rFonts w:ascii="Arial" w:hAnsi="Arial" w:cs="Arial"/>
          <w:sz w:val="20"/>
        </w:rPr>
      </w:pPr>
      <w:r w:rsidRPr="00F97360">
        <w:rPr>
          <w:rFonts w:ascii="Arial" w:hAnsi="Arial" w:cs="Arial"/>
          <w:sz w:val="20"/>
        </w:rPr>
        <w:t>then:</w:t>
      </w:r>
    </w:p>
    <w:p w14:paraId="56712E5A" w14:textId="111FE2A3" w:rsidR="007B4FB5" w:rsidRPr="00F97360" w:rsidRDefault="00D8597D" w:rsidP="00F97360">
      <w:pPr>
        <w:pStyle w:val="Untitledsubclause2"/>
        <w:tabs>
          <w:tab w:val="clear" w:pos="1554"/>
          <w:tab w:val="num" w:pos="1985"/>
        </w:tabs>
        <w:ind w:left="1985"/>
        <w:rPr>
          <w:rFonts w:ascii="Arial" w:hAnsi="Arial" w:cs="Arial"/>
          <w:sz w:val="20"/>
        </w:rPr>
      </w:pPr>
      <w:bookmarkStart w:id="203" w:name="a157285"/>
      <w:r w:rsidRPr="00F97360">
        <w:rPr>
          <w:rFonts w:ascii="Arial" w:hAnsi="Arial" w:cs="Arial"/>
          <w:sz w:val="20"/>
        </w:rPr>
        <w:t xml:space="preserve">the </w:t>
      </w:r>
      <w:r w:rsidR="00623047" w:rsidRPr="00F97360">
        <w:rPr>
          <w:rFonts w:ascii="Arial" w:hAnsi="Arial" w:cs="Arial"/>
          <w:sz w:val="20"/>
        </w:rPr>
        <w:t>Remuneration Committee</w:t>
      </w:r>
      <w:r w:rsidRPr="00F97360">
        <w:rPr>
          <w:rFonts w:ascii="Arial" w:hAnsi="Arial" w:cs="Arial"/>
          <w:sz w:val="20"/>
        </w:rPr>
        <w:t xml:space="preserve"> would not have granted the </w:t>
      </w:r>
      <w:proofErr w:type="gramStart"/>
      <w:r w:rsidR="00D67DB9" w:rsidRPr="00F97360">
        <w:rPr>
          <w:rFonts w:ascii="Arial" w:hAnsi="Arial" w:cs="Arial"/>
          <w:sz w:val="20"/>
        </w:rPr>
        <w:t>Award</w:t>
      </w:r>
      <w:r w:rsidRPr="00F97360">
        <w:rPr>
          <w:rFonts w:ascii="Arial" w:hAnsi="Arial" w:cs="Arial"/>
          <w:sz w:val="20"/>
        </w:rPr>
        <w:t>;</w:t>
      </w:r>
      <w:bookmarkEnd w:id="203"/>
      <w:proofErr w:type="gramEnd"/>
    </w:p>
    <w:p w14:paraId="56712E5B" w14:textId="0A0BA01B" w:rsidR="007B4FB5" w:rsidRPr="00F97360" w:rsidRDefault="00D8597D" w:rsidP="00F97360">
      <w:pPr>
        <w:pStyle w:val="Untitledsubclause2"/>
        <w:tabs>
          <w:tab w:val="clear" w:pos="1554"/>
          <w:tab w:val="num" w:pos="1985"/>
        </w:tabs>
        <w:ind w:left="1985"/>
        <w:rPr>
          <w:rFonts w:ascii="Arial" w:hAnsi="Arial" w:cs="Arial"/>
          <w:sz w:val="20"/>
        </w:rPr>
      </w:pPr>
      <w:bookmarkStart w:id="204" w:name="a971656"/>
      <w:r w:rsidRPr="00F97360">
        <w:rPr>
          <w:rFonts w:ascii="Arial" w:hAnsi="Arial" w:cs="Arial"/>
          <w:sz w:val="20"/>
        </w:rPr>
        <w:t xml:space="preserve">the </w:t>
      </w:r>
      <w:r w:rsidR="00623047" w:rsidRPr="00F97360">
        <w:rPr>
          <w:rFonts w:ascii="Arial" w:hAnsi="Arial" w:cs="Arial"/>
          <w:sz w:val="20"/>
        </w:rPr>
        <w:t>Remuneration Committee</w:t>
      </w:r>
      <w:r w:rsidRPr="00F97360">
        <w:rPr>
          <w:rFonts w:ascii="Arial" w:hAnsi="Arial" w:cs="Arial"/>
          <w:sz w:val="20"/>
        </w:rPr>
        <w:t xml:space="preserve"> would have granted the </w:t>
      </w:r>
      <w:r w:rsidR="00D67DB9" w:rsidRPr="00F97360">
        <w:rPr>
          <w:rFonts w:ascii="Arial" w:hAnsi="Arial" w:cs="Arial"/>
          <w:sz w:val="20"/>
        </w:rPr>
        <w:t>Award</w:t>
      </w:r>
      <w:r w:rsidRPr="00F97360">
        <w:rPr>
          <w:rFonts w:ascii="Arial" w:hAnsi="Arial" w:cs="Arial"/>
          <w:sz w:val="20"/>
        </w:rPr>
        <w:t xml:space="preserve"> in relation to a smaller number of Shares; or</w:t>
      </w:r>
      <w:bookmarkEnd w:id="204"/>
    </w:p>
    <w:p w14:paraId="56712E5C" w14:textId="149CF9A0" w:rsidR="007B4FB5" w:rsidRPr="00F97360" w:rsidRDefault="00D8597D" w:rsidP="00F97360">
      <w:pPr>
        <w:pStyle w:val="Untitledsubclause2"/>
        <w:tabs>
          <w:tab w:val="clear" w:pos="1554"/>
          <w:tab w:val="num" w:pos="1985"/>
        </w:tabs>
        <w:ind w:left="1985"/>
        <w:rPr>
          <w:rFonts w:ascii="Arial" w:hAnsi="Arial" w:cs="Arial"/>
          <w:sz w:val="20"/>
        </w:rPr>
      </w:pPr>
      <w:bookmarkStart w:id="205" w:name="a794119"/>
      <w:r w:rsidRPr="00F97360">
        <w:rPr>
          <w:rFonts w:ascii="Arial" w:hAnsi="Arial" w:cs="Arial"/>
          <w:sz w:val="20"/>
        </w:rPr>
        <w:t xml:space="preserve">in the case of </w:t>
      </w:r>
      <w:r w:rsidR="00D93C59" w:rsidRPr="00F97360">
        <w:rPr>
          <w:rFonts w:ascii="Arial" w:hAnsi="Arial" w:cs="Arial"/>
          <w:sz w:val="20"/>
        </w:rPr>
        <w:t>an Award</w:t>
      </w:r>
      <w:r w:rsidRPr="00F97360">
        <w:rPr>
          <w:rFonts w:ascii="Arial" w:hAnsi="Arial" w:cs="Arial"/>
          <w:sz w:val="20"/>
        </w:rPr>
        <w:t xml:space="preserve"> that has already </w:t>
      </w:r>
      <w:r w:rsidR="00D44FC6" w:rsidRPr="00F97360">
        <w:rPr>
          <w:rFonts w:ascii="Arial" w:hAnsi="Arial" w:cs="Arial"/>
          <w:sz w:val="20"/>
        </w:rPr>
        <w:t>Vested</w:t>
      </w:r>
      <w:r w:rsidRPr="00F97360">
        <w:rPr>
          <w:rFonts w:ascii="Arial" w:hAnsi="Arial" w:cs="Arial"/>
          <w:sz w:val="20"/>
        </w:rPr>
        <w:t>:</w:t>
      </w:r>
      <w:bookmarkEnd w:id="205"/>
    </w:p>
    <w:p w14:paraId="56712E5D" w14:textId="25F37200" w:rsidR="007B4FB5" w:rsidRPr="00F97360" w:rsidRDefault="00D8597D" w:rsidP="007B4FB5">
      <w:pPr>
        <w:pStyle w:val="Untitledsubclause3"/>
        <w:rPr>
          <w:rFonts w:ascii="Arial" w:hAnsi="Arial" w:cs="Arial"/>
          <w:sz w:val="20"/>
        </w:rPr>
      </w:pPr>
      <w:bookmarkStart w:id="206" w:name="a61153"/>
      <w:r w:rsidRPr="00F97360">
        <w:rPr>
          <w:rFonts w:ascii="Arial" w:hAnsi="Arial" w:cs="Arial"/>
          <w:sz w:val="20"/>
        </w:rPr>
        <w:t xml:space="preserve">it would not have </w:t>
      </w:r>
      <w:r w:rsidR="00D44FC6" w:rsidRPr="00F97360">
        <w:rPr>
          <w:rFonts w:ascii="Arial" w:hAnsi="Arial" w:cs="Arial"/>
          <w:sz w:val="20"/>
        </w:rPr>
        <w:t>Vested</w:t>
      </w:r>
      <w:r w:rsidRPr="00F97360">
        <w:rPr>
          <w:rFonts w:ascii="Arial" w:hAnsi="Arial" w:cs="Arial"/>
          <w:sz w:val="20"/>
        </w:rPr>
        <w:t xml:space="preserve"> at all, or</w:t>
      </w:r>
      <w:bookmarkEnd w:id="206"/>
    </w:p>
    <w:p w14:paraId="56712E5E" w14:textId="59B609A2" w:rsidR="007B4FB5" w:rsidRPr="00F97360" w:rsidRDefault="00D8597D" w:rsidP="007B4FB5">
      <w:pPr>
        <w:pStyle w:val="Untitledsubclause3"/>
        <w:rPr>
          <w:rFonts w:ascii="Arial" w:hAnsi="Arial" w:cs="Arial"/>
          <w:sz w:val="20"/>
        </w:rPr>
      </w:pPr>
      <w:bookmarkStart w:id="207" w:name="a260053"/>
      <w:r w:rsidRPr="00F97360">
        <w:rPr>
          <w:rFonts w:ascii="Arial" w:hAnsi="Arial" w:cs="Arial"/>
          <w:sz w:val="20"/>
        </w:rPr>
        <w:t xml:space="preserve">it would have </w:t>
      </w:r>
      <w:r w:rsidR="00D44FC6" w:rsidRPr="00F97360">
        <w:rPr>
          <w:rFonts w:ascii="Arial" w:hAnsi="Arial" w:cs="Arial"/>
          <w:sz w:val="20"/>
        </w:rPr>
        <w:t>Vested</w:t>
      </w:r>
      <w:r w:rsidRPr="00F97360">
        <w:rPr>
          <w:rFonts w:ascii="Arial" w:hAnsi="Arial" w:cs="Arial"/>
          <w:sz w:val="20"/>
        </w:rPr>
        <w:t xml:space="preserve"> in relation to a smaller number of Shares.</w:t>
      </w:r>
      <w:bookmarkEnd w:id="207"/>
    </w:p>
    <w:p w14:paraId="56712E5F" w14:textId="498867CB" w:rsidR="007B4FB5" w:rsidRPr="00F97360" w:rsidRDefault="00D8597D" w:rsidP="007B4FB5">
      <w:pPr>
        <w:pStyle w:val="Untitledsubclause1"/>
        <w:rPr>
          <w:rFonts w:ascii="Arial" w:hAnsi="Arial" w:cs="Arial"/>
          <w:sz w:val="20"/>
        </w:rPr>
      </w:pPr>
      <w:bookmarkStart w:id="208" w:name="a451961"/>
      <w:r w:rsidRPr="00F97360">
        <w:rPr>
          <w:rFonts w:ascii="Arial" w:hAnsi="Arial" w:cs="Arial"/>
          <w:sz w:val="20"/>
        </w:rPr>
        <w:t xml:space="preserve">The </w:t>
      </w:r>
      <w:r w:rsidR="00623047" w:rsidRPr="00F97360">
        <w:rPr>
          <w:rFonts w:ascii="Arial" w:hAnsi="Arial" w:cs="Arial"/>
          <w:sz w:val="20"/>
        </w:rPr>
        <w:t>Remuneration Committee</w:t>
      </w:r>
      <w:r w:rsidRPr="00F97360">
        <w:rPr>
          <w:rFonts w:ascii="Arial" w:hAnsi="Arial" w:cs="Arial"/>
          <w:sz w:val="20"/>
        </w:rPr>
        <w:t xml:space="preserve"> may make a determination in relation to </w:t>
      </w:r>
      <w:r w:rsidR="00D93C59" w:rsidRPr="00F97360">
        <w:rPr>
          <w:rFonts w:ascii="Arial" w:hAnsi="Arial" w:cs="Arial"/>
          <w:sz w:val="20"/>
        </w:rPr>
        <w:t>an Award</w:t>
      </w:r>
      <w:r w:rsidRPr="00F97360">
        <w:rPr>
          <w:rFonts w:ascii="Arial" w:hAnsi="Arial" w:cs="Arial"/>
          <w:sz w:val="20"/>
        </w:rPr>
        <w:t xml:space="preserve"> under </w:t>
      </w:r>
      <w:r w:rsidRPr="00F97360">
        <w:rPr>
          <w:rFonts w:ascii="Arial" w:hAnsi="Arial" w:cs="Arial"/>
          <w:sz w:val="20"/>
        </w:rPr>
        <w:fldChar w:fldCharType="begin"/>
      </w:r>
      <w:r w:rsidRPr="00F97360">
        <w:rPr>
          <w:rFonts w:ascii="Arial" w:hAnsi="Arial" w:cs="Arial"/>
          <w:sz w:val="20"/>
        </w:rPr>
        <w:instrText>PAGEREF a714948\# "'rule '"  \h</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 xml:space="preserve">rule </w:t>
      </w:r>
      <w:r w:rsidRPr="00F97360">
        <w:rPr>
          <w:rFonts w:ascii="Arial" w:hAnsi="Arial" w:cs="Arial"/>
          <w:sz w:val="20"/>
        </w:rPr>
        <w:fldChar w:fldCharType="end"/>
      </w:r>
      <w:r w:rsidRPr="00F97360">
        <w:rPr>
          <w:rFonts w:ascii="Arial" w:hAnsi="Arial" w:cs="Arial"/>
          <w:sz w:val="20"/>
        </w:rPr>
        <w:fldChar w:fldCharType="begin"/>
      </w:r>
      <w:r w:rsidRPr="00F97360">
        <w:rPr>
          <w:rFonts w:ascii="Arial" w:hAnsi="Arial" w:cs="Arial"/>
          <w:sz w:val="20"/>
          <w:highlight w:val="lightGray"/>
        </w:rPr>
        <w:instrText>REF a714948 \h \w</w:instrText>
      </w:r>
      <w:r w:rsidR="0037270F"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highlight w:val="lightGray"/>
        </w:rPr>
        <w:t>11</w:t>
      </w:r>
      <w:r w:rsidRPr="00F97360">
        <w:rPr>
          <w:rFonts w:ascii="Arial" w:hAnsi="Arial" w:cs="Arial"/>
          <w:sz w:val="20"/>
        </w:rPr>
        <w:fldChar w:fldCharType="end"/>
      </w:r>
      <w:r w:rsidRPr="00F97360">
        <w:rPr>
          <w:rFonts w:ascii="Arial" w:hAnsi="Arial" w:cs="Arial"/>
          <w:sz w:val="20"/>
        </w:rPr>
        <w:t xml:space="preserve"> at any time between the </w:t>
      </w:r>
      <w:r w:rsidR="00D67DB9" w:rsidRPr="00F97360">
        <w:rPr>
          <w:rFonts w:ascii="Arial" w:hAnsi="Arial" w:cs="Arial"/>
          <w:sz w:val="20"/>
        </w:rPr>
        <w:t>Award</w:t>
      </w:r>
      <w:r w:rsidRPr="00F97360">
        <w:rPr>
          <w:rFonts w:ascii="Arial" w:hAnsi="Arial" w:cs="Arial"/>
          <w:sz w:val="20"/>
        </w:rPr>
        <w:t xml:space="preserve">’s Grant Date and the second anniversary of its </w:t>
      </w:r>
      <w:r w:rsidR="003D11C8" w:rsidRPr="00F97360">
        <w:rPr>
          <w:rFonts w:ascii="Arial" w:hAnsi="Arial" w:cs="Arial"/>
          <w:sz w:val="20"/>
        </w:rPr>
        <w:t>Vesting Date</w:t>
      </w:r>
      <w:r w:rsidRPr="00F97360">
        <w:rPr>
          <w:rFonts w:ascii="Arial" w:hAnsi="Arial" w:cs="Arial"/>
          <w:sz w:val="20"/>
        </w:rPr>
        <w:t xml:space="preserve"> provided that if, during the period between the </w:t>
      </w:r>
      <w:r w:rsidR="00D44FC6" w:rsidRPr="00F97360">
        <w:rPr>
          <w:rFonts w:ascii="Arial" w:hAnsi="Arial" w:cs="Arial"/>
          <w:sz w:val="20"/>
        </w:rPr>
        <w:t>Vesting Date</w:t>
      </w:r>
      <w:r w:rsidRPr="00F97360">
        <w:rPr>
          <w:rFonts w:ascii="Arial" w:hAnsi="Arial" w:cs="Arial"/>
          <w:sz w:val="20"/>
        </w:rPr>
        <w:t xml:space="preserve"> and its second anniversary, two sets of audited accounts for separate Years of the Company have not been published, the period during which the </w:t>
      </w:r>
      <w:r w:rsidR="00623047" w:rsidRPr="00F97360">
        <w:rPr>
          <w:rFonts w:ascii="Arial" w:hAnsi="Arial" w:cs="Arial"/>
          <w:sz w:val="20"/>
        </w:rPr>
        <w:t>Remuneration Committee</w:t>
      </w:r>
      <w:r w:rsidRPr="00F97360">
        <w:rPr>
          <w:rFonts w:ascii="Arial" w:hAnsi="Arial" w:cs="Arial"/>
          <w:sz w:val="20"/>
        </w:rPr>
        <w:t xml:space="preserve"> may make such a determination will be extended until the date on which the second set of audited accounts is published.</w:t>
      </w:r>
      <w:bookmarkEnd w:id="208"/>
    </w:p>
    <w:p w14:paraId="56712E60" w14:textId="3A84007D" w:rsidR="001B21E5" w:rsidRPr="00F97360" w:rsidRDefault="00D8597D" w:rsidP="007B4FB5">
      <w:pPr>
        <w:pStyle w:val="Untitledsubclause1"/>
        <w:rPr>
          <w:rFonts w:ascii="Arial" w:hAnsi="Arial" w:cs="Arial"/>
          <w:sz w:val="20"/>
        </w:rPr>
      </w:pPr>
      <w:r w:rsidRPr="00F97360">
        <w:rPr>
          <w:rFonts w:ascii="Arial" w:hAnsi="Arial" w:cs="Arial"/>
          <w:sz w:val="20"/>
        </w:rPr>
        <w:t xml:space="preserve">If an investigation into the conduct or actions of </w:t>
      </w:r>
      <w:r w:rsidR="00AA32FF" w:rsidRPr="00F97360">
        <w:rPr>
          <w:rFonts w:ascii="Arial" w:hAnsi="Arial" w:cs="Arial"/>
          <w:sz w:val="20"/>
        </w:rPr>
        <w:t>an Award Holder</w:t>
      </w:r>
      <w:r w:rsidRPr="00F97360">
        <w:rPr>
          <w:rFonts w:ascii="Arial" w:hAnsi="Arial" w:cs="Arial"/>
          <w:sz w:val="20"/>
        </w:rPr>
        <w:t xml:space="preserve"> has started before the</w:t>
      </w:r>
      <w:r w:rsidR="00885066" w:rsidRPr="00F97360">
        <w:rPr>
          <w:rFonts w:ascii="Arial" w:hAnsi="Arial" w:cs="Arial"/>
          <w:sz w:val="20"/>
        </w:rPr>
        <w:t xml:space="preserve"> end of the </w:t>
      </w:r>
      <w:r w:rsidRPr="00F97360">
        <w:rPr>
          <w:rFonts w:ascii="Arial" w:hAnsi="Arial" w:cs="Arial"/>
          <w:sz w:val="20"/>
        </w:rPr>
        <w:t xml:space="preserve">period </w:t>
      </w:r>
      <w:r w:rsidR="00885066" w:rsidRPr="00F97360">
        <w:rPr>
          <w:rFonts w:ascii="Arial" w:hAnsi="Arial" w:cs="Arial"/>
          <w:sz w:val="20"/>
        </w:rPr>
        <w:t xml:space="preserve">of time </w:t>
      </w:r>
      <w:r w:rsidRPr="00F97360">
        <w:rPr>
          <w:rFonts w:ascii="Arial" w:hAnsi="Arial" w:cs="Arial"/>
          <w:sz w:val="20"/>
        </w:rPr>
        <w:t xml:space="preserve">in rule </w:t>
      </w:r>
      <w:r w:rsidRPr="00F97360">
        <w:rPr>
          <w:rFonts w:ascii="Arial" w:hAnsi="Arial" w:cs="Arial"/>
          <w:sz w:val="20"/>
        </w:rPr>
        <w:fldChar w:fldCharType="begin"/>
      </w:r>
      <w:r w:rsidRPr="00F97360">
        <w:rPr>
          <w:rFonts w:ascii="Arial" w:hAnsi="Arial" w:cs="Arial"/>
          <w:sz w:val="20"/>
        </w:rPr>
        <w:instrText xml:space="preserve"> REF a451961 \r \h </w:instrText>
      </w:r>
      <w:r w:rsidR="00F82DFE"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11.4</w:t>
      </w:r>
      <w:r w:rsidRPr="00F97360">
        <w:rPr>
          <w:rFonts w:ascii="Arial" w:hAnsi="Arial" w:cs="Arial"/>
          <w:sz w:val="20"/>
        </w:rPr>
        <w:fldChar w:fldCharType="end"/>
      </w:r>
      <w:r w:rsidRPr="00F97360">
        <w:rPr>
          <w:rFonts w:ascii="Arial" w:hAnsi="Arial" w:cs="Arial"/>
          <w:sz w:val="20"/>
        </w:rPr>
        <w:t xml:space="preserve">, the </w:t>
      </w:r>
      <w:r w:rsidR="00623047" w:rsidRPr="00F97360">
        <w:rPr>
          <w:rFonts w:ascii="Arial" w:hAnsi="Arial" w:cs="Arial"/>
          <w:sz w:val="20"/>
        </w:rPr>
        <w:t>Remuneration Committee</w:t>
      </w:r>
      <w:r w:rsidRPr="00F97360">
        <w:rPr>
          <w:rFonts w:ascii="Arial" w:hAnsi="Arial" w:cs="Arial"/>
          <w:sz w:val="20"/>
        </w:rPr>
        <w:t xml:space="preserve"> may, in its absolute discretion, determine the provisions of this rule </w:t>
      </w:r>
      <w:r w:rsidRPr="00F97360">
        <w:rPr>
          <w:rFonts w:ascii="Arial" w:hAnsi="Arial" w:cs="Arial"/>
          <w:sz w:val="20"/>
        </w:rPr>
        <w:fldChar w:fldCharType="begin"/>
      </w:r>
      <w:r w:rsidRPr="00F97360">
        <w:rPr>
          <w:rFonts w:ascii="Arial" w:hAnsi="Arial" w:cs="Arial"/>
          <w:sz w:val="20"/>
        </w:rPr>
        <w:instrText xml:space="preserve"> REF a714948 \r \h </w:instrText>
      </w:r>
      <w:r w:rsidR="00F82DFE"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11</w:t>
      </w:r>
      <w:r w:rsidRPr="00F97360">
        <w:rPr>
          <w:rFonts w:ascii="Arial" w:hAnsi="Arial" w:cs="Arial"/>
          <w:sz w:val="20"/>
        </w:rPr>
        <w:fldChar w:fldCharType="end"/>
      </w:r>
      <w:r w:rsidRPr="00F97360">
        <w:rPr>
          <w:rFonts w:ascii="Arial" w:hAnsi="Arial" w:cs="Arial"/>
          <w:sz w:val="20"/>
        </w:rPr>
        <w:t xml:space="preserve"> and rule </w:t>
      </w:r>
      <w:r w:rsidRPr="00F97360">
        <w:rPr>
          <w:rFonts w:ascii="Arial" w:hAnsi="Arial" w:cs="Arial"/>
          <w:sz w:val="20"/>
        </w:rPr>
        <w:fldChar w:fldCharType="begin"/>
      </w:r>
      <w:r w:rsidRPr="00F97360">
        <w:rPr>
          <w:rFonts w:ascii="Arial" w:hAnsi="Arial" w:cs="Arial"/>
          <w:sz w:val="20"/>
        </w:rPr>
        <w:instrText xml:space="preserve"> REF a391918 \r \h </w:instrText>
      </w:r>
      <w:r w:rsidR="00F82DFE"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12</w:t>
      </w:r>
      <w:r w:rsidRPr="00F97360">
        <w:rPr>
          <w:rFonts w:ascii="Arial" w:hAnsi="Arial" w:cs="Arial"/>
          <w:sz w:val="20"/>
        </w:rPr>
        <w:fldChar w:fldCharType="end"/>
      </w:r>
      <w:r w:rsidRPr="00F97360">
        <w:rPr>
          <w:rFonts w:ascii="Arial" w:hAnsi="Arial" w:cs="Arial"/>
          <w:sz w:val="20"/>
        </w:rPr>
        <w:t xml:space="preserve"> may be applied to the </w:t>
      </w:r>
      <w:r w:rsidR="00D67DB9" w:rsidRPr="00F97360">
        <w:rPr>
          <w:rFonts w:ascii="Arial" w:hAnsi="Arial" w:cs="Arial"/>
          <w:sz w:val="20"/>
        </w:rPr>
        <w:t>Award</w:t>
      </w:r>
      <w:r w:rsidRPr="00F97360">
        <w:rPr>
          <w:rFonts w:ascii="Arial" w:hAnsi="Arial" w:cs="Arial"/>
          <w:sz w:val="20"/>
        </w:rPr>
        <w:t xml:space="preserve"> until such time as the</w:t>
      </w:r>
      <w:r w:rsidR="00AF4DA4" w:rsidRPr="00F97360">
        <w:rPr>
          <w:rFonts w:ascii="Arial" w:hAnsi="Arial" w:cs="Arial"/>
          <w:sz w:val="20"/>
        </w:rPr>
        <w:t xml:space="preserve"> </w:t>
      </w:r>
      <w:r w:rsidR="00623047" w:rsidRPr="00F97360">
        <w:rPr>
          <w:rFonts w:ascii="Arial" w:hAnsi="Arial" w:cs="Arial"/>
          <w:sz w:val="20"/>
        </w:rPr>
        <w:t>Remuneration Committee</w:t>
      </w:r>
      <w:r w:rsidR="00AF4DA4" w:rsidRPr="00F97360">
        <w:rPr>
          <w:rFonts w:ascii="Arial" w:hAnsi="Arial" w:cs="Arial"/>
          <w:sz w:val="20"/>
        </w:rPr>
        <w:t xml:space="preserve"> determines following </w:t>
      </w:r>
      <w:r w:rsidR="008B393E" w:rsidRPr="00F97360">
        <w:rPr>
          <w:rFonts w:ascii="Arial" w:hAnsi="Arial" w:cs="Arial"/>
          <w:sz w:val="20"/>
        </w:rPr>
        <w:t>the conclusion of the investigation</w:t>
      </w:r>
      <w:r w:rsidRPr="00F97360">
        <w:rPr>
          <w:rFonts w:ascii="Arial" w:hAnsi="Arial" w:cs="Arial"/>
          <w:sz w:val="20"/>
        </w:rPr>
        <w:t>.</w:t>
      </w:r>
      <w:r w:rsidR="0007665B" w:rsidRPr="00F97360">
        <w:rPr>
          <w:rFonts w:ascii="Arial" w:hAnsi="Arial" w:cs="Arial"/>
          <w:sz w:val="20"/>
        </w:rPr>
        <w:t xml:space="preserve"> </w:t>
      </w:r>
    </w:p>
    <w:p w14:paraId="56712E61" w14:textId="77777777" w:rsidR="007B4FB5" w:rsidRPr="00F97360" w:rsidRDefault="00D8597D" w:rsidP="007B4FB5">
      <w:pPr>
        <w:pStyle w:val="TitleClause"/>
        <w:rPr>
          <w:rFonts w:ascii="Arial" w:hAnsi="Arial" w:cs="Arial"/>
          <w:sz w:val="20"/>
        </w:rPr>
      </w:pPr>
      <w:r w:rsidRPr="00F97360">
        <w:rPr>
          <w:rFonts w:ascii="Arial" w:hAnsi="Arial" w:cs="Arial"/>
          <w:sz w:val="20"/>
        </w:rPr>
        <w:fldChar w:fldCharType="begin"/>
      </w:r>
      <w:r w:rsidRPr="00F97360">
        <w:rPr>
          <w:rFonts w:ascii="Arial" w:hAnsi="Arial" w:cs="Arial"/>
          <w:sz w:val="20"/>
        </w:rPr>
        <w:instrText>TC "11. Operation of malus and clawback" \l 1</w:instrText>
      </w:r>
      <w:r w:rsidRPr="00F97360">
        <w:rPr>
          <w:rFonts w:ascii="Arial" w:hAnsi="Arial" w:cs="Arial"/>
          <w:sz w:val="20"/>
        </w:rPr>
        <w:fldChar w:fldCharType="end"/>
      </w:r>
      <w:bookmarkStart w:id="209" w:name="a391918"/>
      <w:bookmarkStart w:id="210" w:name="_Toc105671024"/>
      <w:bookmarkStart w:id="211" w:name="_Toc103273398"/>
      <w:bookmarkStart w:id="212" w:name="_Toc145339781"/>
      <w:bookmarkStart w:id="213" w:name="_Toc131682131"/>
      <w:bookmarkStart w:id="214" w:name="_Toc161658065"/>
      <w:r w:rsidRPr="00F97360">
        <w:rPr>
          <w:rFonts w:ascii="Arial" w:hAnsi="Arial" w:cs="Arial"/>
          <w:sz w:val="20"/>
        </w:rPr>
        <w:t>Operation of malus and clawback</w:t>
      </w:r>
      <w:bookmarkEnd w:id="209"/>
      <w:bookmarkEnd w:id="210"/>
      <w:bookmarkEnd w:id="211"/>
      <w:bookmarkEnd w:id="212"/>
      <w:bookmarkEnd w:id="213"/>
      <w:bookmarkEnd w:id="214"/>
    </w:p>
    <w:p w14:paraId="56712E62" w14:textId="11C7E7CB" w:rsidR="007B4FB5" w:rsidRPr="00F97360" w:rsidRDefault="00D8597D" w:rsidP="007B4FB5">
      <w:pPr>
        <w:pStyle w:val="Untitledsubclause1"/>
        <w:rPr>
          <w:rFonts w:ascii="Arial" w:hAnsi="Arial" w:cs="Arial"/>
          <w:sz w:val="20"/>
        </w:rPr>
      </w:pPr>
      <w:bookmarkStart w:id="215" w:name="a999638"/>
      <w:bookmarkStart w:id="216" w:name="_Ref150945049"/>
      <w:r w:rsidRPr="00F97360">
        <w:rPr>
          <w:rFonts w:ascii="Arial" w:hAnsi="Arial" w:cs="Arial"/>
          <w:sz w:val="20"/>
        </w:rPr>
        <w:t xml:space="preserve">This </w:t>
      </w:r>
      <w:r w:rsidRPr="00F97360">
        <w:rPr>
          <w:rFonts w:ascii="Arial" w:hAnsi="Arial" w:cs="Arial"/>
          <w:sz w:val="20"/>
        </w:rPr>
        <w:fldChar w:fldCharType="begin"/>
      </w:r>
      <w:r w:rsidRPr="00F97360">
        <w:rPr>
          <w:rFonts w:ascii="Arial" w:hAnsi="Arial" w:cs="Arial"/>
          <w:sz w:val="20"/>
        </w:rPr>
        <w:instrText>PAGEREF a391918\# "'rule '"  \h</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 xml:space="preserve">rule </w:t>
      </w:r>
      <w:r w:rsidRPr="00F97360">
        <w:rPr>
          <w:rFonts w:ascii="Arial" w:hAnsi="Arial" w:cs="Arial"/>
          <w:sz w:val="20"/>
        </w:rPr>
        <w:fldChar w:fldCharType="end"/>
      </w:r>
      <w:r w:rsidRPr="00F97360">
        <w:rPr>
          <w:rFonts w:ascii="Arial" w:hAnsi="Arial" w:cs="Arial"/>
          <w:sz w:val="20"/>
        </w:rPr>
        <w:fldChar w:fldCharType="begin"/>
      </w:r>
      <w:r w:rsidRPr="00F97360">
        <w:rPr>
          <w:rFonts w:ascii="Arial" w:hAnsi="Arial" w:cs="Arial"/>
          <w:sz w:val="20"/>
          <w:highlight w:val="lightGray"/>
        </w:rPr>
        <w:instrText>REF a391918 \h \w</w:instrText>
      </w:r>
      <w:r w:rsidR="0037270F"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highlight w:val="lightGray"/>
        </w:rPr>
        <w:t>12</w:t>
      </w:r>
      <w:r w:rsidRPr="00F97360">
        <w:rPr>
          <w:rFonts w:ascii="Arial" w:hAnsi="Arial" w:cs="Arial"/>
          <w:sz w:val="20"/>
        </w:rPr>
        <w:fldChar w:fldCharType="end"/>
      </w:r>
      <w:r w:rsidRPr="00F97360">
        <w:rPr>
          <w:rFonts w:ascii="Arial" w:hAnsi="Arial" w:cs="Arial"/>
          <w:sz w:val="20"/>
        </w:rPr>
        <w:t xml:space="preserve"> applies to </w:t>
      </w:r>
      <w:r w:rsidR="00D93C59" w:rsidRPr="00F97360">
        <w:rPr>
          <w:rFonts w:ascii="Arial" w:hAnsi="Arial" w:cs="Arial"/>
          <w:sz w:val="20"/>
        </w:rPr>
        <w:t>an Award</w:t>
      </w:r>
      <w:r w:rsidRPr="00F97360">
        <w:rPr>
          <w:rFonts w:ascii="Arial" w:hAnsi="Arial" w:cs="Arial"/>
          <w:sz w:val="20"/>
        </w:rPr>
        <w:t xml:space="preserve"> if </w:t>
      </w:r>
      <w:r w:rsidRPr="00F97360">
        <w:rPr>
          <w:rFonts w:ascii="Arial" w:hAnsi="Arial" w:cs="Arial"/>
          <w:sz w:val="20"/>
        </w:rPr>
        <w:fldChar w:fldCharType="begin"/>
      </w:r>
      <w:r w:rsidRPr="00F97360">
        <w:rPr>
          <w:rFonts w:ascii="Arial" w:hAnsi="Arial" w:cs="Arial"/>
          <w:sz w:val="20"/>
        </w:rPr>
        <w:instrText>PAGEREF a714948\# "'rule '"  \h</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 xml:space="preserve">rule </w:t>
      </w:r>
      <w:r w:rsidRPr="00F97360">
        <w:rPr>
          <w:rFonts w:ascii="Arial" w:hAnsi="Arial" w:cs="Arial"/>
          <w:sz w:val="20"/>
        </w:rPr>
        <w:fldChar w:fldCharType="end"/>
      </w:r>
      <w:r w:rsidRPr="00F97360">
        <w:rPr>
          <w:rFonts w:ascii="Arial" w:hAnsi="Arial" w:cs="Arial"/>
          <w:sz w:val="20"/>
        </w:rPr>
        <w:fldChar w:fldCharType="begin"/>
      </w:r>
      <w:r w:rsidRPr="00F97360">
        <w:rPr>
          <w:rFonts w:ascii="Arial" w:hAnsi="Arial" w:cs="Arial"/>
          <w:sz w:val="20"/>
          <w:highlight w:val="lightGray"/>
        </w:rPr>
        <w:instrText>REF a714948 \h \w</w:instrText>
      </w:r>
      <w:r w:rsidR="0037270F"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highlight w:val="lightGray"/>
        </w:rPr>
        <w:t>11</w:t>
      </w:r>
      <w:r w:rsidRPr="00F97360">
        <w:rPr>
          <w:rFonts w:ascii="Arial" w:hAnsi="Arial" w:cs="Arial"/>
          <w:sz w:val="20"/>
        </w:rPr>
        <w:fldChar w:fldCharType="end"/>
      </w:r>
      <w:r w:rsidRPr="00F97360">
        <w:rPr>
          <w:rFonts w:ascii="Arial" w:hAnsi="Arial" w:cs="Arial"/>
          <w:sz w:val="20"/>
        </w:rPr>
        <w:t xml:space="preserve"> applies to the </w:t>
      </w:r>
      <w:r w:rsidR="00D67DB9" w:rsidRPr="00F97360">
        <w:rPr>
          <w:rFonts w:ascii="Arial" w:hAnsi="Arial" w:cs="Arial"/>
          <w:sz w:val="20"/>
        </w:rPr>
        <w:t>Award</w:t>
      </w:r>
      <w:r w:rsidRPr="00F97360">
        <w:rPr>
          <w:rFonts w:ascii="Arial" w:hAnsi="Arial" w:cs="Arial"/>
          <w:sz w:val="20"/>
        </w:rPr>
        <w:t>.</w:t>
      </w:r>
      <w:bookmarkEnd w:id="215"/>
      <w:r w:rsidR="00D87F3E" w:rsidRPr="00F97360">
        <w:rPr>
          <w:rFonts w:ascii="Arial" w:hAnsi="Arial" w:cs="Arial"/>
          <w:sz w:val="20"/>
        </w:rPr>
        <w:t xml:space="preserve"> </w:t>
      </w:r>
      <w:bookmarkStart w:id="217" w:name="_Hlk80090585"/>
      <w:r w:rsidR="00D87F3E" w:rsidRPr="00F97360">
        <w:rPr>
          <w:rFonts w:ascii="Arial" w:hAnsi="Arial" w:cs="Arial"/>
          <w:sz w:val="20"/>
        </w:rPr>
        <w:t xml:space="preserve">In this rule, references to Shares include Shares by reference to which a cash payment under a </w:t>
      </w:r>
      <w:r w:rsidR="00B8145D" w:rsidRPr="00F97360">
        <w:rPr>
          <w:rFonts w:ascii="Arial" w:hAnsi="Arial" w:cs="Arial"/>
          <w:sz w:val="20"/>
        </w:rPr>
        <w:t>Cash Award</w:t>
      </w:r>
      <w:r w:rsidR="00D87F3E" w:rsidRPr="00F97360">
        <w:rPr>
          <w:rFonts w:ascii="Arial" w:hAnsi="Arial" w:cs="Arial"/>
          <w:sz w:val="20"/>
        </w:rPr>
        <w:t xml:space="preserve"> is calculated</w:t>
      </w:r>
      <w:r w:rsidR="00DF70AA" w:rsidRPr="00F97360">
        <w:rPr>
          <w:rFonts w:ascii="Arial" w:hAnsi="Arial" w:cs="Arial"/>
          <w:sz w:val="20"/>
        </w:rPr>
        <w:t xml:space="preserve"> and this rule shall apply mutatis mutandis to </w:t>
      </w:r>
      <w:r w:rsidR="00B8145D" w:rsidRPr="00F97360">
        <w:rPr>
          <w:rFonts w:ascii="Arial" w:hAnsi="Arial" w:cs="Arial"/>
          <w:sz w:val="20"/>
        </w:rPr>
        <w:t>Cash Award</w:t>
      </w:r>
      <w:r w:rsidR="00DF70AA" w:rsidRPr="00F97360">
        <w:rPr>
          <w:rFonts w:ascii="Arial" w:hAnsi="Arial" w:cs="Arial"/>
          <w:sz w:val="20"/>
        </w:rPr>
        <w:t>s</w:t>
      </w:r>
      <w:r w:rsidR="00D87F3E" w:rsidRPr="00F97360">
        <w:rPr>
          <w:rFonts w:ascii="Arial" w:hAnsi="Arial" w:cs="Arial"/>
          <w:sz w:val="20"/>
        </w:rPr>
        <w:t>.</w:t>
      </w:r>
      <w:bookmarkEnd w:id="216"/>
      <w:bookmarkEnd w:id="217"/>
    </w:p>
    <w:p w14:paraId="56712E63" w14:textId="097DF776" w:rsidR="007B4FB5" w:rsidRPr="00F97360" w:rsidRDefault="00D8597D" w:rsidP="007B4FB5">
      <w:pPr>
        <w:pStyle w:val="Untitledsubclause1"/>
        <w:rPr>
          <w:rFonts w:ascii="Arial" w:hAnsi="Arial" w:cs="Arial"/>
          <w:sz w:val="20"/>
        </w:rPr>
      </w:pPr>
      <w:bookmarkStart w:id="218" w:name="a489265"/>
      <w:r w:rsidRPr="00F97360">
        <w:rPr>
          <w:rFonts w:ascii="Arial" w:hAnsi="Arial" w:cs="Arial"/>
          <w:sz w:val="20"/>
        </w:rPr>
        <w:t xml:space="preserve">If at the date of the determination under </w:t>
      </w:r>
      <w:r w:rsidR="0094300D" w:rsidRPr="00F97360">
        <w:rPr>
          <w:rFonts w:ascii="Arial" w:hAnsi="Arial" w:cs="Arial"/>
          <w:sz w:val="20"/>
        </w:rPr>
        <w:fldChar w:fldCharType="begin"/>
      </w:r>
      <w:r w:rsidR="0094300D" w:rsidRPr="00F97360">
        <w:rPr>
          <w:rFonts w:ascii="Arial" w:hAnsi="Arial" w:cs="Arial"/>
          <w:sz w:val="20"/>
        </w:rPr>
        <w:instrText>PAGEREF a585683\# "'rule '"  \h</w:instrText>
      </w:r>
      <w:r w:rsidR="0094300D" w:rsidRPr="00F97360">
        <w:rPr>
          <w:rFonts w:ascii="Arial" w:hAnsi="Arial" w:cs="Arial"/>
          <w:sz w:val="20"/>
        </w:rPr>
      </w:r>
      <w:r w:rsidR="0094300D" w:rsidRPr="00F97360">
        <w:rPr>
          <w:rFonts w:ascii="Arial" w:hAnsi="Arial" w:cs="Arial"/>
          <w:sz w:val="20"/>
        </w:rPr>
        <w:fldChar w:fldCharType="separate"/>
      </w:r>
      <w:r w:rsidR="00710210" w:rsidRPr="00F97360">
        <w:rPr>
          <w:rFonts w:ascii="Arial" w:hAnsi="Arial" w:cs="Arial"/>
          <w:sz w:val="20"/>
        </w:rPr>
        <w:t xml:space="preserve">rule </w:t>
      </w:r>
      <w:r w:rsidR="0094300D" w:rsidRPr="00F97360">
        <w:rPr>
          <w:rFonts w:ascii="Arial" w:hAnsi="Arial" w:cs="Arial"/>
          <w:sz w:val="20"/>
        </w:rPr>
        <w:fldChar w:fldCharType="end"/>
      </w:r>
      <w:r w:rsidR="0094300D" w:rsidRPr="00F97360">
        <w:rPr>
          <w:rFonts w:ascii="Arial" w:hAnsi="Arial" w:cs="Arial"/>
          <w:sz w:val="20"/>
        </w:rPr>
        <w:fldChar w:fldCharType="begin"/>
      </w:r>
      <w:r w:rsidR="0094300D" w:rsidRPr="00F97360">
        <w:rPr>
          <w:rFonts w:ascii="Arial" w:hAnsi="Arial" w:cs="Arial"/>
          <w:sz w:val="20"/>
        </w:rPr>
        <w:instrText xml:space="preserve"> REF _Ref102991480 \r \h </w:instrText>
      </w:r>
      <w:r w:rsidR="004C1A6B" w:rsidRPr="00F97360">
        <w:rPr>
          <w:rFonts w:ascii="Arial" w:hAnsi="Arial" w:cs="Arial"/>
          <w:sz w:val="20"/>
        </w:rPr>
        <w:instrText xml:space="preserve"> \* MERGEFORMAT </w:instrText>
      </w:r>
      <w:r w:rsidR="0094300D" w:rsidRPr="00F97360">
        <w:rPr>
          <w:rFonts w:ascii="Arial" w:hAnsi="Arial" w:cs="Arial"/>
          <w:sz w:val="20"/>
        </w:rPr>
      </w:r>
      <w:r w:rsidR="0094300D" w:rsidRPr="00F97360">
        <w:rPr>
          <w:rFonts w:ascii="Arial" w:hAnsi="Arial" w:cs="Arial"/>
          <w:sz w:val="20"/>
        </w:rPr>
        <w:fldChar w:fldCharType="separate"/>
      </w:r>
      <w:r w:rsidR="00710210" w:rsidRPr="00F97360">
        <w:rPr>
          <w:rFonts w:ascii="Arial" w:hAnsi="Arial" w:cs="Arial"/>
          <w:sz w:val="20"/>
        </w:rPr>
        <w:t>11.3</w:t>
      </w:r>
      <w:r w:rsidR="0094300D" w:rsidRPr="00F97360">
        <w:rPr>
          <w:rFonts w:ascii="Arial" w:hAnsi="Arial" w:cs="Arial"/>
          <w:sz w:val="20"/>
        </w:rPr>
        <w:fldChar w:fldCharType="end"/>
      </w:r>
      <w:r w:rsidRPr="00F97360">
        <w:rPr>
          <w:rFonts w:ascii="Arial" w:hAnsi="Arial" w:cs="Arial"/>
          <w:sz w:val="20"/>
        </w:rPr>
        <w:t xml:space="preserve">, </w:t>
      </w:r>
      <w:r w:rsidR="00A825BF" w:rsidRPr="00F97360">
        <w:rPr>
          <w:rFonts w:ascii="Arial" w:hAnsi="Arial" w:cs="Arial"/>
          <w:sz w:val="20"/>
        </w:rPr>
        <w:t xml:space="preserve">all or any part of </w:t>
      </w:r>
      <w:r w:rsidRPr="00F97360">
        <w:rPr>
          <w:rFonts w:ascii="Arial" w:hAnsi="Arial" w:cs="Arial"/>
          <w:sz w:val="20"/>
        </w:rPr>
        <w:t xml:space="preserve">the </w:t>
      </w:r>
      <w:r w:rsidR="00D67DB9" w:rsidRPr="00F97360">
        <w:rPr>
          <w:rFonts w:ascii="Arial" w:hAnsi="Arial" w:cs="Arial"/>
          <w:sz w:val="20"/>
        </w:rPr>
        <w:t>Award</w:t>
      </w:r>
      <w:r w:rsidRPr="00F97360">
        <w:rPr>
          <w:rFonts w:ascii="Arial" w:hAnsi="Arial" w:cs="Arial"/>
          <w:sz w:val="20"/>
        </w:rPr>
        <w:t xml:space="preserve"> has not </w:t>
      </w:r>
      <w:r w:rsidR="00D44FC6" w:rsidRPr="00F97360">
        <w:rPr>
          <w:rFonts w:ascii="Arial" w:hAnsi="Arial" w:cs="Arial"/>
          <w:sz w:val="20"/>
        </w:rPr>
        <w:t>Vested</w:t>
      </w:r>
      <w:r w:rsidRPr="00F97360">
        <w:rPr>
          <w:rFonts w:ascii="Arial" w:hAnsi="Arial" w:cs="Arial"/>
          <w:sz w:val="20"/>
        </w:rPr>
        <w:t xml:space="preserve"> </w:t>
      </w:r>
      <w:r w:rsidR="008A4119" w:rsidRPr="00F97360">
        <w:rPr>
          <w:rFonts w:ascii="Arial" w:hAnsi="Arial" w:cs="Arial"/>
          <w:sz w:val="20"/>
        </w:rPr>
        <w:t>(</w:t>
      </w:r>
      <w:r w:rsidRPr="00F97360">
        <w:rPr>
          <w:rFonts w:ascii="Arial" w:hAnsi="Arial" w:cs="Arial"/>
          <w:sz w:val="20"/>
        </w:rPr>
        <w:t>or, in the case of an Option</w:t>
      </w:r>
      <w:r w:rsidR="008A4119" w:rsidRPr="00F97360">
        <w:rPr>
          <w:rFonts w:ascii="Arial" w:hAnsi="Arial" w:cs="Arial"/>
          <w:sz w:val="20"/>
        </w:rPr>
        <w:t xml:space="preserve">, </w:t>
      </w:r>
      <w:r w:rsidR="007B2307" w:rsidRPr="00F97360">
        <w:rPr>
          <w:rFonts w:ascii="Arial" w:hAnsi="Arial" w:cs="Arial"/>
          <w:sz w:val="20"/>
        </w:rPr>
        <w:t xml:space="preserve">all or any part </w:t>
      </w:r>
      <w:r w:rsidR="008A4119" w:rsidRPr="00F97360">
        <w:rPr>
          <w:rFonts w:ascii="Arial" w:hAnsi="Arial" w:cs="Arial"/>
          <w:sz w:val="20"/>
        </w:rPr>
        <w:t xml:space="preserve">has not </w:t>
      </w:r>
      <w:r w:rsidR="00D44FC6" w:rsidRPr="00F97360">
        <w:rPr>
          <w:rFonts w:ascii="Arial" w:hAnsi="Arial" w:cs="Arial"/>
          <w:sz w:val="20"/>
        </w:rPr>
        <w:t>Vested</w:t>
      </w:r>
      <w:r w:rsidR="008A4119" w:rsidRPr="00F97360">
        <w:rPr>
          <w:rFonts w:ascii="Arial" w:hAnsi="Arial" w:cs="Arial"/>
          <w:sz w:val="20"/>
        </w:rPr>
        <w:t xml:space="preserve"> or </w:t>
      </w:r>
      <w:r w:rsidR="00580501" w:rsidRPr="00F97360">
        <w:rPr>
          <w:rFonts w:ascii="Arial" w:hAnsi="Arial" w:cs="Arial"/>
          <w:sz w:val="20"/>
        </w:rPr>
        <w:t xml:space="preserve">the part which </w:t>
      </w:r>
      <w:r w:rsidR="008A4119" w:rsidRPr="00F97360">
        <w:rPr>
          <w:rFonts w:ascii="Arial" w:hAnsi="Arial" w:cs="Arial"/>
          <w:sz w:val="20"/>
        </w:rPr>
        <w:t xml:space="preserve">has </w:t>
      </w:r>
      <w:r w:rsidR="00D44FC6" w:rsidRPr="00F97360">
        <w:rPr>
          <w:rFonts w:ascii="Arial" w:hAnsi="Arial" w:cs="Arial"/>
          <w:sz w:val="20"/>
        </w:rPr>
        <w:t>Vested</w:t>
      </w:r>
      <w:r w:rsidR="008A4119" w:rsidRPr="00F97360">
        <w:rPr>
          <w:rFonts w:ascii="Arial" w:hAnsi="Arial" w:cs="Arial"/>
          <w:sz w:val="20"/>
        </w:rPr>
        <w:t xml:space="preserve"> </w:t>
      </w:r>
      <w:r w:rsidR="00580501" w:rsidRPr="00F97360">
        <w:rPr>
          <w:rFonts w:ascii="Arial" w:hAnsi="Arial" w:cs="Arial"/>
          <w:sz w:val="20"/>
        </w:rPr>
        <w:t xml:space="preserve">has not been </w:t>
      </w:r>
      <w:r w:rsidRPr="00F97360">
        <w:rPr>
          <w:rFonts w:ascii="Arial" w:hAnsi="Arial" w:cs="Arial"/>
          <w:sz w:val="20"/>
        </w:rPr>
        <w:t>exercised</w:t>
      </w:r>
      <w:r w:rsidR="008A4119" w:rsidRPr="00F97360">
        <w:rPr>
          <w:rFonts w:ascii="Arial" w:hAnsi="Arial" w:cs="Arial"/>
          <w:sz w:val="20"/>
        </w:rPr>
        <w:t>)</w:t>
      </w:r>
      <w:r w:rsidRPr="00F97360">
        <w:rPr>
          <w:rFonts w:ascii="Arial" w:hAnsi="Arial" w:cs="Arial"/>
          <w:sz w:val="20"/>
        </w:rPr>
        <w:t xml:space="preserve">, the </w:t>
      </w:r>
      <w:r w:rsidR="00623047" w:rsidRPr="00F97360">
        <w:rPr>
          <w:rFonts w:ascii="Arial" w:hAnsi="Arial" w:cs="Arial"/>
          <w:sz w:val="20"/>
        </w:rPr>
        <w:t>Remuneration Committee</w:t>
      </w:r>
      <w:r w:rsidRPr="00F97360">
        <w:rPr>
          <w:rFonts w:ascii="Arial" w:hAnsi="Arial" w:cs="Arial"/>
          <w:sz w:val="20"/>
        </w:rPr>
        <w:t xml:space="preserve"> may determine to cancel the </w:t>
      </w:r>
      <w:r w:rsidR="00D67DB9" w:rsidRPr="00F97360">
        <w:rPr>
          <w:rFonts w:ascii="Arial" w:hAnsi="Arial" w:cs="Arial"/>
          <w:sz w:val="20"/>
        </w:rPr>
        <w:t>Award</w:t>
      </w:r>
      <w:r w:rsidRPr="00F97360">
        <w:rPr>
          <w:rFonts w:ascii="Arial" w:hAnsi="Arial" w:cs="Arial"/>
          <w:sz w:val="20"/>
        </w:rPr>
        <w:t xml:space="preserve"> </w:t>
      </w:r>
      <w:r w:rsidR="00A825BF" w:rsidRPr="00F97360">
        <w:rPr>
          <w:rFonts w:ascii="Arial" w:hAnsi="Arial" w:cs="Arial"/>
          <w:sz w:val="20"/>
        </w:rPr>
        <w:t>(or part thereof, as applicable)</w:t>
      </w:r>
      <w:r w:rsidR="000A5111" w:rsidRPr="00F97360">
        <w:rPr>
          <w:rFonts w:ascii="Arial" w:hAnsi="Arial" w:cs="Arial"/>
          <w:sz w:val="20"/>
        </w:rPr>
        <w:t xml:space="preserve">, </w:t>
      </w:r>
      <w:r w:rsidR="004C708E" w:rsidRPr="00F97360">
        <w:rPr>
          <w:rFonts w:ascii="Arial" w:hAnsi="Arial" w:cs="Arial"/>
          <w:sz w:val="20"/>
        </w:rPr>
        <w:t>impose further conditions on the Award,</w:t>
      </w:r>
      <w:r w:rsidR="00A825BF" w:rsidRPr="00F97360">
        <w:rPr>
          <w:rFonts w:ascii="Arial" w:hAnsi="Arial" w:cs="Arial"/>
          <w:sz w:val="20"/>
        </w:rPr>
        <w:t xml:space="preserve"> </w:t>
      </w:r>
      <w:r w:rsidRPr="00F97360">
        <w:rPr>
          <w:rFonts w:ascii="Arial" w:hAnsi="Arial" w:cs="Arial"/>
          <w:sz w:val="20"/>
        </w:rPr>
        <w:t xml:space="preserve">or reduce it by such number of Shares as the </w:t>
      </w:r>
      <w:r w:rsidR="00623047" w:rsidRPr="00F97360">
        <w:rPr>
          <w:rFonts w:ascii="Arial" w:hAnsi="Arial" w:cs="Arial"/>
          <w:sz w:val="20"/>
        </w:rPr>
        <w:t>Remuneration Committee</w:t>
      </w:r>
      <w:r w:rsidRPr="00F97360">
        <w:rPr>
          <w:rFonts w:ascii="Arial" w:hAnsi="Arial" w:cs="Arial"/>
          <w:sz w:val="20"/>
        </w:rPr>
        <w:t xml:space="preserve"> considers to be fair and reasonable, taking account of all circumstances that the </w:t>
      </w:r>
      <w:r w:rsidR="00623047" w:rsidRPr="00F97360">
        <w:rPr>
          <w:rFonts w:ascii="Arial" w:hAnsi="Arial" w:cs="Arial"/>
          <w:sz w:val="20"/>
        </w:rPr>
        <w:t>Remuneration Committee</w:t>
      </w:r>
      <w:r w:rsidRPr="00F97360">
        <w:rPr>
          <w:rFonts w:ascii="Arial" w:hAnsi="Arial" w:cs="Arial"/>
          <w:sz w:val="20"/>
        </w:rPr>
        <w:t xml:space="preserve"> considers to be relevant.</w:t>
      </w:r>
      <w:bookmarkEnd w:id="218"/>
    </w:p>
    <w:p w14:paraId="56712E64" w14:textId="56AD356A" w:rsidR="007B4FB5" w:rsidRPr="00F97360" w:rsidRDefault="00D8597D" w:rsidP="007B4FB5">
      <w:pPr>
        <w:pStyle w:val="Untitledsubclause1"/>
        <w:rPr>
          <w:rFonts w:ascii="Arial" w:hAnsi="Arial" w:cs="Arial"/>
          <w:sz w:val="20"/>
        </w:rPr>
      </w:pPr>
      <w:bookmarkStart w:id="219" w:name="a274423"/>
      <w:r w:rsidRPr="00F97360">
        <w:rPr>
          <w:rFonts w:ascii="Arial" w:hAnsi="Arial" w:cs="Arial"/>
          <w:sz w:val="20"/>
        </w:rPr>
        <w:lastRenderedPageBreak/>
        <w:t xml:space="preserve">If at the date of the determination under </w:t>
      </w:r>
      <w:r w:rsidR="0094300D" w:rsidRPr="00F97360">
        <w:rPr>
          <w:rFonts w:ascii="Arial" w:hAnsi="Arial" w:cs="Arial"/>
          <w:sz w:val="20"/>
        </w:rPr>
        <w:fldChar w:fldCharType="begin"/>
      </w:r>
      <w:r w:rsidR="0094300D" w:rsidRPr="00F97360">
        <w:rPr>
          <w:rFonts w:ascii="Arial" w:hAnsi="Arial" w:cs="Arial"/>
          <w:sz w:val="20"/>
        </w:rPr>
        <w:instrText>PAGEREF a585683\# "'rule '"  \h</w:instrText>
      </w:r>
      <w:r w:rsidR="0094300D" w:rsidRPr="00F97360">
        <w:rPr>
          <w:rFonts w:ascii="Arial" w:hAnsi="Arial" w:cs="Arial"/>
          <w:sz w:val="20"/>
        </w:rPr>
      </w:r>
      <w:r w:rsidR="0094300D" w:rsidRPr="00F97360">
        <w:rPr>
          <w:rFonts w:ascii="Arial" w:hAnsi="Arial" w:cs="Arial"/>
          <w:sz w:val="20"/>
        </w:rPr>
        <w:fldChar w:fldCharType="separate"/>
      </w:r>
      <w:r w:rsidR="00710210" w:rsidRPr="00F97360">
        <w:rPr>
          <w:rFonts w:ascii="Arial" w:hAnsi="Arial" w:cs="Arial"/>
          <w:sz w:val="20"/>
        </w:rPr>
        <w:t xml:space="preserve">rule </w:t>
      </w:r>
      <w:r w:rsidR="0094300D" w:rsidRPr="00F97360">
        <w:rPr>
          <w:rFonts w:ascii="Arial" w:hAnsi="Arial" w:cs="Arial"/>
          <w:sz w:val="20"/>
        </w:rPr>
        <w:fldChar w:fldCharType="end"/>
      </w:r>
      <w:r w:rsidR="0094300D" w:rsidRPr="00F97360">
        <w:rPr>
          <w:rFonts w:ascii="Arial" w:hAnsi="Arial" w:cs="Arial"/>
          <w:sz w:val="20"/>
        </w:rPr>
        <w:fldChar w:fldCharType="begin"/>
      </w:r>
      <w:r w:rsidR="0094300D" w:rsidRPr="00F97360">
        <w:rPr>
          <w:rFonts w:ascii="Arial" w:hAnsi="Arial" w:cs="Arial"/>
          <w:sz w:val="20"/>
        </w:rPr>
        <w:instrText xml:space="preserve"> REF _Ref102991480 \r \h </w:instrText>
      </w:r>
      <w:r w:rsidR="004C1A6B" w:rsidRPr="00F97360">
        <w:rPr>
          <w:rFonts w:ascii="Arial" w:hAnsi="Arial" w:cs="Arial"/>
          <w:sz w:val="20"/>
        </w:rPr>
        <w:instrText xml:space="preserve"> \* MERGEFORMAT </w:instrText>
      </w:r>
      <w:r w:rsidR="0094300D" w:rsidRPr="00F97360">
        <w:rPr>
          <w:rFonts w:ascii="Arial" w:hAnsi="Arial" w:cs="Arial"/>
          <w:sz w:val="20"/>
        </w:rPr>
      </w:r>
      <w:r w:rsidR="0094300D" w:rsidRPr="00F97360">
        <w:rPr>
          <w:rFonts w:ascii="Arial" w:hAnsi="Arial" w:cs="Arial"/>
          <w:sz w:val="20"/>
        </w:rPr>
        <w:fldChar w:fldCharType="separate"/>
      </w:r>
      <w:r w:rsidR="00710210" w:rsidRPr="00F97360">
        <w:rPr>
          <w:rFonts w:ascii="Arial" w:hAnsi="Arial" w:cs="Arial"/>
          <w:sz w:val="20"/>
        </w:rPr>
        <w:t>11.3</w:t>
      </w:r>
      <w:r w:rsidR="0094300D" w:rsidRPr="00F97360">
        <w:rPr>
          <w:rFonts w:ascii="Arial" w:hAnsi="Arial" w:cs="Arial"/>
          <w:sz w:val="20"/>
        </w:rPr>
        <w:fldChar w:fldCharType="end"/>
      </w:r>
      <w:r w:rsidRPr="00F97360">
        <w:rPr>
          <w:rFonts w:ascii="Arial" w:hAnsi="Arial" w:cs="Arial"/>
          <w:sz w:val="20"/>
        </w:rPr>
        <w:t xml:space="preserve">, </w:t>
      </w:r>
      <w:r w:rsidR="004F517E" w:rsidRPr="00F97360">
        <w:rPr>
          <w:rFonts w:ascii="Arial" w:hAnsi="Arial" w:cs="Arial"/>
          <w:sz w:val="20"/>
        </w:rPr>
        <w:t xml:space="preserve">all or any part of </w:t>
      </w:r>
      <w:r w:rsidRPr="00F97360">
        <w:rPr>
          <w:rFonts w:ascii="Arial" w:hAnsi="Arial" w:cs="Arial"/>
          <w:sz w:val="20"/>
        </w:rPr>
        <w:t xml:space="preserve">the </w:t>
      </w:r>
      <w:r w:rsidR="00D67DB9" w:rsidRPr="00F97360">
        <w:rPr>
          <w:rFonts w:ascii="Arial" w:hAnsi="Arial" w:cs="Arial"/>
          <w:sz w:val="20"/>
        </w:rPr>
        <w:t>Award</w:t>
      </w:r>
      <w:r w:rsidRPr="00F97360">
        <w:rPr>
          <w:rFonts w:ascii="Arial" w:hAnsi="Arial" w:cs="Arial"/>
          <w:sz w:val="20"/>
        </w:rPr>
        <w:t xml:space="preserve"> has </w:t>
      </w:r>
      <w:r w:rsidR="00D44FC6" w:rsidRPr="00F97360">
        <w:rPr>
          <w:rFonts w:ascii="Arial" w:hAnsi="Arial" w:cs="Arial"/>
          <w:sz w:val="20"/>
        </w:rPr>
        <w:t>Vested</w:t>
      </w:r>
      <w:r w:rsidRPr="00F97360">
        <w:rPr>
          <w:rFonts w:ascii="Arial" w:hAnsi="Arial" w:cs="Arial"/>
          <w:sz w:val="20"/>
        </w:rPr>
        <w:t xml:space="preserve"> </w:t>
      </w:r>
      <w:r w:rsidR="008A4119" w:rsidRPr="00F97360">
        <w:rPr>
          <w:rFonts w:ascii="Arial" w:hAnsi="Arial" w:cs="Arial"/>
          <w:sz w:val="20"/>
        </w:rPr>
        <w:t>(</w:t>
      </w:r>
      <w:r w:rsidR="00A314E7" w:rsidRPr="00F97360">
        <w:rPr>
          <w:rFonts w:ascii="Arial" w:hAnsi="Arial" w:cs="Arial"/>
          <w:sz w:val="20"/>
        </w:rPr>
        <w:t>and</w:t>
      </w:r>
      <w:r w:rsidR="008A4119" w:rsidRPr="00F97360">
        <w:rPr>
          <w:rFonts w:ascii="Arial" w:hAnsi="Arial" w:cs="Arial"/>
          <w:sz w:val="20"/>
        </w:rPr>
        <w:t xml:space="preserve">, in the case of an Option, </w:t>
      </w:r>
      <w:r w:rsidR="004F517E" w:rsidRPr="00F97360">
        <w:rPr>
          <w:rFonts w:ascii="Arial" w:hAnsi="Arial" w:cs="Arial"/>
          <w:sz w:val="20"/>
        </w:rPr>
        <w:t xml:space="preserve">all or any part </w:t>
      </w:r>
      <w:r w:rsidR="008A4119" w:rsidRPr="00F97360">
        <w:rPr>
          <w:rFonts w:ascii="Arial" w:hAnsi="Arial" w:cs="Arial"/>
          <w:sz w:val="20"/>
        </w:rPr>
        <w:t>has been exercised)</w:t>
      </w:r>
      <w:r w:rsidRPr="00F97360">
        <w:rPr>
          <w:rFonts w:ascii="Arial" w:hAnsi="Arial" w:cs="Arial"/>
          <w:sz w:val="20"/>
        </w:rPr>
        <w:t xml:space="preserve">, the </w:t>
      </w:r>
      <w:r w:rsidR="00623047" w:rsidRPr="00F97360">
        <w:rPr>
          <w:rFonts w:ascii="Arial" w:hAnsi="Arial" w:cs="Arial"/>
          <w:sz w:val="20"/>
        </w:rPr>
        <w:t>Remuneration Committee</w:t>
      </w:r>
      <w:r w:rsidRPr="00F97360">
        <w:rPr>
          <w:rFonts w:ascii="Arial" w:hAnsi="Arial" w:cs="Arial"/>
          <w:sz w:val="20"/>
        </w:rPr>
        <w:t xml:space="preserve"> may determine a Clawback Amount in relation to the </w:t>
      </w:r>
      <w:r w:rsidR="00D67DB9" w:rsidRPr="00F97360">
        <w:rPr>
          <w:rFonts w:ascii="Arial" w:hAnsi="Arial" w:cs="Arial"/>
          <w:sz w:val="20"/>
        </w:rPr>
        <w:t>Award</w:t>
      </w:r>
      <w:r w:rsidR="004F517E" w:rsidRPr="00F97360">
        <w:rPr>
          <w:rFonts w:ascii="Arial" w:hAnsi="Arial" w:cs="Arial"/>
          <w:sz w:val="20"/>
        </w:rPr>
        <w:t xml:space="preserve"> (or relevant part)</w:t>
      </w:r>
      <w:r w:rsidRPr="00F97360">
        <w:rPr>
          <w:rFonts w:ascii="Arial" w:hAnsi="Arial" w:cs="Arial"/>
          <w:sz w:val="20"/>
        </w:rPr>
        <w:t>.</w:t>
      </w:r>
      <w:bookmarkEnd w:id="219"/>
    </w:p>
    <w:p w14:paraId="56712E65" w14:textId="24EF05F4" w:rsidR="007B4FB5" w:rsidRPr="00F97360" w:rsidRDefault="00D8597D" w:rsidP="007B4FB5">
      <w:pPr>
        <w:pStyle w:val="Untitledsubclause1"/>
        <w:rPr>
          <w:rFonts w:ascii="Arial" w:hAnsi="Arial" w:cs="Arial"/>
          <w:sz w:val="20"/>
        </w:rPr>
      </w:pPr>
      <w:bookmarkStart w:id="220" w:name="a748446"/>
      <w:r w:rsidRPr="00F97360">
        <w:rPr>
          <w:rFonts w:ascii="Arial" w:hAnsi="Arial" w:cs="Arial"/>
          <w:sz w:val="20"/>
        </w:rPr>
        <w:t xml:space="preserve">The Clawback Amount shall be such amount as the </w:t>
      </w:r>
      <w:r w:rsidR="00623047" w:rsidRPr="00F97360">
        <w:rPr>
          <w:rFonts w:ascii="Arial" w:hAnsi="Arial" w:cs="Arial"/>
          <w:sz w:val="20"/>
        </w:rPr>
        <w:t>Remuneration Committee</w:t>
      </w:r>
      <w:r w:rsidRPr="00F97360">
        <w:rPr>
          <w:rFonts w:ascii="Arial" w:hAnsi="Arial" w:cs="Arial"/>
          <w:sz w:val="20"/>
        </w:rPr>
        <w:t xml:space="preserve"> considers to be fair and reasonable, taking account of all circumstances that the </w:t>
      </w:r>
      <w:r w:rsidR="00623047" w:rsidRPr="00F97360">
        <w:rPr>
          <w:rFonts w:ascii="Arial" w:hAnsi="Arial" w:cs="Arial"/>
          <w:sz w:val="20"/>
        </w:rPr>
        <w:t>Remuneration Committee</w:t>
      </w:r>
      <w:r w:rsidRPr="00F97360">
        <w:rPr>
          <w:rFonts w:ascii="Arial" w:hAnsi="Arial" w:cs="Arial"/>
          <w:sz w:val="20"/>
        </w:rPr>
        <w:t xml:space="preserve"> considers to be relevant, but shall not be more than:</w:t>
      </w:r>
      <w:bookmarkEnd w:id="220"/>
    </w:p>
    <w:p w14:paraId="56712E66" w14:textId="67165492" w:rsidR="007B4FB5" w:rsidRPr="00F97360" w:rsidRDefault="00D8597D" w:rsidP="00F97360">
      <w:pPr>
        <w:pStyle w:val="Untitledsubclause2"/>
        <w:tabs>
          <w:tab w:val="clear" w:pos="1554"/>
          <w:tab w:val="num" w:pos="1985"/>
        </w:tabs>
        <w:ind w:left="1985"/>
        <w:rPr>
          <w:rFonts w:ascii="Arial" w:hAnsi="Arial" w:cs="Arial"/>
          <w:sz w:val="20"/>
        </w:rPr>
      </w:pPr>
      <w:bookmarkStart w:id="221" w:name="a203699"/>
      <w:r w:rsidRPr="00F97360">
        <w:rPr>
          <w:rFonts w:ascii="Arial" w:hAnsi="Arial" w:cs="Arial"/>
          <w:sz w:val="20"/>
        </w:rPr>
        <w:t xml:space="preserve">in relation to an Option that has been exercised, </w:t>
      </w:r>
      <w:r w:rsidR="002A57A6" w:rsidRPr="00F97360">
        <w:rPr>
          <w:rFonts w:ascii="Arial" w:hAnsi="Arial" w:cs="Arial"/>
          <w:sz w:val="20"/>
        </w:rPr>
        <w:t>the greater of the following (plus any Dividend Equivalents paid to the Award Holder in respect of that Option)</w:t>
      </w:r>
      <w:r w:rsidRPr="00F97360">
        <w:rPr>
          <w:rFonts w:ascii="Arial" w:hAnsi="Arial" w:cs="Arial"/>
          <w:sz w:val="20"/>
        </w:rPr>
        <w:t>:</w:t>
      </w:r>
      <w:bookmarkEnd w:id="221"/>
    </w:p>
    <w:p w14:paraId="56712E67" w14:textId="77777777" w:rsidR="007B4FB5" w:rsidRPr="00F97360" w:rsidRDefault="00D8597D" w:rsidP="007B4FB5">
      <w:pPr>
        <w:pStyle w:val="Untitledsubclause3"/>
        <w:rPr>
          <w:rFonts w:ascii="Arial" w:hAnsi="Arial" w:cs="Arial"/>
          <w:sz w:val="20"/>
        </w:rPr>
      </w:pPr>
      <w:bookmarkStart w:id="222" w:name="a592871"/>
      <w:r w:rsidRPr="00F97360">
        <w:rPr>
          <w:rFonts w:ascii="Arial" w:hAnsi="Arial" w:cs="Arial"/>
          <w:sz w:val="20"/>
        </w:rPr>
        <w:t>the Market Value of the Shares</w:t>
      </w:r>
      <w:r w:rsidR="00E37FCF" w:rsidRPr="00F97360">
        <w:rPr>
          <w:rFonts w:ascii="Arial" w:hAnsi="Arial" w:cs="Arial"/>
          <w:sz w:val="20"/>
        </w:rPr>
        <w:t xml:space="preserve"> over which it was exercised</w:t>
      </w:r>
      <w:r w:rsidRPr="00F97360">
        <w:rPr>
          <w:rFonts w:ascii="Arial" w:hAnsi="Arial" w:cs="Arial"/>
          <w:sz w:val="20"/>
        </w:rPr>
        <w:t xml:space="preserve"> measured on the </w:t>
      </w:r>
      <w:r w:rsidR="008A4119" w:rsidRPr="00F97360">
        <w:rPr>
          <w:rFonts w:ascii="Arial" w:hAnsi="Arial" w:cs="Arial"/>
          <w:sz w:val="20"/>
        </w:rPr>
        <w:t>Exercise D</w:t>
      </w:r>
      <w:r w:rsidRPr="00F97360">
        <w:rPr>
          <w:rFonts w:ascii="Arial" w:hAnsi="Arial" w:cs="Arial"/>
          <w:sz w:val="20"/>
        </w:rPr>
        <w:t xml:space="preserve">ate </w:t>
      </w:r>
      <w:r w:rsidR="008A4119" w:rsidRPr="00F97360">
        <w:rPr>
          <w:rFonts w:ascii="Arial" w:hAnsi="Arial" w:cs="Arial"/>
          <w:sz w:val="20"/>
        </w:rPr>
        <w:t xml:space="preserve">of </w:t>
      </w:r>
      <w:r w:rsidRPr="00F97360">
        <w:rPr>
          <w:rFonts w:ascii="Arial" w:hAnsi="Arial" w:cs="Arial"/>
          <w:sz w:val="20"/>
        </w:rPr>
        <w:t>the Option, and</w:t>
      </w:r>
      <w:bookmarkEnd w:id="222"/>
    </w:p>
    <w:p w14:paraId="56712E68" w14:textId="116C48D8" w:rsidR="007B4FB5" w:rsidRPr="00F97360" w:rsidRDefault="00D8597D" w:rsidP="007B4FB5">
      <w:pPr>
        <w:pStyle w:val="Untitledsubclause3"/>
        <w:rPr>
          <w:rFonts w:ascii="Arial" w:hAnsi="Arial" w:cs="Arial"/>
          <w:sz w:val="20"/>
        </w:rPr>
      </w:pPr>
      <w:bookmarkStart w:id="223" w:name="a928037"/>
      <w:r w:rsidRPr="00F97360">
        <w:rPr>
          <w:rFonts w:ascii="Arial" w:hAnsi="Arial" w:cs="Arial"/>
          <w:sz w:val="20"/>
        </w:rPr>
        <w:t xml:space="preserve">the Market Value of the Shares </w:t>
      </w:r>
      <w:r w:rsidR="00E37FCF" w:rsidRPr="00F97360">
        <w:rPr>
          <w:rFonts w:ascii="Arial" w:hAnsi="Arial" w:cs="Arial"/>
          <w:sz w:val="20"/>
        </w:rPr>
        <w:t xml:space="preserve">over which it was exercised </w:t>
      </w:r>
      <w:r w:rsidRPr="00F97360">
        <w:rPr>
          <w:rFonts w:ascii="Arial" w:hAnsi="Arial" w:cs="Arial"/>
          <w:sz w:val="20"/>
        </w:rPr>
        <w:t xml:space="preserve">measured on the date of the </w:t>
      </w:r>
      <w:proofErr w:type="gramStart"/>
      <w:r w:rsidRPr="00F97360">
        <w:rPr>
          <w:rFonts w:ascii="Arial" w:hAnsi="Arial" w:cs="Arial"/>
          <w:sz w:val="20"/>
        </w:rPr>
        <w:t>determination</w:t>
      </w:r>
      <w:bookmarkEnd w:id="223"/>
      <w:r w:rsidR="00ED1FB1" w:rsidRPr="00F97360">
        <w:rPr>
          <w:rFonts w:ascii="Arial" w:hAnsi="Arial" w:cs="Arial"/>
          <w:sz w:val="20"/>
        </w:rPr>
        <w:t>;</w:t>
      </w:r>
      <w:proofErr w:type="gramEnd"/>
    </w:p>
    <w:p w14:paraId="56712E69" w14:textId="6F9A20DE" w:rsidR="007B4FB5" w:rsidRPr="00F97360" w:rsidRDefault="00D8597D" w:rsidP="00F97360">
      <w:pPr>
        <w:pStyle w:val="Untitledsubclause2"/>
        <w:tabs>
          <w:tab w:val="clear" w:pos="1554"/>
          <w:tab w:val="num" w:pos="1985"/>
        </w:tabs>
        <w:ind w:left="1985"/>
        <w:rPr>
          <w:rFonts w:ascii="Arial" w:hAnsi="Arial" w:cs="Arial"/>
          <w:sz w:val="20"/>
        </w:rPr>
      </w:pPr>
      <w:bookmarkStart w:id="224" w:name="a669632"/>
      <w:r w:rsidRPr="00F97360">
        <w:rPr>
          <w:rFonts w:ascii="Arial" w:hAnsi="Arial" w:cs="Arial"/>
          <w:sz w:val="20"/>
        </w:rPr>
        <w:t xml:space="preserve">in relation to a Non-Option Award, </w:t>
      </w:r>
      <w:r w:rsidR="00CB297B" w:rsidRPr="00F97360">
        <w:rPr>
          <w:rFonts w:ascii="Arial" w:hAnsi="Arial" w:cs="Arial"/>
          <w:sz w:val="20"/>
        </w:rPr>
        <w:t>the greater of the following (plus any Dividend Equivalents paid to the Award Holder</w:t>
      </w:r>
      <w:r w:rsidR="005A1FAB" w:rsidRPr="00F97360">
        <w:rPr>
          <w:rFonts w:ascii="Arial" w:hAnsi="Arial" w:cs="Arial"/>
          <w:sz w:val="20"/>
        </w:rPr>
        <w:t xml:space="preserve"> in respect of that Non-Option Award</w:t>
      </w:r>
      <w:r w:rsidR="00CB297B" w:rsidRPr="00F97360">
        <w:rPr>
          <w:rFonts w:ascii="Arial" w:hAnsi="Arial" w:cs="Arial"/>
          <w:sz w:val="20"/>
        </w:rPr>
        <w:t>)</w:t>
      </w:r>
      <w:r w:rsidRPr="00F97360">
        <w:rPr>
          <w:rFonts w:ascii="Arial" w:hAnsi="Arial" w:cs="Arial"/>
          <w:sz w:val="20"/>
        </w:rPr>
        <w:t>:</w:t>
      </w:r>
      <w:bookmarkEnd w:id="224"/>
    </w:p>
    <w:p w14:paraId="56712E6A" w14:textId="44EA5067" w:rsidR="007B4FB5" w:rsidRPr="00F97360" w:rsidRDefault="00D8597D" w:rsidP="007B4FB5">
      <w:pPr>
        <w:pStyle w:val="Untitledsubclause3"/>
        <w:rPr>
          <w:rFonts w:ascii="Arial" w:hAnsi="Arial" w:cs="Arial"/>
          <w:sz w:val="20"/>
        </w:rPr>
      </w:pPr>
      <w:bookmarkStart w:id="225" w:name="a656959"/>
      <w:r w:rsidRPr="00F97360">
        <w:rPr>
          <w:rFonts w:ascii="Arial" w:hAnsi="Arial" w:cs="Arial"/>
          <w:sz w:val="20"/>
        </w:rPr>
        <w:t>the Market Value of the Shares</w:t>
      </w:r>
      <w:r w:rsidR="00E37FCF" w:rsidRPr="00F97360">
        <w:rPr>
          <w:rFonts w:ascii="Arial" w:hAnsi="Arial" w:cs="Arial"/>
          <w:sz w:val="20"/>
        </w:rPr>
        <w:t xml:space="preserve"> in respect of which the </w:t>
      </w:r>
      <w:r w:rsidR="00D67DB9" w:rsidRPr="00F97360">
        <w:rPr>
          <w:rFonts w:ascii="Arial" w:hAnsi="Arial" w:cs="Arial"/>
          <w:sz w:val="20"/>
        </w:rPr>
        <w:t>Award</w:t>
      </w:r>
      <w:r w:rsidR="00E37FCF" w:rsidRPr="00F97360">
        <w:rPr>
          <w:rFonts w:ascii="Arial" w:hAnsi="Arial" w:cs="Arial"/>
          <w:sz w:val="20"/>
        </w:rPr>
        <w:t xml:space="preserve"> </w:t>
      </w:r>
      <w:r w:rsidR="00D44FC6" w:rsidRPr="00F97360">
        <w:rPr>
          <w:rFonts w:ascii="Arial" w:hAnsi="Arial" w:cs="Arial"/>
          <w:sz w:val="20"/>
        </w:rPr>
        <w:t>Vested</w:t>
      </w:r>
      <w:r w:rsidRPr="00F97360">
        <w:rPr>
          <w:rFonts w:ascii="Arial" w:hAnsi="Arial" w:cs="Arial"/>
          <w:sz w:val="20"/>
        </w:rPr>
        <w:t xml:space="preserve"> measured on the </w:t>
      </w:r>
      <w:r w:rsidR="00D44FC6" w:rsidRPr="00F97360">
        <w:rPr>
          <w:rFonts w:ascii="Arial" w:hAnsi="Arial" w:cs="Arial"/>
          <w:sz w:val="20"/>
        </w:rPr>
        <w:t>Vesting Date</w:t>
      </w:r>
      <w:r w:rsidRPr="00F97360">
        <w:rPr>
          <w:rFonts w:ascii="Arial" w:hAnsi="Arial" w:cs="Arial"/>
          <w:sz w:val="20"/>
        </w:rPr>
        <w:t>, and</w:t>
      </w:r>
      <w:bookmarkEnd w:id="225"/>
    </w:p>
    <w:p w14:paraId="56712E6B" w14:textId="031D40C3" w:rsidR="007B4FB5" w:rsidRPr="00F97360" w:rsidRDefault="00D8597D" w:rsidP="007B4FB5">
      <w:pPr>
        <w:pStyle w:val="Untitledsubclause3"/>
        <w:rPr>
          <w:rFonts w:ascii="Arial" w:hAnsi="Arial" w:cs="Arial"/>
          <w:sz w:val="20"/>
        </w:rPr>
      </w:pPr>
      <w:bookmarkStart w:id="226" w:name="a735774"/>
      <w:r w:rsidRPr="00F97360">
        <w:rPr>
          <w:rFonts w:ascii="Arial" w:hAnsi="Arial" w:cs="Arial"/>
          <w:sz w:val="20"/>
        </w:rPr>
        <w:t xml:space="preserve">the Market Value of the Shares </w:t>
      </w:r>
      <w:r w:rsidR="00E37FCF" w:rsidRPr="00F97360">
        <w:rPr>
          <w:rFonts w:ascii="Arial" w:hAnsi="Arial" w:cs="Arial"/>
          <w:sz w:val="20"/>
        </w:rPr>
        <w:t xml:space="preserve">in respect of which the </w:t>
      </w:r>
      <w:r w:rsidR="00D67DB9" w:rsidRPr="00F97360">
        <w:rPr>
          <w:rFonts w:ascii="Arial" w:hAnsi="Arial" w:cs="Arial"/>
          <w:sz w:val="20"/>
        </w:rPr>
        <w:t>Award</w:t>
      </w:r>
      <w:r w:rsidR="00E37FCF" w:rsidRPr="00F97360">
        <w:rPr>
          <w:rFonts w:ascii="Arial" w:hAnsi="Arial" w:cs="Arial"/>
          <w:sz w:val="20"/>
        </w:rPr>
        <w:t xml:space="preserve"> </w:t>
      </w:r>
      <w:r w:rsidR="00D44FC6" w:rsidRPr="00F97360">
        <w:rPr>
          <w:rFonts w:ascii="Arial" w:hAnsi="Arial" w:cs="Arial"/>
          <w:sz w:val="20"/>
        </w:rPr>
        <w:t>Vested</w:t>
      </w:r>
      <w:r w:rsidR="00E37FCF" w:rsidRPr="00F97360">
        <w:rPr>
          <w:rFonts w:ascii="Arial" w:hAnsi="Arial" w:cs="Arial"/>
          <w:sz w:val="20"/>
        </w:rPr>
        <w:t xml:space="preserve"> </w:t>
      </w:r>
      <w:r w:rsidRPr="00F97360">
        <w:rPr>
          <w:rFonts w:ascii="Arial" w:hAnsi="Arial" w:cs="Arial"/>
          <w:sz w:val="20"/>
        </w:rPr>
        <w:t>measured on the date of the determination</w:t>
      </w:r>
      <w:bookmarkEnd w:id="226"/>
      <w:r w:rsidR="00E37FCF" w:rsidRPr="00F97360">
        <w:rPr>
          <w:rFonts w:ascii="Arial" w:hAnsi="Arial" w:cs="Arial"/>
          <w:sz w:val="20"/>
        </w:rPr>
        <w:t>.</w:t>
      </w:r>
    </w:p>
    <w:p w14:paraId="56712E6C" w14:textId="7C615149" w:rsidR="00E00859" w:rsidRPr="00F97360" w:rsidRDefault="00D8597D" w:rsidP="00E00859">
      <w:pPr>
        <w:pStyle w:val="Untitledsubclause1"/>
        <w:rPr>
          <w:rFonts w:ascii="Arial" w:hAnsi="Arial" w:cs="Arial"/>
          <w:sz w:val="20"/>
        </w:rPr>
      </w:pPr>
      <w:bookmarkStart w:id="227" w:name="a171404"/>
      <w:r w:rsidRPr="00F97360">
        <w:rPr>
          <w:rFonts w:ascii="Arial" w:hAnsi="Arial" w:cs="Arial"/>
          <w:sz w:val="20"/>
        </w:rPr>
        <w:t xml:space="preserve">The Award Holder shall use his </w:t>
      </w:r>
      <w:r w:rsidR="00E11C32" w:rsidRPr="00F97360">
        <w:rPr>
          <w:rFonts w:ascii="Arial" w:hAnsi="Arial" w:cs="Arial"/>
          <w:sz w:val="20"/>
        </w:rPr>
        <w:t xml:space="preserve">or her </w:t>
      </w:r>
      <w:r w:rsidRPr="00F97360">
        <w:rPr>
          <w:rFonts w:ascii="Arial" w:hAnsi="Arial" w:cs="Arial"/>
          <w:sz w:val="20"/>
        </w:rPr>
        <w:t xml:space="preserve">best </w:t>
      </w:r>
      <w:proofErr w:type="spellStart"/>
      <w:r w:rsidRPr="00F97360">
        <w:rPr>
          <w:rFonts w:ascii="Arial" w:hAnsi="Arial" w:cs="Arial"/>
          <w:sz w:val="20"/>
        </w:rPr>
        <w:t>endeavors</w:t>
      </w:r>
      <w:proofErr w:type="spellEnd"/>
      <w:r w:rsidRPr="00F97360">
        <w:rPr>
          <w:rFonts w:ascii="Arial" w:hAnsi="Arial" w:cs="Arial"/>
          <w:sz w:val="20"/>
        </w:rPr>
        <w:t xml:space="preserve"> to seek and obtain repayment or credit from the Tax Authority of any Tax Liability paid on the Award Holder’s behalf in relation to the </w:t>
      </w:r>
      <w:r w:rsidR="00D67DB9" w:rsidRPr="00F97360">
        <w:rPr>
          <w:rFonts w:ascii="Arial" w:hAnsi="Arial" w:cs="Arial"/>
          <w:sz w:val="20"/>
        </w:rPr>
        <w:t>Award</w:t>
      </w:r>
      <w:r w:rsidRPr="00F97360">
        <w:rPr>
          <w:rFonts w:ascii="Arial" w:hAnsi="Arial" w:cs="Arial"/>
          <w:sz w:val="20"/>
        </w:rPr>
        <w:t xml:space="preserve"> </w:t>
      </w:r>
      <w:r w:rsidR="00CE3A8C" w:rsidRPr="00F97360">
        <w:rPr>
          <w:rFonts w:ascii="Arial" w:hAnsi="Arial" w:cs="Arial"/>
          <w:sz w:val="20"/>
        </w:rPr>
        <w:t>(or relevant part</w:t>
      </w:r>
      <w:r w:rsidR="007B39DC" w:rsidRPr="00F97360">
        <w:rPr>
          <w:rFonts w:ascii="Arial" w:hAnsi="Arial" w:cs="Arial"/>
          <w:sz w:val="20"/>
        </w:rPr>
        <w:t xml:space="preserve"> thereof</w:t>
      </w:r>
      <w:r w:rsidR="00CE3A8C" w:rsidRPr="00F97360">
        <w:rPr>
          <w:rFonts w:ascii="Arial" w:hAnsi="Arial" w:cs="Arial"/>
          <w:sz w:val="20"/>
        </w:rPr>
        <w:t xml:space="preserve">) </w:t>
      </w:r>
      <w:r w:rsidRPr="00F97360">
        <w:rPr>
          <w:rFonts w:ascii="Arial" w:hAnsi="Arial" w:cs="Arial"/>
          <w:sz w:val="20"/>
        </w:rPr>
        <w:t>as soon as reasonably practicable and to notify the Company of their receipt of any credit or payment by the Tax Authority of an amount representing all or part of such Tax Liability (the “</w:t>
      </w:r>
      <w:r w:rsidRPr="00F97360">
        <w:rPr>
          <w:rFonts w:ascii="Arial" w:hAnsi="Arial" w:cs="Arial"/>
          <w:b/>
          <w:bCs/>
          <w:sz w:val="20"/>
        </w:rPr>
        <w:t>Tax Refund</w:t>
      </w:r>
      <w:r w:rsidRPr="00F97360">
        <w:rPr>
          <w:rFonts w:ascii="Arial" w:hAnsi="Arial" w:cs="Arial"/>
          <w:sz w:val="20"/>
        </w:rPr>
        <w:t>”). Within the 30 days following such notification, the Award Holder will pay to the Company an amount equivalent to the amount of the Tax Refund.</w:t>
      </w:r>
    </w:p>
    <w:p w14:paraId="56712E6D" w14:textId="2F5E8985" w:rsidR="007B4FB5" w:rsidRPr="00F97360" w:rsidRDefault="00D8597D" w:rsidP="007B4FB5">
      <w:pPr>
        <w:pStyle w:val="Untitledsubclause1"/>
        <w:rPr>
          <w:rFonts w:ascii="Arial" w:hAnsi="Arial" w:cs="Arial"/>
          <w:sz w:val="20"/>
        </w:rPr>
      </w:pPr>
      <w:r w:rsidRPr="00F97360">
        <w:rPr>
          <w:rFonts w:ascii="Arial" w:hAnsi="Arial" w:cs="Arial"/>
          <w:sz w:val="20"/>
        </w:rPr>
        <w:t xml:space="preserve">If the Award Holder has paid or is liable to pay any </w:t>
      </w:r>
      <w:r w:rsidR="00E00859" w:rsidRPr="00F97360">
        <w:rPr>
          <w:rFonts w:ascii="Arial" w:hAnsi="Arial" w:cs="Arial"/>
          <w:sz w:val="20"/>
        </w:rPr>
        <w:t xml:space="preserve">Tax Liability </w:t>
      </w:r>
      <w:r w:rsidRPr="00F97360">
        <w:rPr>
          <w:rFonts w:ascii="Arial" w:hAnsi="Arial" w:cs="Arial"/>
          <w:sz w:val="20"/>
        </w:rPr>
        <w:t xml:space="preserve">in relation to the </w:t>
      </w:r>
      <w:r w:rsidR="00D67DB9" w:rsidRPr="00F97360">
        <w:rPr>
          <w:rFonts w:ascii="Arial" w:hAnsi="Arial" w:cs="Arial"/>
          <w:sz w:val="20"/>
        </w:rPr>
        <w:t>Award</w:t>
      </w:r>
      <w:r w:rsidRPr="00F97360">
        <w:rPr>
          <w:rFonts w:ascii="Arial" w:hAnsi="Arial" w:cs="Arial"/>
          <w:sz w:val="20"/>
        </w:rPr>
        <w:t xml:space="preserve"> or the Shares and which cannot be recovered from or repaid by the Tax Authority (whether directly or indirectly), the </w:t>
      </w:r>
      <w:r w:rsidR="00623047" w:rsidRPr="00F97360">
        <w:rPr>
          <w:rFonts w:ascii="Arial" w:hAnsi="Arial" w:cs="Arial"/>
          <w:sz w:val="20"/>
        </w:rPr>
        <w:t>Remuneration Committee</w:t>
      </w:r>
      <w:r w:rsidRPr="00F97360">
        <w:rPr>
          <w:rFonts w:ascii="Arial" w:hAnsi="Arial" w:cs="Arial"/>
          <w:sz w:val="20"/>
        </w:rPr>
        <w:t xml:space="preserve"> may in its discretion decide to reduce the Clawback Amount to take account of this amount</w:t>
      </w:r>
      <w:r w:rsidR="00B70C0C" w:rsidRPr="00F97360">
        <w:rPr>
          <w:rFonts w:ascii="Arial" w:hAnsi="Arial" w:cs="Arial"/>
          <w:sz w:val="20"/>
        </w:rPr>
        <w:t xml:space="preserve"> (save where the calculation of the Clawback Amount already took into account any Tax Liability paid)</w:t>
      </w:r>
      <w:r w:rsidRPr="00F97360">
        <w:rPr>
          <w:rFonts w:ascii="Arial" w:hAnsi="Arial" w:cs="Arial"/>
          <w:sz w:val="20"/>
        </w:rPr>
        <w:t>.</w:t>
      </w:r>
      <w:bookmarkEnd w:id="227"/>
    </w:p>
    <w:p w14:paraId="56712E6E" w14:textId="230928B5" w:rsidR="007B4FB5" w:rsidRPr="00F97360" w:rsidRDefault="00D8597D" w:rsidP="007B4FB5">
      <w:pPr>
        <w:pStyle w:val="Untitledsubclause1"/>
        <w:rPr>
          <w:rFonts w:ascii="Arial" w:hAnsi="Arial" w:cs="Arial"/>
          <w:sz w:val="20"/>
        </w:rPr>
      </w:pPr>
      <w:bookmarkStart w:id="228" w:name="a705721"/>
      <w:r w:rsidRPr="00F97360">
        <w:rPr>
          <w:rFonts w:ascii="Arial" w:hAnsi="Arial" w:cs="Arial"/>
          <w:sz w:val="20"/>
        </w:rPr>
        <w:t xml:space="preserve">The </w:t>
      </w:r>
      <w:r w:rsidR="00623047" w:rsidRPr="00F97360">
        <w:rPr>
          <w:rFonts w:ascii="Arial" w:hAnsi="Arial" w:cs="Arial"/>
          <w:sz w:val="20"/>
        </w:rPr>
        <w:t>Remuneration Committee</w:t>
      </w:r>
      <w:r w:rsidRPr="00F97360">
        <w:rPr>
          <w:rFonts w:ascii="Arial" w:hAnsi="Arial" w:cs="Arial"/>
          <w:sz w:val="20"/>
        </w:rPr>
        <w:t xml:space="preserve"> is not obliged to determine a Clawback Amount in relation to any </w:t>
      </w:r>
      <w:proofErr w:type="gramStart"/>
      <w:r w:rsidRPr="00F97360">
        <w:rPr>
          <w:rFonts w:ascii="Arial" w:hAnsi="Arial" w:cs="Arial"/>
          <w:sz w:val="20"/>
        </w:rPr>
        <w:t xml:space="preserve">particular </w:t>
      </w:r>
      <w:r w:rsidR="00D67DB9" w:rsidRPr="00F97360">
        <w:rPr>
          <w:rFonts w:ascii="Arial" w:hAnsi="Arial" w:cs="Arial"/>
          <w:sz w:val="20"/>
        </w:rPr>
        <w:t>Award</w:t>
      </w:r>
      <w:proofErr w:type="gramEnd"/>
      <w:r w:rsidRPr="00F97360">
        <w:rPr>
          <w:rFonts w:ascii="Arial" w:hAnsi="Arial" w:cs="Arial"/>
          <w:sz w:val="20"/>
        </w:rPr>
        <w:t xml:space="preserve">, even if the </w:t>
      </w:r>
      <w:r w:rsidR="00623047" w:rsidRPr="00F97360">
        <w:rPr>
          <w:rFonts w:ascii="Arial" w:hAnsi="Arial" w:cs="Arial"/>
          <w:sz w:val="20"/>
        </w:rPr>
        <w:t>Remuneration Committee</w:t>
      </w:r>
      <w:r w:rsidRPr="00F97360">
        <w:rPr>
          <w:rFonts w:ascii="Arial" w:hAnsi="Arial" w:cs="Arial"/>
          <w:sz w:val="20"/>
        </w:rPr>
        <w:t xml:space="preserve"> does determine a Clawback Amount in relation to other </w:t>
      </w:r>
      <w:r w:rsidR="00D67DB9" w:rsidRPr="00F97360">
        <w:rPr>
          <w:rFonts w:ascii="Arial" w:hAnsi="Arial" w:cs="Arial"/>
          <w:sz w:val="20"/>
        </w:rPr>
        <w:t>Award</w:t>
      </w:r>
      <w:r w:rsidR="00D62C51" w:rsidRPr="00F97360">
        <w:rPr>
          <w:rFonts w:ascii="Arial" w:hAnsi="Arial" w:cs="Arial"/>
          <w:sz w:val="20"/>
        </w:rPr>
        <w:t>s</w:t>
      </w:r>
      <w:r w:rsidRPr="00F97360">
        <w:rPr>
          <w:rFonts w:ascii="Arial" w:hAnsi="Arial" w:cs="Arial"/>
          <w:sz w:val="20"/>
        </w:rPr>
        <w:t xml:space="preserve"> to the same or other Award Holders which had the same Grant Date or </w:t>
      </w:r>
      <w:r w:rsidR="00D44FC6" w:rsidRPr="00F97360">
        <w:rPr>
          <w:rFonts w:ascii="Arial" w:hAnsi="Arial" w:cs="Arial"/>
          <w:sz w:val="20"/>
        </w:rPr>
        <w:t>Vesting Date</w:t>
      </w:r>
      <w:r w:rsidRPr="00F97360">
        <w:rPr>
          <w:rFonts w:ascii="Arial" w:hAnsi="Arial" w:cs="Arial"/>
          <w:sz w:val="20"/>
        </w:rPr>
        <w:t>.</w:t>
      </w:r>
      <w:bookmarkEnd w:id="228"/>
    </w:p>
    <w:p w14:paraId="56712E6F" w14:textId="70734462" w:rsidR="007B4FB5" w:rsidRPr="00F97360" w:rsidRDefault="00D8597D" w:rsidP="007B4FB5">
      <w:pPr>
        <w:pStyle w:val="Untitledsubclause1"/>
        <w:rPr>
          <w:rFonts w:ascii="Arial" w:hAnsi="Arial" w:cs="Arial"/>
          <w:sz w:val="20"/>
        </w:rPr>
      </w:pPr>
      <w:bookmarkStart w:id="229" w:name="a823216"/>
      <w:r w:rsidRPr="00F97360">
        <w:rPr>
          <w:rFonts w:ascii="Arial" w:hAnsi="Arial" w:cs="Arial"/>
          <w:sz w:val="20"/>
        </w:rPr>
        <w:t>The Company</w:t>
      </w:r>
      <w:r w:rsidR="00D82986" w:rsidRPr="00F97360">
        <w:rPr>
          <w:rFonts w:ascii="Arial" w:hAnsi="Arial" w:cs="Arial"/>
          <w:sz w:val="20"/>
        </w:rPr>
        <w:t xml:space="preserve"> may, to the extent permitted by applicable law, </w:t>
      </w:r>
      <w:r w:rsidRPr="00F97360">
        <w:rPr>
          <w:rFonts w:ascii="Arial" w:hAnsi="Arial" w:cs="Arial"/>
          <w:sz w:val="20"/>
        </w:rPr>
        <w:t xml:space="preserve">obtain </w:t>
      </w:r>
      <w:r w:rsidR="00941DAE" w:rsidRPr="00F97360">
        <w:rPr>
          <w:rFonts w:ascii="Arial" w:hAnsi="Arial" w:cs="Arial"/>
          <w:sz w:val="20"/>
        </w:rPr>
        <w:t>recovery</w:t>
      </w:r>
      <w:r w:rsidRPr="00F97360">
        <w:rPr>
          <w:rFonts w:ascii="Arial" w:hAnsi="Arial" w:cs="Arial"/>
          <w:sz w:val="20"/>
        </w:rPr>
        <w:t xml:space="preserve"> of the Clawback Amount from the Award Holder in any (or any combination) of the following ways:</w:t>
      </w:r>
      <w:bookmarkEnd w:id="229"/>
    </w:p>
    <w:p w14:paraId="56712E70" w14:textId="01AE5D88" w:rsidR="007B4FB5" w:rsidRPr="00F97360" w:rsidRDefault="00D8597D" w:rsidP="00F97360">
      <w:pPr>
        <w:pStyle w:val="Untitledsubclause2"/>
        <w:tabs>
          <w:tab w:val="clear" w:pos="1554"/>
          <w:tab w:val="num" w:pos="1985"/>
        </w:tabs>
        <w:ind w:left="1985" w:hanging="567"/>
        <w:rPr>
          <w:rFonts w:ascii="Arial" w:hAnsi="Arial" w:cs="Arial"/>
          <w:sz w:val="20"/>
        </w:rPr>
      </w:pPr>
      <w:bookmarkStart w:id="230" w:name="a979390"/>
      <w:r w:rsidRPr="00F97360">
        <w:rPr>
          <w:rFonts w:ascii="Arial" w:hAnsi="Arial" w:cs="Arial"/>
          <w:sz w:val="20"/>
        </w:rPr>
        <w:lastRenderedPageBreak/>
        <w:t xml:space="preserve">by reducing or cancelling any Options that the Award Holder has not </w:t>
      </w:r>
      <w:proofErr w:type="gramStart"/>
      <w:r w:rsidRPr="00F97360">
        <w:rPr>
          <w:rFonts w:ascii="Arial" w:hAnsi="Arial" w:cs="Arial"/>
          <w:sz w:val="20"/>
        </w:rPr>
        <w:t>exercised;</w:t>
      </w:r>
      <w:bookmarkEnd w:id="230"/>
      <w:proofErr w:type="gramEnd"/>
    </w:p>
    <w:p w14:paraId="56712E71" w14:textId="116CB007" w:rsidR="007B4FB5" w:rsidRPr="00F97360" w:rsidRDefault="00D8597D" w:rsidP="00F97360">
      <w:pPr>
        <w:pStyle w:val="Untitledsubclause2"/>
        <w:tabs>
          <w:tab w:val="clear" w:pos="1554"/>
          <w:tab w:val="num" w:pos="1985"/>
        </w:tabs>
        <w:ind w:left="1985" w:hanging="567"/>
        <w:rPr>
          <w:rFonts w:ascii="Arial" w:hAnsi="Arial" w:cs="Arial"/>
          <w:sz w:val="20"/>
        </w:rPr>
      </w:pPr>
      <w:bookmarkStart w:id="231" w:name="a776445"/>
      <w:r w:rsidRPr="00F97360">
        <w:rPr>
          <w:rFonts w:ascii="Arial" w:hAnsi="Arial" w:cs="Arial"/>
          <w:sz w:val="20"/>
        </w:rPr>
        <w:t xml:space="preserve">by reducing or cancelling any Non-Option Awards that have not yet </w:t>
      </w:r>
      <w:proofErr w:type="gramStart"/>
      <w:r w:rsidR="00D44FC6" w:rsidRPr="00F97360">
        <w:rPr>
          <w:rFonts w:ascii="Arial" w:hAnsi="Arial" w:cs="Arial"/>
          <w:sz w:val="20"/>
        </w:rPr>
        <w:t>Vested</w:t>
      </w:r>
      <w:r w:rsidRPr="00F97360">
        <w:rPr>
          <w:rFonts w:ascii="Arial" w:hAnsi="Arial" w:cs="Arial"/>
          <w:sz w:val="20"/>
        </w:rPr>
        <w:t>;</w:t>
      </w:r>
      <w:bookmarkEnd w:id="231"/>
      <w:proofErr w:type="gramEnd"/>
    </w:p>
    <w:p w14:paraId="56712E72" w14:textId="77777777" w:rsidR="007B4FB5" w:rsidRPr="00F97360" w:rsidRDefault="00D8597D" w:rsidP="00F97360">
      <w:pPr>
        <w:pStyle w:val="Untitledsubclause2"/>
        <w:tabs>
          <w:tab w:val="clear" w:pos="1554"/>
          <w:tab w:val="num" w:pos="1985"/>
        </w:tabs>
        <w:ind w:left="1985" w:hanging="567"/>
        <w:rPr>
          <w:rFonts w:ascii="Arial" w:hAnsi="Arial" w:cs="Arial"/>
          <w:sz w:val="20"/>
        </w:rPr>
      </w:pPr>
      <w:bookmarkStart w:id="232" w:name="a385282"/>
      <w:r w:rsidRPr="00F97360">
        <w:rPr>
          <w:rFonts w:ascii="Arial" w:hAnsi="Arial" w:cs="Arial"/>
          <w:sz w:val="20"/>
        </w:rPr>
        <w:t xml:space="preserve">by reducing or cancelling any cash bonus payable to the Award Holder by any Group </w:t>
      </w:r>
      <w:proofErr w:type="gramStart"/>
      <w:r w:rsidRPr="00F97360">
        <w:rPr>
          <w:rFonts w:ascii="Arial" w:hAnsi="Arial" w:cs="Arial"/>
          <w:sz w:val="20"/>
        </w:rPr>
        <w:t>Company;</w:t>
      </w:r>
      <w:bookmarkEnd w:id="232"/>
      <w:proofErr w:type="gramEnd"/>
    </w:p>
    <w:p w14:paraId="56712E73" w14:textId="4F61B88C" w:rsidR="007B4FB5" w:rsidRPr="00F97360" w:rsidRDefault="00D8597D" w:rsidP="00F97360">
      <w:pPr>
        <w:pStyle w:val="Untitledsubclause2"/>
        <w:tabs>
          <w:tab w:val="clear" w:pos="1554"/>
          <w:tab w:val="num" w:pos="1985"/>
        </w:tabs>
        <w:ind w:left="1985" w:hanging="567"/>
        <w:rPr>
          <w:rFonts w:ascii="Arial" w:hAnsi="Arial" w:cs="Arial"/>
          <w:sz w:val="20"/>
        </w:rPr>
      </w:pPr>
      <w:bookmarkStart w:id="233" w:name="a558774"/>
      <w:r w:rsidRPr="00F97360">
        <w:rPr>
          <w:rFonts w:ascii="Arial" w:hAnsi="Arial" w:cs="Arial"/>
          <w:sz w:val="20"/>
        </w:rPr>
        <w:t xml:space="preserve">by reducing or cancelling any future or existing award made or option granted to the Award Holder under any </w:t>
      </w:r>
      <w:r w:rsidR="00297F2C" w:rsidRPr="00F97360">
        <w:rPr>
          <w:rFonts w:ascii="Arial" w:hAnsi="Arial" w:cs="Arial"/>
          <w:sz w:val="20"/>
        </w:rPr>
        <w:t xml:space="preserve">cash-based or share-based incentive scheme </w:t>
      </w:r>
      <w:r w:rsidRPr="00F97360">
        <w:rPr>
          <w:rFonts w:ascii="Arial" w:hAnsi="Arial" w:cs="Arial"/>
          <w:sz w:val="20"/>
        </w:rPr>
        <w:t xml:space="preserve">or bonus scheme operated by any Group Company </w:t>
      </w:r>
      <w:r w:rsidR="00AD4A51" w:rsidRPr="00F97360">
        <w:rPr>
          <w:rFonts w:ascii="Arial" w:hAnsi="Arial" w:cs="Arial"/>
          <w:sz w:val="20"/>
        </w:rPr>
        <w:t>(other than any tax-advantaged scheme established under schedules 2 to 5 (inclusive) of ITEPA 2003</w:t>
      </w:r>
      <w:proofErr w:type="gramStart"/>
      <w:r w:rsidR="00AD4A51" w:rsidRPr="00F97360">
        <w:rPr>
          <w:rFonts w:ascii="Arial" w:hAnsi="Arial" w:cs="Arial"/>
          <w:sz w:val="20"/>
        </w:rPr>
        <w:t>)</w:t>
      </w:r>
      <w:r w:rsidRPr="00F97360">
        <w:rPr>
          <w:rFonts w:ascii="Arial" w:hAnsi="Arial" w:cs="Arial"/>
          <w:sz w:val="20"/>
        </w:rPr>
        <w:t>;</w:t>
      </w:r>
      <w:bookmarkEnd w:id="233"/>
      <w:proofErr w:type="gramEnd"/>
    </w:p>
    <w:p w14:paraId="56712E74" w14:textId="77777777" w:rsidR="007B4FB5" w:rsidRPr="00F97360" w:rsidRDefault="00D8597D" w:rsidP="00F97360">
      <w:pPr>
        <w:pStyle w:val="Untitledsubclause2"/>
        <w:tabs>
          <w:tab w:val="clear" w:pos="1554"/>
          <w:tab w:val="num" w:pos="1985"/>
        </w:tabs>
        <w:ind w:left="1985" w:hanging="567"/>
        <w:rPr>
          <w:rFonts w:ascii="Arial" w:hAnsi="Arial" w:cs="Arial"/>
          <w:sz w:val="20"/>
        </w:rPr>
      </w:pPr>
      <w:bookmarkStart w:id="234" w:name="a537411"/>
      <w:r w:rsidRPr="00F97360">
        <w:rPr>
          <w:rFonts w:ascii="Arial" w:hAnsi="Arial" w:cs="Arial"/>
          <w:sz w:val="20"/>
        </w:rPr>
        <w:t xml:space="preserve">by requiring the Award Holder to transfer Shares to the </w:t>
      </w:r>
      <w:r w:rsidR="00F3239A" w:rsidRPr="00F97360">
        <w:rPr>
          <w:rFonts w:ascii="Arial" w:hAnsi="Arial" w:cs="Arial"/>
          <w:sz w:val="20"/>
        </w:rPr>
        <w:t>trustee of an employee benefit trust settled by a Group Company</w:t>
      </w:r>
      <w:r w:rsidR="00D82986" w:rsidRPr="00F97360">
        <w:rPr>
          <w:rFonts w:ascii="Arial" w:hAnsi="Arial" w:cs="Arial"/>
          <w:sz w:val="20"/>
        </w:rPr>
        <w:t xml:space="preserve"> (or such other party as the Company may direct)</w:t>
      </w:r>
      <w:r w:rsidRPr="00F97360">
        <w:rPr>
          <w:rFonts w:ascii="Arial" w:hAnsi="Arial" w:cs="Arial"/>
          <w:sz w:val="20"/>
        </w:rPr>
        <w:t xml:space="preserve"> for no </w:t>
      </w:r>
      <w:proofErr w:type="gramStart"/>
      <w:r w:rsidRPr="00F97360">
        <w:rPr>
          <w:rFonts w:ascii="Arial" w:hAnsi="Arial" w:cs="Arial"/>
          <w:sz w:val="20"/>
        </w:rPr>
        <w:t>consideration;</w:t>
      </w:r>
      <w:bookmarkEnd w:id="234"/>
      <w:proofErr w:type="gramEnd"/>
    </w:p>
    <w:p w14:paraId="56712E75" w14:textId="77777777" w:rsidR="007B4FB5" w:rsidRPr="00F97360" w:rsidRDefault="00D8597D" w:rsidP="00F97360">
      <w:pPr>
        <w:pStyle w:val="Untitledsubclause2"/>
        <w:tabs>
          <w:tab w:val="clear" w:pos="1554"/>
          <w:tab w:val="num" w:pos="1985"/>
        </w:tabs>
        <w:ind w:left="1985" w:hanging="567"/>
        <w:rPr>
          <w:rFonts w:ascii="Arial" w:hAnsi="Arial" w:cs="Arial"/>
          <w:sz w:val="20"/>
        </w:rPr>
      </w:pPr>
      <w:bookmarkStart w:id="235" w:name="a233751"/>
      <w:r w:rsidRPr="00F97360">
        <w:rPr>
          <w:rFonts w:ascii="Arial" w:hAnsi="Arial" w:cs="Arial"/>
          <w:sz w:val="20"/>
        </w:rPr>
        <w:t>by causing any Shares held by the Nominee on behalf of the Award Holder to be forfeited for no consideration, with the consequence that the Award Holder no longer has any beneficial interest in those Shares; or</w:t>
      </w:r>
      <w:bookmarkEnd w:id="235"/>
    </w:p>
    <w:p w14:paraId="56712E76" w14:textId="422FBB91" w:rsidR="007B4FB5" w:rsidRPr="00F97360" w:rsidRDefault="00D8597D" w:rsidP="00F97360">
      <w:pPr>
        <w:pStyle w:val="Untitledsubclause2"/>
        <w:tabs>
          <w:tab w:val="clear" w:pos="1554"/>
          <w:tab w:val="num" w:pos="1985"/>
        </w:tabs>
        <w:ind w:left="1985" w:hanging="567"/>
        <w:rPr>
          <w:rFonts w:ascii="Arial" w:hAnsi="Arial" w:cs="Arial"/>
          <w:sz w:val="20"/>
        </w:rPr>
      </w:pPr>
      <w:bookmarkStart w:id="236" w:name="a569455"/>
      <w:r w:rsidRPr="00F97360">
        <w:rPr>
          <w:rFonts w:ascii="Arial" w:hAnsi="Arial" w:cs="Arial"/>
          <w:sz w:val="20"/>
        </w:rPr>
        <w:t xml:space="preserve">by requiring the Award Holder to make a cash payment </w:t>
      </w:r>
      <w:r w:rsidR="00D437CA" w:rsidRPr="00F97360">
        <w:rPr>
          <w:rFonts w:ascii="Arial" w:hAnsi="Arial" w:cs="Arial"/>
          <w:sz w:val="20"/>
        </w:rPr>
        <w:t xml:space="preserve">equal to the Clawback Amount </w:t>
      </w:r>
      <w:r w:rsidRPr="00F97360">
        <w:rPr>
          <w:rFonts w:ascii="Arial" w:hAnsi="Arial" w:cs="Arial"/>
          <w:sz w:val="20"/>
        </w:rPr>
        <w:t>to a Group Company</w:t>
      </w:r>
      <w:bookmarkEnd w:id="236"/>
      <w:r w:rsidR="00D437CA" w:rsidRPr="00F97360">
        <w:rPr>
          <w:rFonts w:ascii="Arial" w:hAnsi="Arial" w:cs="Arial"/>
          <w:sz w:val="20"/>
        </w:rPr>
        <w:t xml:space="preserve"> </w:t>
      </w:r>
      <w:r w:rsidRPr="00F97360">
        <w:rPr>
          <w:rFonts w:ascii="Arial" w:hAnsi="Arial" w:cs="Arial"/>
          <w:sz w:val="20"/>
        </w:rPr>
        <w:t>(or to such other person as the Company may direct) within 30 days of receiving a written demand by the Company for the same, and, for the purposes of </w:t>
      </w:r>
      <w:r w:rsidRPr="00F97360">
        <w:rPr>
          <w:rFonts w:ascii="Arial" w:hAnsi="Arial" w:cs="Arial"/>
          <w:iCs/>
          <w:sz w:val="20"/>
        </w:rPr>
        <w:t>section 15(1)(b) </w:t>
      </w:r>
      <w:r w:rsidRPr="00F97360">
        <w:rPr>
          <w:rFonts w:ascii="Arial" w:hAnsi="Arial" w:cs="Arial"/>
          <w:sz w:val="20"/>
        </w:rPr>
        <w:t>of the Employment Rights Act 1996</w:t>
      </w:r>
      <w:r w:rsidR="00BE652E" w:rsidRPr="00F97360">
        <w:rPr>
          <w:rFonts w:ascii="Arial" w:hAnsi="Arial" w:cs="Arial"/>
          <w:sz w:val="20"/>
        </w:rPr>
        <w:t xml:space="preserve"> and any relevant laws in any other jurisdiction (in each case to the extent applicable)</w:t>
      </w:r>
      <w:r w:rsidRPr="00F97360">
        <w:rPr>
          <w:rFonts w:ascii="Arial" w:hAnsi="Arial" w:cs="Arial"/>
          <w:sz w:val="20"/>
        </w:rPr>
        <w:t xml:space="preserve">, </w:t>
      </w:r>
      <w:r w:rsidR="00210EB6" w:rsidRPr="00F97360">
        <w:rPr>
          <w:rFonts w:ascii="Arial" w:hAnsi="Arial" w:cs="Arial"/>
          <w:sz w:val="20"/>
        </w:rPr>
        <w:t xml:space="preserve">by accepting an Award </w:t>
      </w:r>
      <w:r w:rsidRPr="00F97360">
        <w:rPr>
          <w:rFonts w:ascii="Arial" w:hAnsi="Arial" w:cs="Arial"/>
          <w:sz w:val="20"/>
        </w:rPr>
        <w:t>the Award Holder consents to such payment being made and the Company receiving such payment</w:t>
      </w:r>
      <w:r w:rsidR="00EC1EFA" w:rsidRPr="00F97360">
        <w:rPr>
          <w:rFonts w:ascii="Arial" w:hAnsi="Arial" w:cs="Arial"/>
          <w:sz w:val="20"/>
        </w:rPr>
        <w:t xml:space="preserve"> (and, </w:t>
      </w:r>
      <w:r w:rsidR="00D437CA" w:rsidRPr="00F97360">
        <w:rPr>
          <w:rFonts w:ascii="Arial" w:hAnsi="Arial" w:cs="Arial"/>
          <w:sz w:val="20"/>
        </w:rPr>
        <w:t>i</w:t>
      </w:r>
      <w:r w:rsidRPr="00F97360">
        <w:rPr>
          <w:rFonts w:ascii="Arial" w:hAnsi="Arial" w:cs="Arial"/>
          <w:sz w:val="20"/>
        </w:rPr>
        <w:t xml:space="preserve">f the Award Holder fails to </w:t>
      </w:r>
      <w:r w:rsidR="0029753B" w:rsidRPr="00F97360">
        <w:rPr>
          <w:rFonts w:ascii="Arial" w:hAnsi="Arial" w:cs="Arial"/>
          <w:sz w:val="20"/>
        </w:rPr>
        <w:t>make such payment</w:t>
      </w:r>
      <w:r w:rsidRPr="00F97360">
        <w:rPr>
          <w:rFonts w:ascii="Arial" w:hAnsi="Arial" w:cs="Arial"/>
          <w:sz w:val="20"/>
        </w:rPr>
        <w:t xml:space="preserve"> within </w:t>
      </w:r>
      <w:r w:rsidR="003A4624" w:rsidRPr="00F97360">
        <w:rPr>
          <w:rFonts w:ascii="Arial" w:hAnsi="Arial" w:cs="Arial"/>
          <w:sz w:val="20"/>
        </w:rPr>
        <w:t xml:space="preserve">the period of </w:t>
      </w:r>
      <w:r w:rsidRPr="00F97360">
        <w:rPr>
          <w:rFonts w:ascii="Arial" w:hAnsi="Arial" w:cs="Arial"/>
          <w:sz w:val="20"/>
        </w:rPr>
        <w:t xml:space="preserve">30 days </w:t>
      </w:r>
      <w:r w:rsidR="003A4624" w:rsidRPr="00F97360">
        <w:rPr>
          <w:rFonts w:ascii="Arial" w:hAnsi="Arial" w:cs="Arial"/>
          <w:sz w:val="20"/>
        </w:rPr>
        <w:t xml:space="preserve">beginning with the date </w:t>
      </w:r>
      <w:r w:rsidRPr="00F97360">
        <w:rPr>
          <w:rFonts w:ascii="Arial" w:hAnsi="Arial" w:cs="Arial"/>
          <w:sz w:val="20"/>
        </w:rPr>
        <w:t xml:space="preserve">the </w:t>
      </w:r>
      <w:r w:rsidR="00EC1EFA" w:rsidRPr="00F97360">
        <w:rPr>
          <w:rFonts w:ascii="Arial" w:hAnsi="Arial" w:cs="Arial"/>
          <w:sz w:val="20"/>
        </w:rPr>
        <w:t xml:space="preserve">demand was made, </w:t>
      </w:r>
      <w:r w:rsidRPr="00F97360">
        <w:rPr>
          <w:rFonts w:ascii="Arial" w:hAnsi="Arial" w:cs="Arial"/>
          <w:sz w:val="20"/>
        </w:rPr>
        <w:t>the</w:t>
      </w:r>
      <w:r w:rsidR="00D437CA" w:rsidRPr="00F97360">
        <w:rPr>
          <w:rFonts w:ascii="Arial" w:hAnsi="Arial" w:cs="Arial"/>
          <w:sz w:val="20"/>
        </w:rPr>
        <w:t xml:space="preserve"> </w:t>
      </w:r>
      <w:r w:rsidR="00941DAE" w:rsidRPr="00F97360">
        <w:rPr>
          <w:rFonts w:ascii="Arial" w:hAnsi="Arial" w:cs="Arial"/>
          <w:sz w:val="20"/>
        </w:rPr>
        <w:t xml:space="preserve">Company or any other company </w:t>
      </w:r>
      <w:r w:rsidR="00D437CA" w:rsidRPr="00F97360">
        <w:rPr>
          <w:rFonts w:ascii="Arial" w:hAnsi="Arial" w:cs="Arial"/>
          <w:sz w:val="20"/>
        </w:rPr>
        <w:t xml:space="preserve">may </w:t>
      </w:r>
      <w:r w:rsidR="00941DAE" w:rsidRPr="00F97360">
        <w:rPr>
          <w:rFonts w:ascii="Arial" w:hAnsi="Arial" w:cs="Arial"/>
          <w:sz w:val="20"/>
        </w:rPr>
        <w:t>mak</w:t>
      </w:r>
      <w:r w:rsidR="00D437CA" w:rsidRPr="00F97360">
        <w:rPr>
          <w:rFonts w:ascii="Arial" w:hAnsi="Arial" w:cs="Arial"/>
          <w:sz w:val="20"/>
        </w:rPr>
        <w:t>e</w:t>
      </w:r>
      <w:r w:rsidR="00941DAE" w:rsidRPr="00F97360">
        <w:rPr>
          <w:rFonts w:ascii="Arial" w:hAnsi="Arial" w:cs="Arial"/>
          <w:sz w:val="20"/>
        </w:rPr>
        <w:t xml:space="preserve"> appropriate deductions from any salary or other payment due to the Award Holder under or in connection with the Award Holder’s employment or any payment due to the Award Holder on or following the termination of the Award Holder’s </w:t>
      </w:r>
      <w:r w:rsidR="00CF255E" w:rsidRPr="00F97360">
        <w:rPr>
          <w:rFonts w:ascii="Arial" w:hAnsi="Arial" w:cs="Arial"/>
          <w:sz w:val="20"/>
        </w:rPr>
        <w:t>e</w:t>
      </w:r>
      <w:r w:rsidR="00941DAE" w:rsidRPr="00F97360">
        <w:rPr>
          <w:rFonts w:ascii="Arial" w:hAnsi="Arial" w:cs="Arial"/>
          <w:sz w:val="20"/>
        </w:rPr>
        <w:t>mployment, and, for the purposes of section 13(1)(b) of the Employment Rights Act 1996</w:t>
      </w:r>
      <w:r w:rsidR="00D01E3C" w:rsidRPr="00F97360">
        <w:rPr>
          <w:rFonts w:ascii="Arial" w:hAnsi="Arial" w:cs="Arial"/>
          <w:sz w:val="20"/>
        </w:rPr>
        <w:t xml:space="preserve"> </w:t>
      </w:r>
      <w:r w:rsidR="00373ED4" w:rsidRPr="00F97360">
        <w:rPr>
          <w:rFonts w:ascii="Arial" w:hAnsi="Arial" w:cs="Arial"/>
          <w:sz w:val="20"/>
        </w:rPr>
        <w:t xml:space="preserve">and any </w:t>
      </w:r>
      <w:r w:rsidR="00D01E3C" w:rsidRPr="00F97360">
        <w:rPr>
          <w:rFonts w:ascii="Arial" w:hAnsi="Arial" w:cs="Arial"/>
          <w:sz w:val="20"/>
        </w:rPr>
        <w:t xml:space="preserve">relevant </w:t>
      </w:r>
      <w:r w:rsidR="00373ED4" w:rsidRPr="00F97360">
        <w:rPr>
          <w:rFonts w:ascii="Arial" w:hAnsi="Arial" w:cs="Arial"/>
          <w:sz w:val="20"/>
        </w:rPr>
        <w:t>laws in any other jurisdiction</w:t>
      </w:r>
      <w:r w:rsidR="00BE652E" w:rsidRPr="00F97360">
        <w:rPr>
          <w:rFonts w:ascii="Arial" w:hAnsi="Arial" w:cs="Arial"/>
          <w:sz w:val="20"/>
        </w:rPr>
        <w:t xml:space="preserve"> (in each case to the extent applicable)</w:t>
      </w:r>
      <w:r w:rsidR="00941DAE" w:rsidRPr="00F97360">
        <w:rPr>
          <w:rFonts w:ascii="Arial" w:hAnsi="Arial" w:cs="Arial"/>
          <w:sz w:val="20"/>
        </w:rPr>
        <w:t xml:space="preserve">, </w:t>
      </w:r>
      <w:r w:rsidR="003656D6" w:rsidRPr="00F97360">
        <w:rPr>
          <w:rFonts w:ascii="Arial" w:hAnsi="Arial" w:cs="Arial"/>
          <w:sz w:val="20"/>
        </w:rPr>
        <w:t xml:space="preserve">by accepting an Award the Award Holder consents </w:t>
      </w:r>
      <w:r w:rsidR="00941DAE" w:rsidRPr="00F97360">
        <w:rPr>
          <w:rFonts w:ascii="Arial" w:hAnsi="Arial" w:cs="Arial"/>
          <w:sz w:val="20"/>
        </w:rPr>
        <w:t>to such deductions being made</w:t>
      </w:r>
      <w:r w:rsidR="008E00C4" w:rsidRPr="00F97360">
        <w:rPr>
          <w:rFonts w:ascii="Arial" w:hAnsi="Arial" w:cs="Arial"/>
          <w:sz w:val="20"/>
        </w:rPr>
        <w:t>)</w:t>
      </w:r>
      <w:r w:rsidR="00941DAE" w:rsidRPr="00F97360">
        <w:rPr>
          <w:rFonts w:ascii="Arial" w:hAnsi="Arial" w:cs="Arial"/>
          <w:sz w:val="20"/>
        </w:rPr>
        <w:t>.</w:t>
      </w:r>
    </w:p>
    <w:p w14:paraId="56712E77" w14:textId="1B140553" w:rsidR="007B4FB5" w:rsidRPr="00F97360" w:rsidRDefault="00D8597D" w:rsidP="007B4FB5">
      <w:pPr>
        <w:pStyle w:val="Untitledsubclause1"/>
        <w:rPr>
          <w:rFonts w:ascii="Arial" w:hAnsi="Arial" w:cs="Arial"/>
          <w:sz w:val="20"/>
        </w:rPr>
      </w:pPr>
      <w:bookmarkStart w:id="237" w:name="a349192"/>
      <w:r w:rsidRPr="00F97360">
        <w:rPr>
          <w:rFonts w:ascii="Arial" w:hAnsi="Arial" w:cs="Arial"/>
          <w:sz w:val="20"/>
        </w:rPr>
        <w:t xml:space="preserve">If the Award Holder participates in another </w:t>
      </w:r>
      <w:r w:rsidR="00060DDD" w:rsidRPr="00F97360">
        <w:rPr>
          <w:rFonts w:ascii="Arial" w:hAnsi="Arial" w:cs="Arial"/>
          <w:sz w:val="20"/>
        </w:rPr>
        <w:t>any cash-based or share-based incentive scheme or bonus scheme operated by a Group Company</w:t>
      </w:r>
      <w:r w:rsidRPr="00F97360">
        <w:rPr>
          <w:rFonts w:ascii="Arial" w:hAnsi="Arial" w:cs="Arial"/>
          <w:sz w:val="20"/>
        </w:rPr>
        <w:t xml:space="preserve">, and that other scheme contains a provision that has a similar effect to this </w:t>
      </w:r>
      <w:r w:rsidRPr="00F97360">
        <w:rPr>
          <w:rFonts w:ascii="Arial" w:hAnsi="Arial" w:cs="Arial"/>
          <w:sz w:val="20"/>
        </w:rPr>
        <w:fldChar w:fldCharType="begin"/>
      </w:r>
      <w:r w:rsidRPr="00F97360">
        <w:rPr>
          <w:rFonts w:ascii="Arial" w:hAnsi="Arial" w:cs="Arial"/>
          <w:sz w:val="20"/>
        </w:rPr>
        <w:instrText>PAGEREF a391918\# "'rule '"  \h</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 xml:space="preserve">rule </w:t>
      </w:r>
      <w:r w:rsidRPr="00F97360">
        <w:rPr>
          <w:rFonts w:ascii="Arial" w:hAnsi="Arial" w:cs="Arial"/>
          <w:sz w:val="20"/>
        </w:rPr>
        <w:fldChar w:fldCharType="end"/>
      </w:r>
      <w:r w:rsidRPr="00F97360">
        <w:rPr>
          <w:rFonts w:ascii="Arial" w:hAnsi="Arial" w:cs="Arial"/>
          <w:sz w:val="20"/>
        </w:rPr>
        <w:fldChar w:fldCharType="begin"/>
      </w:r>
      <w:r w:rsidRPr="00F97360">
        <w:rPr>
          <w:rFonts w:ascii="Arial" w:hAnsi="Arial" w:cs="Arial"/>
          <w:sz w:val="20"/>
          <w:highlight w:val="lightGray"/>
        </w:rPr>
        <w:instrText>REF a391918 \h \w</w:instrText>
      </w:r>
      <w:r w:rsidR="0037270F"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highlight w:val="lightGray"/>
        </w:rPr>
        <w:t>12</w:t>
      </w:r>
      <w:r w:rsidRPr="00F97360">
        <w:rPr>
          <w:rFonts w:ascii="Arial" w:hAnsi="Arial" w:cs="Arial"/>
          <w:sz w:val="20"/>
        </w:rPr>
        <w:fldChar w:fldCharType="end"/>
      </w:r>
      <w:r w:rsidRPr="00F97360">
        <w:rPr>
          <w:rFonts w:ascii="Arial" w:hAnsi="Arial" w:cs="Arial"/>
          <w:sz w:val="20"/>
        </w:rPr>
        <w:t xml:space="preserve">, the </w:t>
      </w:r>
      <w:r w:rsidR="00623047" w:rsidRPr="00F97360">
        <w:rPr>
          <w:rFonts w:ascii="Arial" w:hAnsi="Arial" w:cs="Arial"/>
          <w:sz w:val="20"/>
        </w:rPr>
        <w:t>Remuneration Committee</w:t>
      </w:r>
      <w:r w:rsidRPr="00F97360">
        <w:rPr>
          <w:rFonts w:ascii="Arial" w:hAnsi="Arial" w:cs="Arial"/>
          <w:sz w:val="20"/>
        </w:rPr>
        <w:t xml:space="preserve"> may give effect to that provision in any of the following ways:</w:t>
      </w:r>
      <w:bookmarkEnd w:id="237"/>
    </w:p>
    <w:p w14:paraId="56712E78" w14:textId="752D40DD" w:rsidR="007B4FB5" w:rsidRPr="00F97360" w:rsidRDefault="00D8597D" w:rsidP="00F97360">
      <w:pPr>
        <w:pStyle w:val="Untitledsubclause2"/>
        <w:tabs>
          <w:tab w:val="clear" w:pos="1554"/>
          <w:tab w:val="num" w:pos="1985"/>
        </w:tabs>
        <w:ind w:left="1985"/>
        <w:rPr>
          <w:rFonts w:ascii="Arial" w:hAnsi="Arial" w:cs="Arial"/>
          <w:sz w:val="20"/>
        </w:rPr>
      </w:pPr>
      <w:bookmarkStart w:id="238" w:name="a932620"/>
      <w:r w:rsidRPr="00F97360">
        <w:rPr>
          <w:rFonts w:ascii="Arial" w:hAnsi="Arial" w:cs="Arial"/>
          <w:sz w:val="20"/>
        </w:rPr>
        <w:t>by reducing or cancelling any Options that the Award Holder has not exercised</w:t>
      </w:r>
      <w:r w:rsidR="002E1E2A" w:rsidRPr="00F97360">
        <w:rPr>
          <w:rFonts w:ascii="Arial" w:hAnsi="Arial" w:cs="Arial"/>
          <w:sz w:val="20"/>
        </w:rPr>
        <w:t>;</w:t>
      </w:r>
      <w:bookmarkEnd w:id="238"/>
      <w:r w:rsidR="002E1E2A" w:rsidRPr="00F97360">
        <w:rPr>
          <w:rFonts w:ascii="Arial" w:hAnsi="Arial" w:cs="Arial"/>
          <w:sz w:val="20"/>
        </w:rPr>
        <w:t xml:space="preserve"> or</w:t>
      </w:r>
    </w:p>
    <w:p w14:paraId="56712E79" w14:textId="51C91D0D" w:rsidR="007B4FB5" w:rsidRPr="00F97360" w:rsidRDefault="00D8597D" w:rsidP="00F97360">
      <w:pPr>
        <w:pStyle w:val="Untitledsubclause2"/>
        <w:tabs>
          <w:tab w:val="clear" w:pos="1554"/>
          <w:tab w:val="num" w:pos="1985"/>
        </w:tabs>
        <w:ind w:left="1985"/>
        <w:rPr>
          <w:rFonts w:ascii="Arial" w:hAnsi="Arial" w:cs="Arial"/>
          <w:sz w:val="20"/>
        </w:rPr>
      </w:pPr>
      <w:bookmarkStart w:id="239" w:name="a182336"/>
      <w:r w:rsidRPr="00F97360">
        <w:rPr>
          <w:rFonts w:ascii="Arial" w:hAnsi="Arial" w:cs="Arial"/>
          <w:sz w:val="20"/>
        </w:rPr>
        <w:t xml:space="preserve">by reducing or cancelling any Non-Option Awards that have not yet </w:t>
      </w:r>
      <w:r w:rsidR="00D44FC6" w:rsidRPr="00F97360">
        <w:rPr>
          <w:rFonts w:ascii="Arial" w:hAnsi="Arial" w:cs="Arial"/>
          <w:sz w:val="20"/>
        </w:rPr>
        <w:t>Vested</w:t>
      </w:r>
      <w:r w:rsidRPr="00F97360">
        <w:rPr>
          <w:rFonts w:ascii="Arial" w:hAnsi="Arial" w:cs="Arial"/>
          <w:sz w:val="20"/>
        </w:rPr>
        <w:t>.</w:t>
      </w:r>
      <w:bookmarkEnd w:id="239"/>
    </w:p>
    <w:bookmarkEnd w:id="184"/>
    <w:p w14:paraId="56712E7A" w14:textId="77777777" w:rsidR="007B4FB5" w:rsidRPr="00F97360" w:rsidRDefault="00D8597D" w:rsidP="007B4FB5">
      <w:pPr>
        <w:pStyle w:val="TitleClause"/>
        <w:rPr>
          <w:rFonts w:ascii="Arial" w:hAnsi="Arial" w:cs="Arial"/>
          <w:sz w:val="20"/>
        </w:rPr>
      </w:pPr>
      <w:r w:rsidRPr="00F97360">
        <w:rPr>
          <w:rFonts w:ascii="Arial" w:hAnsi="Arial" w:cs="Arial"/>
          <w:sz w:val="20"/>
        </w:rPr>
        <w:lastRenderedPageBreak/>
        <w:fldChar w:fldCharType="begin"/>
      </w:r>
      <w:r w:rsidRPr="00F97360">
        <w:rPr>
          <w:rFonts w:ascii="Arial" w:hAnsi="Arial" w:cs="Arial"/>
          <w:sz w:val="20"/>
        </w:rPr>
        <w:instrText>TC "12. Exercise of Options" \l 1</w:instrText>
      </w:r>
      <w:r w:rsidRPr="00F97360">
        <w:rPr>
          <w:rFonts w:ascii="Arial" w:hAnsi="Arial" w:cs="Arial"/>
          <w:sz w:val="20"/>
        </w:rPr>
        <w:fldChar w:fldCharType="end"/>
      </w:r>
      <w:bookmarkStart w:id="240" w:name="a995024"/>
      <w:bookmarkStart w:id="241" w:name="_Toc105671025"/>
      <w:bookmarkStart w:id="242" w:name="_Toc103273399"/>
      <w:bookmarkStart w:id="243" w:name="_Toc145339782"/>
      <w:bookmarkStart w:id="244" w:name="_Toc131682132"/>
      <w:bookmarkStart w:id="245" w:name="_Toc161658066"/>
      <w:r w:rsidRPr="00F97360">
        <w:rPr>
          <w:rFonts w:ascii="Arial" w:hAnsi="Arial" w:cs="Arial"/>
          <w:sz w:val="20"/>
        </w:rPr>
        <w:t>Exercise of Options</w:t>
      </w:r>
      <w:bookmarkEnd w:id="240"/>
      <w:bookmarkEnd w:id="241"/>
      <w:bookmarkEnd w:id="242"/>
      <w:bookmarkEnd w:id="243"/>
      <w:bookmarkEnd w:id="244"/>
      <w:bookmarkEnd w:id="245"/>
    </w:p>
    <w:p w14:paraId="56712E7B" w14:textId="59DEB8DC" w:rsidR="007B4FB5" w:rsidRPr="00F97360" w:rsidRDefault="00D8597D" w:rsidP="00FF728F">
      <w:pPr>
        <w:pStyle w:val="Untitledsubclause1"/>
        <w:rPr>
          <w:rFonts w:ascii="Arial" w:hAnsi="Arial" w:cs="Arial"/>
          <w:sz w:val="20"/>
        </w:rPr>
      </w:pPr>
      <w:bookmarkStart w:id="246" w:name="a689311"/>
      <w:r w:rsidRPr="00F97360">
        <w:rPr>
          <w:rFonts w:ascii="Arial" w:hAnsi="Arial" w:cs="Arial"/>
          <w:sz w:val="20"/>
        </w:rPr>
        <w:t xml:space="preserve">An Award Holder may </w:t>
      </w:r>
      <w:r w:rsidR="0059243D" w:rsidRPr="00F97360">
        <w:rPr>
          <w:rFonts w:ascii="Arial" w:hAnsi="Arial" w:cs="Arial"/>
          <w:sz w:val="20"/>
        </w:rPr>
        <w:t xml:space="preserve">(and may only) </w:t>
      </w:r>
      <w:r w:rsidRPr="00F97360">
        <w:rPr>
          <w:rFonts w:ascii="Arial" w:hAnsi="Arial" w:cs="Arial"/>
          <w:sz w:val="20"/>
        </w:rPr>
        <w:t xml:space="preserve">exercise an Option </w:t>
      </w:r>
      <w:r w:rsidR="001660A3" w:rsidRPr="00F97360">
        <w:rPr>
          <w:rFonts w:ascii="Arial" w:hAnsi="Arial" w:cs="Arial"/>
          <w:sz w:val="20"/>
        </w:rPr>
        <w:t>in the period beginning with the</w:t>
      </w:r>
      <w:bookmarkStart w:id="247" w:name="a834127"/>
      <w:bookmarkEnd w:id="246"/>
      <w:r w:rsidRPr="00F97360">
        <w:rPr>
          <w:rFonts w:ascii="Arial" w:hAnsi="Arial" w:cs="Arial"/>
          <w:sz w:val="20"/>
        </w:rPr>
        <w:t xml:space="preserve"> </w:t>
      </w:r>
      <w:r w:rsidR="00D44FC6" w:rsidRPr="00F97360">
        <w:rPr>
          <w:rFonts w:ascii="Arial" w:hAnsi="Arial" w:cs="Arial"/>
          <w:sz w:val="20"/>
        </w:rPr>
        <w:t>Vesting Date</w:t>
      </w:r>
      <w:bookmarkEnd w:id="247"/>
      <w:r w:rsidR="001660A3" w:rsidRPr="00F97360">
        <w:rPr>
          <w:rFonts w:ascii="Arial" w:hAnsi="Arial" w:cs="Arial"/>
          <w:sz w:val="20"/>
        </w:rPr>
        <w:t xml:space="preserve"> and ending on the date the Option lapses in accordance with these rules.</w:t>
      </w:r>
    </w:p>
    <w:p w14:paraId="56712E7C" w14:textId="20FFB07D" w:rsidR="007B4FB5" w:rsidRPr="00F97360" w:rsidRDefault="00D8597D" w:rsidP="007B4FB5">
      <w:pPr>
        <w:pStyle w:val="Untitledsubclause1"/>
        <w:rPr>
          <w:rFonts w:ascii="Arial" w:hAnsi="Arial" w:cs="Arial"/>
          <w:sz w:val="20"/>
        </w:rPr>
      </w:pPr>
      <w:bookmarkStart w:id="248" w:name="a994347"/>
      <w:r w:rsidRPr="00F97360">
        <w:rPr>
          <w:rFonts w:ascii="Arial" w:hAnsi="Arial" w:cs="Arial"/>
          <w:sz w:val="20"/>
        </w:rPr>
        <w:t xml:space="preserve">An Award Holder may only exercise an Option to the extent that </w:t>
      </w:r>
      <w:r w:rsidR="00CC52F5" w:rsidRPr="00F97360">
        <w:rPr>
          <w:rFonts w:ascii="Arial" w:hAnsi="Arial" w:cs="Arial"/>
          <w:sz w:val="20"/>
        </w:rPr>
        <w:t xml:space="preserve">it has </w:t>
      </w:r>
      <w:proofErr w:type="gramStart"/>
      <w:r w:rsidR="00D44FC6" w:rsidRPr="00F97360">
        <w:rPr>
          <w:rFonts w:ascii="Arial" w:hAnsi="Arial" w:cs="Arial"/>
          <w:sz w:val="20"/>
        </w:rPr>
        <w:t>Vested</w:t>
      </w:r>
      <w:proofErr w:type="gramEnd"/>
      <w:r w:rsidRPr="00F97360">
        <w:rPr>
          <w:rFonts w:ascii="Arial" w:hAnsi="Arial" w:cs="Arial"/>
          <w:sz w:val="20"/>
        </w:rPr>
        <w:t xml:space="preserve"> and any other condition stated in the </w:t>
      </w:r>
      <w:r w:rsidR="00CE51D0" w:rsidRPr="00F97360">
        <w:rPr>
          <w:rFonts w:ascii="Arial" w:hAnsi="Arial" w:cs="Arial"/>
          <w:sz w:val="20"/>
        </w:rPr>
        <w:t>Award Certificate</w:t>
      </w:r>
      <w:r w:rsidRPr="00F97360">
        <w:rPr>
          <w:rFonts w:ascii="Arial" w:hAnsi="Arial" w:cs="Arial"/>
          <w:sz w:val="20"/>
        </w:rPr>
        <w:t xml:space="preserve"> is satisfied.</w:t>
      </w:r>
      <w:bookmarkEnd w:id="248"/>
    </w:p>
    <w:p w14:paraId="56712E7D" w14:textId="1CE8DD15" w:rsidR="007B4FB5" w:rsidRPr="00F97360" w:rsidRDefault="00D8597D" w:rsidP="007B4FB5">
      <w:pPr>
        <w:pStyle w:val="Untitledsubclause1"/>
        <w:rPr>
          <w:rFonts w:ascii="Arial" w:hAnsi="Arial" w:cs="Arial"/>
          <w:sz w:val="20"/>
        </w:rPr>
      </w:pPr>
      <w:bookmarkStart w:id="249" w:name="a631132"/>
      <w:r w:rsidRPr="00F97360">
        <w:rPr>
          <w:rFonts w:ascii="Arial" w:hAnsi="Arial" w:cs="Arial"/>
          <w:sz w:val="20"/>
        </w:rPr>
        <w:t>An Award Holder may not exercise an Option at a time when its exercise is prohibited by, or would be a breach of,</w:t>
      </w:r>
      <w:r w:rsidR="00677BF7" w:rsidRPr="00F97360">
        <w:rPr>
          <w:rFonts w:ascii="Arial" w:hAnsi="Arial" w:cs="Arial"/>
          <w:sz w:val="20"/>
        </w:rPr>
        <w:t xml:space="preserve"> any Dealing Restrictions</w:t>
      </w:r>
      <w:r w:rsidRPr="00F97360">
        <w:rPr>
          <w:rFonts w:ascii="Arial" w:hAnsi="Arial" w:cs="Arial"/>
          <w:sz w:val="20"/>
        </w:rPr>
        <w:t>.</w:t>
      </w:r>
      <w:bookmarkEnd w:id="249"/>
    </w:p>
    <w:p w14:paraId="56712E7E" w14:textId="5F661A19" w:rsidR="007B4FB5" w:rsidRPr="00F97360" w:rsidRDefault="00D8597D" w:rsidP="007B4FB5">
      <w:pPr>
        <w:pStyle w:val="Untitledsubclause1"/>
        <w:rPr>
          <w:rFonts w:ascii="Arial" w:hAnsi="Arial" w:cs="Arial"/>
          <w:sz w:val="20"/>
        </w:rPr>
      </w:pPr>
      <w:bookmarkStart w:id="250" w:name="a517851"/>
      <w:r w:rsidRPr="00F97360">
        <w:rPr>
          <w:rFonts w:ascii="Arial" w:hAnsi="Arial" w:cs="Arial"/>
          <w:sz w:val="20"/>
        </w:rPr>
        <w:t xml:space="preserve">An Award Holder may not exercise an Option without having signed the Exercise Notice and made any arrangements, or entered into any agreements, that may be required </w:t>
      </w:r>
      <w:r w:rsidR="00FF1B96" w:rsidRPr="00F97360">
        <w:rPr>
          <w:rFonts w:ascii="Arial" w:hAnsi="Arial" w:cs="Arial"/>
          <w:sz w:val="20"/>
        </w:rPr>
        <w:t>pursuant to</w:t>
      </w:r>
      <w:r w:rsidRPr="00F97360">
        <w:rPr>
          <w:rFonts w:ascii="Arial" w:hAnsi="Arial" w:cs="Arial"/>
          <w:sz w:val="20"/>
        </w:rPr>
        <w:t xml:space="preserve"> </w:t>
      </w:r>
      <w:r w:rsidRPr="00F97360">
        <w:rPr>
          <w:rFonts w:ascii="Arial" w:hAnsi="Arial" w:cs="Arial"/>
          <w:sz w:val="20"/>
        </w:rPr>
        <w:fldChar w:fldCharType="begin"/>
      </w:r>
      <w:r w:rsidRPr="00F97360">
        <w:rPr>
          <w:rFonts w:ascii="Arial" w:hAnsi="Arial" w:cs="Arial"/>
          <w:sz w:val="20"/>
        </w:rPr>
        <w:instrText>PAGEREF a391918\# "'rule '"  \h</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 xml:space="preserve">rule </w:t>
      </w:r>
      <w:r w:rsidRPr="00F97360">
        <w:rPr>
          <w:rFonts w:ascii="Arial" w:hAnsi="Arial" w:cs="Arial"/>
          <w:sz w:val="20"/>
        </w:rPr>
        <w:fldChar w:fldCharType="end"/>
      </w:r>
      <w:r w:rsidRPr="00F97360">
        <w:rPr>
          <w:rFonts w:ascii="Arial" w:hAnsi="Arial" w:cs="Arial"/>
          <w:sz w:val="20"/>
        </w:rPr>
        <w:fldChar w:fldCharType="begin"/>
      </w:r>
      <w:r w:rsidRPr="00F97360">
        <w:rPr>
          <w:rFonts w:ascii="Arial" w:hAnsi="Arial" w:cs="Arial"/>
          <w:sz w:val="20"/>
          <w:highlight w:val="lightGray"/>
        </w:rPr>
        <w:instrText>REF a391918 \h \w</w:instrText>
      </w:r>
      <w:r w:rsidR="0037270F"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highlight w:val="lightGray"/>
        </w:rPr>
        <w:t>12</w:t>
      </w:r>
      <w:r w:rsidRPr="00F97360">
        <w:rPr>
          <w:rFonts w:ascii="Arial" w:hAnsi="Arial" w:cs="Arial"/>
          <w:sz w:val="20"/>
        </w:rPr>
        <w:fldChar w:fldCharType="end"/>
      </w:r>
      <w:r w:rsidRPr="00F97360">
        <w:rPr>
          <w:rFonts w:ascii="Arial" w:hAnsi="Arial" w:cs="Arial"/>
          <w:sz w:val="20"/>
        </w:rPr>
        <w:t xml:space="preserve"> and </w:t>
      </w:r>
      <w:r w:rsidRPr="00F97360">
        <w:rPr>
          <w:rFonts w:ascii="Arial" w:hAnsi="Arial" w:cs="Arial"/>
          <w:sz w:val="20"/>
        </w:rPr>
        <w:fldChar w:fldCharType="begin"/>
      </w:r>
      <w:r w:rsidRPr="00F97360">
        <w:rPr>
          <w:rFonts w:ascii="Arial" w:hAnsi="Arial" w:cs="Arial"/>
          <w:sz w:val="20"/>
        </w:rPr>
        <w:instrText>PAGEREF a353805\# "'rule '"  \h</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 xml:space="preserve">rule </w:t>
      </w:r>
      <w:r w:rsidRPr="00F97360">
        <w:rPr>
          <w:rFonts w:ascii="Arial" w:hAnsi="Arial" w:cs="Arial"/>
          <w:sz w:val="20"/>
        </w:rPr>
        <w:fldChar w:fldCharType="end"/>
      </w:r>
      <w:r w:rsidRPr="00F97360">
        <w:rPr>
          <w:rFonts w:ascii="Arial" w:hAnsi="Arial" w:cs="Arial"/>
          <w:sz w:val="20"/>
        </w:rPr>
        <w:fldChar w:fldCharType="begin"/>
      </w:r>
      <w:r w:rsidRPr="00F97360">
        <w:rPr>
          <w:rFonts w:ascii="Arial" w:hAnsi="Arial" w:cs="Arial"/>
          <w:sz w:val="20"/>
          <w:highlight w:val="lightGray"/>
        </w:rPr>
        <w:instrText>REF a353805 \h \w</w:instrText>
      </w:r>
      <w:r w:rsidR="0037270F"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highlight w:val="lightGray"/>
        </w:rPr>
        <w:t>23</w:t>
      </w:r>
      <w:r w:rsidRPr="00F97360">
        <w:rPr>
          <w:rFonts w:ascii="Arial" w:hAnsi="Arial" w:cs="Arial"/>
          <w:sz w:val="20"/>
        </w:rPr>
        <w:fldChar w:fldCharType="end"/>
      </w:r>
      <w:r w:rsidRPr="00F97360">
        <w:rPr>
          <w:rFonts w:ascii="Arial" w:hAnsi="Arial" w:cs="Arial"/>
          <w:sz w:val="20"/>
        </w:rPr>
        <w:t>.</w:t>
      </w:r>
      <w:bookmarkEnd w:id="250"/>
    </w:p>
    <w:p w14:paraId="56712E7F" w14:textId="075D41B0" w:rsidR="007B4FB5" w:rsidRPr="00F97360" w:rsidRDefault="00D8597D" w:rsidP="007B4FB5">
      <w:pPr>
        <w:pStyle w:val="TitleClause"/>
        <w:rPr>
          <w:rFonts w:ascii="Arial" w:hAnsi="Arial" w:cs="Arial"/>
          <w:sz w:val="20"/>
        </w:rPr>
      </w:pPr>
      <w:r w:rsidRPr="00F97360">
        <w:rPr>
          <w:rFonts w:ascii="Arial" w:hAnsi="Arial" w:cs="Arial"/>
          <w:sz w:val="20"/>
        </w:rPr>
        <w:fldChar w:fldCharType="begin"/>
      </w:r>
      <w:r w:rsidRPr="00F97360">
        <w:rPr>
          <w:rFonts w:ascii="Arial" w:hAnsi="Arial" w:cs="Arial"/>
          <w:sz w:val="20"/>
        </w:rPr>
        <w:instrText>TC "13. Manner of exercise of Options" \l 1</w:instrText>
      </w:r>
      <w:r w:rsidRPr="00F97360">
        <w:rPr>
          <w:rFonts w:ascii="Arial" w:hAnsi="Arial" w:cs="Arial"/>
          <w:sz w:val="20"/>
        </w:rPr>
        <w:fldChar w:fldCharType="end"/>
      </w:r>
      <w:bookmarkStart w:id="251" w:name="a347509"/>
      <w:bookmarkStart w:id="252" w:name="_Toc105671026"/>
      <w:bookmarkStart w:id="253" w:name="_Toc103273400"/>
      <w:bookmarkStart w:id="254" w:name="_Toc145339783"/>
      <w:bookmarkStart w:id="255" w:name="_Toc131682133"/>
      <w:bookmarkStart w:id="256" w:name="_Toc161658067"/>
      <w:r w:rsidRPr="00F97360">
        <w:rPr>
          <w:rFonts w:ascii="Arial" w:hAnsi="Arial" w:cs="Arial"/>
          <w:sz w:val="20"/>
        </w:rPr>
        <w:t>Manner of exercise of Options</w:t>
      </w:r>
      <w:bookmarkEnd w:id="251"/>
      <w:bookmarkEnd w:id="252"/>
      <w:bookmarkEnd w:id="253"/>
      <w:bookmarkEnd w:id="254"/>
      <w:bookmarkEnd w:id="255"/>
      <w:bookmarkEnd w:id="256"/>
    </w:p>
    <w:p w14:paraId="56712E80" w14:textId="56DFBA5B" w:rsidR="007B4FB5" w:rsidRPr="00F97360" w:rsidRDefault="00D8597D" w:rsidP="00C30611">
      <w:pPr>
        <w:pStyle w:val="Untitledsubclause1"/>
        <w:rPr>
          <w:rFonts w:ascii="Arial" w:hAnsi="Arial" w:cs="Arial"/>
          <w:sz w:val="20"/>
        </w:rPr>
      </w:pPr>
      <w:r w:rsidRPr="00F97360">
        <w:rPr>
          <w:rFonts w:ascii="Arial" w:eastAsia="Times New Roman" w:hAnsi="Arial" w:cs="Arial"/>
          <w:sz w:val="20"/>
          <w:lang w:eastAsia="x-none"/>
        </w:rPr>
        <w:t xml:space="preserve">An </w:t>
      </w:r>
      <w:r w:rsidRPr="00F97360">
        <w:rPr>
          <w:rFonts w:ascii="Arial" w:hAnsi="Arial" w:cs="Arial"/>
          <w:sz w:val="20"/>
        </w:rPr>
        <w:t>Option</w:t>
      </w:r>
      <w:r w:rsidRPr="00F97360">
        <w:rPr>
          <w:rFonts w:ascii="Arial" w:eastAsia="Times New Roman" w:hAnsi="Arial" w:cs="Arial"/>
          <w:sz w:val="20"/>
          <w:lang w:eastAsia="x-none"/>
        </w:rPr>
        <w:t xml:space="preserve"> may only be exercised over the entire number of Shares in respect of which it has </w:t>
      </w:r>
      <w:proofErr w:type="gramStart"/>
      <w:r w:rsidR="00D44FC6" w:rsidRPr="00F97360">
        <w:rPr>
          <w:rFonts w:ascii="Arial" w:eastAsia="Times New Roman" w:hAnsi="Arial" w:cs="Arial"/>
          <w:sz w:val="20"/>
          <w:lang w:eastAsia="x-none"/>
        </w:rPr>
        <w:t>Vested</w:t>
      </w:r>
      <w:proofErr w:type="gramEnd"/>
      <w:r w:rsidR="009F396D" w:rsidRPr="00F97360">
        <w:rPr>
          <w:rFonts w:ascii="Arial" w:eastAsia="Times New Roman" w:hAnsi="Arial" w:cs="Arial"/>
          <w:sz w:val="20"/>
          <w:lang w:eastAsia="x-none"/>
        </w:rPr>
        <w:t xml:space="preserve"> or such other number as </w:t>
      </w:r>
      <w:r w:rsidR="00DC5249" w:rsidRPr="00F97360">
        <w:rPr>
          <w:rFonts w:ascii="Arial" w:eastAsia="Times New Roman" w:hAnsi="Arial" w:cs="Arial"/>
          <w:sz w:val="20"/>
          <w:lang w:eastAsia="x-none"/>
        </w:rPr>
        <w:t xml:space="preserve">agreed with the </w:t>
      </w:r>
      <w:r w:rsidR="00623047" w:rsidRPr="00F97360">
        <w:rPr>
          <w:rFonts w:ascii="Arial" w:eastAsia="Times New Roman" w:hAnsi="Arial" w:cs="Arial"/>
          <w:sz w:val="20"/>
          <w:lang w:eastAsia="x-none"/>
        </w:rPr>
        <w:t>Remuneration Committee</w:t>
      </w:r>
      <w:r w:rsidR="00DC5249" w:rsidRPr="00F97360">
        <w:rPr>
          <w:rFonts w:ascii="Arial" w:eastAsia="Times New Roman" w:hAnsi="Arial" w:cs="Arial"/>
          <w:sz w:val="20"/>
          <w:lang w:eastAsia="x-none"/>
        </w:rPr>
        <w:t>.</w:t>
      </w:r>
    </w:p>
    <w:p w14:paraId="56712E81" w14:textId="5FFD1963" w:rsidR="007B4FB5" w:rsidRPr="00F97360" w:rsidRDefault="00D8597D" w:rsidP="007B4FB5">
      <w:pPr>
        <w:pStyle w:val="Untitledsubclause1"/>
        <w:rPr>
          <w:rFonts w:ascii="Arial" w:hAnsi="Arial" w:cs="Arial"/>
          <w:sz w:val="20"/>
        </w:rPr>
      </w:pPr>
      <w:bookmarkStart w:id="257" w:name="a806806"/>
      <w:r w:rsidRPr="00F97360">
        <w:rPr>
          <w:rFonts w:ascii="Arial" w:hAnsi="Arial" w:cs="Arial"/>
          <w:sz w:val="20"/>
        </w:rPr>
        <w:t xml:space="preserve">The Award Holder shall exercise an Option </w:t>
      </w:r>
      <w:r w:rsidR="00A825BF" w:rsidRPr="00F97360">
        <w:rPr>
          <w:rFonts w:ascii="Arial" w:hAnsi="Arial" w:cs="Arial"/>
          <w:sz w:val="20"/>
        </w:rPr>
        <w:t>(in whole or</w:t>
      </w:r>
      <w:r w:rsidR="00F73468" w:rsidRPr="00F97360">
        <w:rPr>
          <w:rFonts w:ascii="Arial" w:hAnsi="Arial" w:cs="Arial"/>
          <w:sz w:val="20"/>
        </w:rPr>
        <w:t>, where permitted,</w:t>
      </w:r>
      <w:r w:rsidR="00A825BF" w:rsidRPr="00F97360">
        <w:rPr>
          <w:rFonts w:ascii="Arial" w:hAnsi="Arial" w:cs="Arial"/>
          <w:sz w:val="20"/>
        </w:rPr>
        <w:t xml:space="preserve"> in part) </w:t>
      </w:r>
      <w:r w:rsidRPr="00F97360">
        <w:rPr>
          <w:rFonts w:ascii="Arial" w:hAnsi="Arial" w:cs="Arial"/>
          <w:sz w:val="20"/>
        </w:rPr>
        <w:t>by giving an Exercise Notice to the Company setting out the number of Shares over which the Award Holder wishes to exercise the Option. If that number exceeds the number over which the Option may be validly exercised at the time, the Company shall:</w:t>
      </w:r>
      <w:bookmarkEnd w:id="257"/>
    </w:p>
    <w:p w14:paraId="56712E82" w14:textId="77777777" w:rsidR="007B4FB5" w:rsidRPr="00F97360" w:rsidRDefault="00D8597D" w:rsidP="00F97360">
      <w:pPr>
        <w:pStyle w:val="Untitledsubclause2"/>
        <w:tabs>
          <w:tab w:val="clear" w:pos="1554"/>
          <w:tab w:val="num" w:pos="1985"/>
        </w:tabs>
        <w:ind w:left="1985"/>
        <w:rPr>
          <w:rFonts w:ascii="Arial" w:hAnsi="Arial" w:cs="Arial"/>
          <w:sz w:val="20"/>
        </w:rPr>
      </w:pPr>
      <w:bookmarkStart w:id="258" w:name="a735999"/>
      <w:r w:rsidRPr="00F97360">
        <w:rPr>
          <w:rFonts w:ascii="Arial" w:hAnsi="Arial" w:cs="Arial"/>
          <w:sz w:val="20"/>
        </w:rPr>
        <w:t xml:space="preserve">treat the Option </w:t>
      </w:r>
      <w:proofErr w:type="spellStart"/>
      <w:r w:rsidRPr="00F97360">
        <w:rPr>
          <w:rFonts w:ascii="Arial" w:hAnsi="Arial" w:cs="Arial"/>
          <w:sz w:val="20"/>
        </w:rPr>
        <w:t>as</w:t>
      </w:r>
      <w:proofErr w:type="spellEnd"/>
      <w:r w:rsidRPr="00F97360">
        <w:rPr>
          <w:rFonts w:ascii="Arial" w:hAnsi="Arial" w:cs="Arial"/>
          <w:sz w:val="20"/>
        </w:rPr>
        <w:t xml:space="preserve"> exercised only in respect of that lesser number; and</w:t>
      </w:r>
      <w:bookmarkEnd w:id="258"/>
    </w:p>
    <w:p w14:paraId="56712E83" w14:textId="34304F09" w:rsidR="007B4FB5" w:rsidRPr="00F97360" w:rsidRDefault="00D8597D" w:rsidP="00F97360">
      <w:pPr>
        <w:pStyle w:val="Untitledsubclause2"/>
        <w:tabs>
          <w:tab w:val="clear" w:pos="1554"/>
          <w:tab w:val="num" w:pos="1985"/>
        </w:tabs>
        <w:ind w:left="1985"/>
        <w:rPr>
          <w:rFonts w:ascii="Arial" w:hAnsi="Arial" w:cs="Arial"/>
          <w:sz w:val="20"/>
        </w:rPr>
      </w:pPr>
      <w:bookmarkStart w:id="259" w:name="a533368"/>
      <w:r w:rsidRPr="00F97360">
        <w:rPr>
          <w:rFonts w:ascii="Arial" w:hAnsi="Arial" w:cs="Arial"/>
          <w:sz w:val="20"/>
        </w:rPr>
        <w:t xml:space="preserve">refund any excess amount paid </w:t>
      </w:r>
      <w:r w:rsidR="00C76F44" w:rsidRPr="00F97360">
        <w:rPr>
          <w:rFonts w:ascii="Arial" w:hAnsi="Arial" w:cs="Arial"/>
          <w:sz w:val="20"/>
        </w:rPr>
        <w:t xml:space="preserve">by the Award Holder </w:t>
      </w:r>
      <w:r w:rsidR="004E7471" w:rsidRPr="00F97360">
        <w:rPr>
          <w:rFonts w:ascii="Arial" w:hAnsi="Arial" w:cs="Arial"/>
          <w:sz w:val="20"/>
        </w:rPr>
        <w:t xml:space="preserve">to </w:t>
      </w:r>
      <w:r w:rsidR="00005A8D" w:rsidRPr="00F97360">
        <w:rPr>
          <w:rFonts w:ascii="Arial" w:hAnsi="Arial" w:cs="Arial"/>
          <w:sz w:val="20"/>
        </w:rPr>
        <w:t xml:space="preserve">be applied towards meeting </w:t>
      </w:r>
      <w:r w:rsidR="00C76F44" w:rsidRPr="00F97360">
        <w:rPr>
          <w:rFonts w:ascii="Arial" w:hAnsi="Arial" w:cs="Arial"/>
          <w:sz w:val="20"/>
        </w:rPr>
        <w:t xml:space="preserve">any </w:t>
      </w:r>
      <w:r w:rsidRPr="00F97360">
        <w:rPr>
          <w:rFonts w:ascii="Arial" w:hAnsi="Arial" w:cs="Arial"/>
          <w:sz w:val="20"/>
        </w:rPr>
        <w:t>Tax Liability.</w:t>
      </w:r>
      <w:bookmarkEnd w:id="259"/>
    </w:p>
    <w:p w14:paraId="56712E84" w14:textId="391F9F38" w:rsidR="007B4FB5" w:rsidRPr="00F97360" w:rsidRDefault="00D8597D" w:rsidP="00F95028">
      <w:pPr>
        <w:pStyle w:val="Untitledsubclause1"/>
        <w:numPr>
          <w:ilvl w:val="1"/>
          <w:numId w:val="46"/>
        </w:numPr>
        <w:rPr>
          <w:rFonts w:ascii="Arial" w:hAnsi="Arial" w:cs="Arial"/>
          <w:sz w:val="20"/>
        </w:rPr>
      </w:pPr>
      <w:bookmarkStart w:id="260" w:name="a339239"/>
      <w:bookmarkStart w:id="261" w:name="_Ref103265813"/>
      <w:r w:rsidRPr="00F97360">
        <w:rPr>
          <w:rFonts w:ascii="Arial" w:hAnsi="Arial" w:cs="Arial"/>
          <w:sz w:val="20"/>
        </w:rPr>
        <w:t xml:space="preserve">The Exercise Notice shall be accompanied by </w:t>
      </w:r>
      <w:bookmarkStart w:id="262" w:name="a898823"/>
      <w:r w:rsidR="00F0604B" w:rsidRPr="00F97360">
        <w:rPr>
          <w:rFonts w:ascii="Arial" w:hAnsi="Arial" w:cs="Arial"/>
          <w:sz w:val="20"/>
        </w:rPr>
        <w:t xml:space="preserve">any payment required under </w:t>
      </w:r>
      <w:r w:rsidR="00F0604B" w:rsidRPr="00F97360">
        <w:rPr>
          <w:rFonts w:ascii="Arial" w:hAnsi="Arial" w:cs="Arial"/>
          <w:sz w:val="20"/>
        </w:rPr>
        <w:fldChar w:fldCharType="begin"/>
      </w:r>
      <w:r w:rsidR="00F0604B" w:rsidRPr="00F97360">
        <w:rPr>
          <w:rFonts w:ascii="Arial" w:hAnsi="Arial" w:cs="Arial"/>
          <w:sz w:val="20"/>
        </w:rPr>
        <w:instrText>PAGEREF a353805\# "'rule '"  \h</w:instrText>
      </w:r>
      <w:r w:rsidR="00F0604B" w:rsidRPr="00F97360">
        <w:rPr>
          <w:rFonts w:ascii="Arial" w:hAnsi="Arial" w:cs="Arial"/>
          <w:sz w:val="20"/>
        </w:rPr>
      </w:r>
      <w:r w:rsidR="00F0604B" w:rsidRPr="00F97360">
        <w:rPr>
          <w:rFonts w:ascii="Arial" w:hAnsi="Arial" w:cs="Arial"/>
          <w:sz w:val="20"/>
        </w:rPr>
        <w:fldChar w:fldCharType="separate"/>
      </w:r>
      <w:r w:rsidR="00710210" w:rsidRPr="00F97360">
        <w:rPr>
          <w:rFonts w:ascii="Arial" w:hAnsi="Arial" w:cs="Arial"/>
          <w:sz w:val="20"/>
        </w:rPr>
        <w:t xml:space="preserve">rule </w:t>
      </w:r>
      <w:r w:rsidR="00F0604B" w:rsidRPr="00F97360">
        <w:rPr>
          <w:rFonts w:ascii="Arial" w:hAnsi="Arial" w:cs="Arial"/>
          <w:sz w:val="20"/>
        </w:rPr>
        <w:fldChar w:fldCharType="end"/>
      </w:r>
      <w:r w:rsidR="00F0604B" w:rsidRPr="00F97360">
        <w:rPr>
          <w:rFonts w:ascii="Arial" w:hAnsi="Arial" w:cs="Arial"/>
          <w:sz w:val="20"/>
        </w:rPr>
        <w:fldChar w:fldCharType="begin"/>
      </w:r>
      <w:r w:rsidR="00F0604B" w:rsidRPr="00F97360">
        <w:rPr>
          <w:rFonts w:ascii="Arial" w:hAnsi="Arial" w:cs="Arial"/>
          <w:sz w:val="20"/>
          <w:highlight w:val="lightGray"/>
        </w:rPr>
        <w:instrText>REF a353805 \h \w</w:instrText>
      </w:r>
      <w:r w:rsidR="00F0604B" w:rsidRPr="00F97360">
        <w:rPr>
          <w:rFonts w:ascii="Arial" w:hAnsi="Arial" w:cs="Arial"/>
          <w:sz w:val="20"/>
        </w:rPr>
        <w:instrText xml:space="preserve"> \* MERGEFORMAT </w:instrText>
      </w:r>
      <w:r w:rsidR="00F0604B" w:rsidRPr="00F97360">
        <w:rPr>
          <w:rFonts w:ascii="Arial" w:hAnsi="Arial" w:cs="Arial"/>
          <w:sz w:val="20"/>
        </w:rPr>
      </w:r>
      <w:r w:rsidR="00F0604B" w:rsidRPr="00F97360">
        <w:rPr>
          <w:rFonts w:ascii="Arial" w:hAnsi="Arial" w:cs="Arial"/>
          <w:sz w:val="20"/>
        </w:rPr>
        <w:fldChar w:fldCharType="separate"/>
      </w:r>
      <w:r w:rsidR="00710210" w:rsidRPr="00F97360">
        <w:rPr>
          <w:rFonts w:ascii="Arial" w:hAnsi="Arial" w:cs="Arial"/>
          <w:sz w:val="20"/>
          <w:highlight w:val="lightGray"/>
        </w:rPr>
        <w:t>23</w:t>
      </w:r>
      <w:r w:rsidR="00F0604B" w:rsidRPr="00F97360">
        <w:rPr>
          <w:rFonts w:ascii="Arial" w:hAnsi="Arial" w:cs="Arial"/>
          <w:sz w:val="20"/>
        </w:rPr>
        <w:fldChar w:fldCharType="end"/>
      </w:r>
      <w:bookmarkEnd w:id="262"/>
      <w:r w:rsidR="00F0604B" w:rsidRPr="00F97360">
        <w:rPr>
          <w:rFonts w:ascii="Arial" w:hAnsi="Arial" w:cs="Arial"/>
          <w:sz w:val="20"/>
        </w:rPr>
        <w:t xml:space="preserve"> </w:t>
      </w:r>
      <w:r w:rsidRPr="00F97360">
        <w:rPr>
          <w:rFonts w:ascii="Arial" w:hAnsi="Arial" w:cs="Arial"/>
          <w:sz w:val="20"/>
        </w:rPr>
        <w:t>unless</w:t>
      </w:r>
      <w:bookmarkEnd w:id="260"/>
      <w:r w:rsidR="00D41A0F" w:rsidRPr="00F97360">
        <w:rPr>
          <w:rFonts w:ascii="Arial" w:hAnsi="Arial" w:cs="Arial"/>
          <w:sz w:val="20"/>
        </w:rPr>
        <w:t xml:space="preserve"> </w:t>
      </w:r>
      <w:r w:rsidRPr="00F97360">
        <w:rPr>
          <w:rFonts w:ascii="Arial" w:hAnsi="Arial" w:cs="Arial"/>
          <w:sz w:val="20"/>
        </w:rPr>
        <w:t xml:space="preserve">the Award Holder has entered into binding alternative arrangements to secure the payment of those amounts which are satisfactory to the </w:t>
      </w:r>
      <w:r w:rsidR="00623047" w:rsidRPr="00F97360">
        <w:rPr>
          <w:rFonts w:ascii="Arial" w:hAnsi="Arial" w:cs="Arial"/>
          <w:sz w:val="20"/>
        </w:rPr>
        <w:t>Remuneration Committee</w:t>
      </w:r>
      <w:r w:rsidRPr="00F97360">
        <w:rPr>
          <w:rFonts w:ascii="Arial" w:hAnsi="Arial" w:cs="Arial"/>
          <w:sz w:val="20"/>
        </w:rPr>
        <w:t>.</w:t>
      </w:r>
      <w:bookmarkEnd w:id="261"/>
    </w:p>
    <w:p w14:paraId="56712E85" w14:textId="77777777" w:rsidR="007B4FB5" w:rsidRPr="00F97360" w:rsidRDefault="00D8597D" w:rsidP="007B4FB5">
      <w:pPr>
        <w:pStyle w:val="Untitledsubclause1"/>
        <w:rPr>
          <w:rFonts w:ascii="Arial" w:hAnsi="Arial" w:cs="Arial"/>
          <w:sz w:val="20"/>
        </w:rPr>
      </w:pPr>
      <w:bookmarkStart w:id="263" w:name="a335920"/>
      <w:r w:rsidRPr="00F97360">
        <w:rPr>
          <w:rFonts w:ascii="Arial" w:hAnsi="Arial" w:cs="Arial"/>
          <w:sz w:val="20"/>
        </w:rPr>
        <w:t>The Exercise Notice shall contain or be accompanied by:</w:t>
      </w:r>
      <w:bookmarkEnd w:id="263"/>
    </w:p>
    <w:p w14:paraId="56712E86" w14:textId="45B5C6D8" w:rsidR="007B4FB5" w:rsidRPr="00F97360" w:rsidRDefault="00D8597D" w:rsidP="00F97360">
      <w:pPr>
        <w:pStyle w:val="Untitledsubclause2"/>
        <w:tabs>
          <w:tab w:val="clear" w:pos="1554"/>
          <w:tab w:val="num" w:pos="1985"/>
        </w:tabs>
        <w:ind w:left="1985"/>
        <w:rPr>
          <w:rFonts w:ascii="Arial" w:hAnsi="Arial" w:cs="Arial"/>
          <w:sz w:val="20"/>
        </w:rPr>
      </w:pPr>
      <w:bookmarkStart w:id="264" w:name="a648443"/>
      <w:r w:rsidRPr="00F97360">
        <w:rPr>
          <w:rFonts w:ascii="Arial" w:hAnsi="Arial" w:cs="Arial"/>
          <w:sz w:val="20"/>
        </w:rPr>
        <w:t xml:space="preserve">if the Option is exercised before the end of </w:t>
      </w:r>
      <w:r w:rsidR="007B39B1" w:rsidRPr="00F97360">
        <w:rPr>
          <w:rFonts w:ascii="Arial" w:hAnsi="Arial" w:cs="Arial"/>
          <w:sz w:val="20"/>
        </w:rPr>
        <w:t>a</w:t>
      </w:r>
      <w:r w:rsidRPr="00F97360">
        <w:rPr>
          <w:rFonts w:ascii="Arial" w:hAnsi="Arial" w:cs="Arial"/>
          <w:sz w:val="20"/>
        </w:rPr>
        <w:t xml:space="preserve"> Holding Period, the Nominee Agreement</w:t>
      </w:r>
      <w:r w:rsidR="00C64DE0" w:rsidRPr="00F97360">
        <w:rPr>
          <w:rFonts w:ascii="Arial" w:hAnsi="Arial" w:cs="Arial"/>
          <w:sz w:val="20"/>
        </w:rPr>
        <w:t xml:space="preserve"> (</w:t>
      </w:r>
      <w:r w:rsidR="006C71F5" w:rsidRPr="00F97360">
        <w:rPr>
          <w:rFonts w:ascii="Arial" w:hAnsi="Arial" w:cs="Arial"/>
          <w:sz w:val="20"/>
        </w:rPr>
        <w:t>if</w:t>
      </w:r>
      <w:r w:rsidR="00C64DE0" w:rsidRPr="00F97360">
        <w:rPr>
          <w:rFonts w:ascii="Arial" w:hAnsi="Arial" w:cs="Arial"/>
          <w:sz w:val="20"/>
        </w:rPr>
        <w:t xml:space="preserve"> the </w:t>
      </w:r>
      <w:r w:rsidR="00623047" w:rsidRPr="00F97360">
        <w:rPr>
          <w:rFonts w:ascii="Arial" w:hAnsi="Arial" w:cs="Arial"/>
          <w:sz w:val="20"/>
        </w:rPr>
        <w:t>Remuneration Committee</w:t>
      </w:r>
      <w:r w:rsidR="00C64DE0" w:rsidRPr="00F97360">
        <w:rPr>
          <w:rFonts w:ascii="Arial" w:hAnsi="Arial" w:cs="Arial"/>
          <w:sz w:val="20"/>
        </w:rPr>
        <w:t xml:space="preserve"> </w:t>
      </w:r>
      <w:r w:rsidR="006C71F5" w:rsidRPr="00F97360">
        <w:rPr>
          <w:rFonts w:ascii="Arial" w:hAnsi="Arial" w:cs="Arial"/>
          <w:sz w:val="20"/>
        </w:rPr>
        <w:t xml:space="preserve">so </w:t>
      </w:r>
      <w:r w:rsidR="00C64DE0" w:rsidRPr="00F97360">
        <w:rPr>
          <w:rFonts w:ascii="Arial" w:hAnsi="Arial" w:cs="Arial"/>
          <w:sz w:val="20"/>
        </w:rPr>
        <w:t>decides)</w:t>
      </w:r>
      <w:r w:rsidRPr="00F97360">
        <w:rPr>
          <w:rFonts w:ascii="Arial" w:hAnsi="Arial" w:cs="Arial"/>
          <w:sz w:val="20"/>
        </w:rPr>
        <w:t>; and</w:t>
      </w:r>
      <w:bookmarkEnd w:id="264"/>
    </w:p>
    <w:p w14:paraId="56712E87" w14:textId="392409C0" w:rsidR="007B4FB5" w:rsidRPr="00F97360" w:rsidRDefault="00D8597D" w:rsidP="00F97360">
      <w:pPr>
        <w:pStyle w:val="Untitledsubclause2"/>
        <w:tabs>
          <w:tab w:val="clear" w:pos="1554"/>
          <w:tab w:val="num" w:pos="1985"/>
        </w:tabs>
        <w:ind w:left="1985"/>
        <w:rPr>
          <w:rFonts w:ascii="Arial" w:hAnsi="Arial" w:cs="Arial"/>
          <w:sz w:val="20"/>
        </w:rPr>
      </w:pPr>
      <w:bookmarkStart w:id="265" w:name="a847343"/>
      <w:r w:rsidRPr="00F97360">
        <w:rPr>
          <w:rFonts w:ascii="Arial" w:hAnsi="Arial" w:cs="Arial"/>
          <w:sz w:val="20"/>
        </w:rPr>
        <w:t xml:space="preserve">any documents relating to arrangements or agreements required under </w:t>
      </w:r>
      <w:r w:rsidRPr="00F97360">
        <w:rPr>
          <w:rFonts w:ascii="Arial" w:hAnsi="Arial" w:cs="Arial"/>
          <w:sz w:val="20"/>
        </w:rPr>
        <w:fldChar w:fldCharType="begin"/>
      </w:r>
      <w:r w:rsidRPr="00F97360">
        <w:rPr>
          <w:rFonts w:ascii="Arial" w:hAnsi="Arial" w:cs="Arial"/>
          <w:sz w:val="20"/>
        </w:rPr>
        <w:instrText>PAGEREF a391918\# "'rule '"  \h</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 xml:space="preserve">rule </w:t>
      </w:r>
      <w:r w:rsidRPr="00F97360">
        <w:rPr>
          <w:rFonts w:ascii="Arial" w:hAnsi="Arial" w:cs="Arial"/>
          <w:sz w:val="20"/>
        </w:rPr>
        <w:fldChar w:fldCharType="end"/>
      </w:r>
      <w:r w:rsidRPr="00F97360">
        <w:rPr>
          <w:rFonts w:ascii="Arial" w:hAnsi="Arial" w:cs="Arial"/>
          <w:sz w:val="20"/>
        </w:rPr>
        <w:fldChar w:fldCharType="begin"/>
      </w:r>
      <w:r w:rsidRPr="00F97360">
        <w:rPr>
          <w:rFonts w:ascii="Arial" w:hAnsi="Arial" w:cs="Arial"/>
          <w:sz w:val="20"/>
          <w:highlight w:val="lightGray"/>
        </w:rPr>
        <w:instrText>REF a391918 \h \w</w:instrText>
      </w:r>
      <w:r w:rsidR="0037270F"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highlight w:val="lightGray"/>
        </w:rPr>
        <w:t>12</w:t>
      </w:r>
      <w:r w:rsidRPr="00F97360">
        <w:rPr>
          <w:rFonts w:ascii="Arial" w:hAnsi="Arial" w:cs="Arial"/>
          <w:sz w:val="20"/>
        </w:rPr>
        <w:fldChar w:fldCharType="end"/>
      </w:r>
      <w:r w:rsidRPr="00F97360">
        <w:rPr>
          <w:rFonts w:ascii="Arial" w:hAnsi="Arial" w:cs="Arial"/>
          <w:sz w:val="20"/>
        </w:rPr>
        <w:t xml:space="preserve"> and </w:t>
      </w:r>
      <w:r w:rsidRPr="00F97360">
        <w:rPr>
          <w:rFonts w:ascii="Arial" w:hAnsi="Arial" w:cs="Arial"/>
          <w:sz w:val="20"/>
        </w:rPr>
        <w:fldChar w:fldCharType="begin"/>
      </w:r>
      <w:r w:rsidRPr="00F97360">
        <w:rPr>
          <w:rFonts w:ascii="Arial" w:hAnsi="Arial" w:cs="Arial"/>
          <w:sz w:val="20"/>
        </w:rPr>
        <w:instrText>PAGEREF a353805\# "'rule '"  \h</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 xml:space="preserve">rule </w:t>
      </w:r>
      <w:r w:rsidRPr="00F97360">
        <w:rPr>
          <w:rFonts w:ascii="Arial" w:hAnsi="Arial" w:cs="Arial"/>
          <w:sz w:val="20"/>
        </w:rPr>
        <w:fldChar w:fldCharType="end"/>
      </w:r>
      <w:r w:rsidRPr="00F97360">
        <w:rPr>
          <w:rFonts w:ascii="Arial" w:hAnsi="Arial" w:cs="Arial"/>
          <w:sz w:val="20"/>
        </w:rPr>
        <w:fldChar w:fldCharType="begin"/>
      </w:r>
      <w:r w:rsidRPr="00F97360">
        <w:rPr>
          <w:rFonts w:ascii="Arial" w:hAnsi="Arial" w:cs="Arial"/>
          <w:sz w:val="20"/>
          <w:highlight w:val="lightGray"/>
        </w:rPr>
        <w:instrText>REF a353805 \h \w</w:instrText>
      </w:r>
      <w:r w:rsidR="0037270F"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highlight w:val="lightGray"/>
        </w:rPr>
        <w:t>23</w:t>
      </w:r>
      <w:r w:rsidRPr="00F97360">
        <w:rPr>
          <w:rFonts w:ascii="Arial" w:hAnsi="Arial" w:cs="Arial"/>
          <w:sz w:val="20"/>
        </w:rPr>
        <w:fldChar w:fldCharType="end"/>
      </w:r>
      <w:r w:rsidRPr="00F97360">
        <w:rPr>
          <w:rFonts w:ascii="Arial" w:hAnsi="Arial" w:cs="Arial"/>
          <w:sz w:val="20"/>
        </w:rPr>
        <w:t>.</w:t>
      </w:r>
      <w:bookmarkEnd w:id="265"/>
    </w:p>
    <w:p w14:paraId="56712E88" w14:textId="77777777" w:rsidR="007B4FB5" w:rsidRPr="00F97360" w:rsidRDefault="00D8597D" w:rsidP="007B4FB5">
      <w:pPr>
        <w:pStyle w:val="Untitledsubclause1"/>
        <w:rPr>
          <w:rFonts w:ascii="Arial" w:hAnsi="Arial" w:cs="Arial"/>
          <w:sz w:val="20"/>
        </w:rPr>
      </w:pPr>
      <w:bookmarkStart w:id="266" w:name="a673411"/>
      <w:r w:rsidRPr="00F97360">
        <w:rPr>
          <w:rFonts w:ascii="Arial" w:hAnsi="Arial" w:cs="Arial"/>
          <w:sz w:val="20"/>
        </w:rPr>
        <w:t>Any Exercise Notice shall be invalid:</w:t>
      </w:r>
      <w:bookmarkEnd w:id="266"/>
    </w:p>
    <w:p w14:paraId="56712E89" w14:textId="1D29751E" w:rsidR="007B4FB5" w:rsidRPr="00F97360" w:rsidRDefault="00D8597D" w:rsidP="00F97360">
      <w:pPr>
        <w:pStyle w:val="Untitledsubclause2"/>
        <w:tabs>
          <w:tab w:val="clear" w:pos="1554"/>
          <w:tab w:val="num" w:pos="1985"/>
        </w:tabs>
        <w:ind w:left="1985"/>
        <w:rPr>
          <w:rFonts w:ascii="Arial" w:hAnsi="Arial" w:cs="Arial"/>
          <w:sz w:val="20"/>
        </w:rPr>
      </w:pPr>
      <w:bookmarkStart w:id="267" w:name="a1002111"/>
      <w:r w:rsidRPr="00F97360">
        <w:rPr>
          <w:rFonts w:ascii="Arial" w:hAnsi="Arial" w:cs="Arial"/>
          <w:sz w:val="20"/>
        </w:rPr>
        <w:t xml:space="preserve">to the extent that it is inconsistent with the Award Holder's rights under these rules </w:t>
      </w:r>
      <w:r w:rsidR="00021FC3" w:rsidRPr="00F97360">
        <w:rPr>
          <w:rFonts w:ascii="Arial" w:hAnsi="Arial" w:cs="Arial"/>
          <w:sz w:val="20"/>
        </w:rPr>
        <w:t xml:space="preserve">or </w:t>
      </w:r>
      <w:r w:rsidRPr="00F97360">
        <w:rPr>
          <w:rFonts w:ascii="Arial" w:hAnsi="Arial" w:cs="Arial"/>
          <w:sz w:val="20"/>
        </w:rPr>
        <w:t xml:space="preserve">the </w:t>
      </w:r>
      <w:r w:rsidR="00CE51D0" w:rsidRPr="00F97360">
        <w:rPr>
          <w:rFonts w:ascii="Arial" w:hAnsi="Arial" w:cs="Arial"/>
          <w:sz w:val="20"/>
        </w:rPr>
        <w:t>Award Certificate</w:t>
      </w:r>
      <w:r w:rsidR="00DF70AA" w:rsidRPr="00F97360">
        <w:rPr>
          <w:rFonts w:ascii="Arial" w:hAnsi="Arial" w:cs="Arial"/>
          <w:sz w:val="20"/>
        </w:rPr>
        <w:t xml:space="preserve"> relating to the Option which the Award Holder is purporting to </w:t>
      </w:r>
      <w:proofErr w:type="gramStart"/>
      <w:r w:rsidR="00DF70AA" w:rsidRPr="00F97360">
        <w:rPr>
          <w:rFonts w:ascii="Arial" w:hAnsi="Arial" w:cs="Arial"/>
          <w:sz w:val="20"/>
        </w:rPr>
        <w:t>exercise</w:t>
      </w:r>
      <w:r w:rsidRPr="00F97360">
        <w:rPr>
          <w:rFonts w:ascii="Arial" w:hAnsi="Arial" w:cs="Arial"/>
          <w:sz w:val="20"/>
        </w:rPr>
        <w:t>;</w:t>
      </w:r>
      <w:bookmarkEnd w:id="267"/>
      <w:proofErr w:type="gramEnd"/>
    </w:p>
    <w:p w14:paraId="56712E8A" w14:textId="0D048711" w:rsidR="007B4FB5" w:rsidRPr="00F97360" w:rsidRDefault="00D8597D" w:rsidP="00F97360">
      <w:pPr>
        <w:pStyle w:val="Untitledsubclause2"/>
        <w:tabs>
          <w:tab w:val="clear" w:pos="1554"/>
          <w:tab w:val="num" w:pos="1985"/>
        </w:tabs>
        <w:ind w:left="1985"/>
        <w:rPr>
          <w:rFonts w:ascii="Arial" w:hAnsi="Arial" w:cs="Arial"/>
          <w:sz w:val="20"/>
        </w:rPr>
      </w:pPr>
      <w:bookmarkStart w:id="268" w:name="a591558"/>
      <w:r w:rsidRPr="00F97360">
        <w:rPr>
          <w:rFonts w:ascii="Arial" w:hAnsi="Arial" w:cs="Arial"/>
          <w:sz w:val="20"/>
        </w:rPr>
        <w:lastRenderedPageBreak/>
        <w:t xml:space="preserve">if any of the requirements of </w:t>
      </w:r>
      <w:r w:rsidRPr="00F97360">
        <w:rPr>
          <w:rFonts w:ascii="Arial" w:hAnsi="Arial" w:cs="Arial"/>
          <w:sz w:val="20"/>
        </w:rPr>
        <w:fldChar w:fldCharType="begin"/>
      </w:r>
      <w:r w:rsidRPr="00F97360">
        <w:rPr>
          <w:rFonts w:ascii="Arial" w:hAnsi="Arial" w:cs="Arial"/>
          <w:sz w:val="20"/>
        </w:rPr>
        <w:instrText>PAGEREF a806806\# "'rule '"  \h</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 xml:space="preserve">rule </w:t>
      </w:r>
      <w:r w:rsidRPr="00F97360">
        <w:rPr>
          <w:rFonts w:ascii="Arial" w:hAnsi="Arial" w:cs="Arial"/>
          <w:sz w:val="20"/>
        </w:rPr>
        <w:fldChar w:fldCharType="end"/>
      </w:r>
      <w:r w:rsidRPr="00F97360">
        <w:rPr>
          <w:rFonts w:ascii="Arial" w:hAnsi="Arial" w:cs="Arial"/>
          <w:sz w:val="20"/>
        </w:rPr>
        <w:fldChar w:fldCharType="begin"/>
      </w:r>
      <w:r w:rsidRPr="00F97360">
        <w:rPr>
          <w:rFonts w:ascii="Arial" w:hAnsi="Arial" w:cs="Arial"/>
          <w:sz w:val="20"/>
          <w:highlight w:val="lightGray"/>
        </w:rPr>
        <w:instrText>REF a806806 \h \w</w:instrText>
      </w:r>
      <w:r w:rsidR="0037270F"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highlight w:val="lightGray"/>
        </w:rPr>
        <w:t>14.2</w:t>
      </w:r>
      <w:r w:rsidRPr="00F97360">
        <w:rPr>
          <w:rFonts w:ascii="Arial" w:hAnsi="Arial" w:cs="Arial"/>
          <w:sz w:val="20"/>
        </w:rPr>
        <w:fldChar w:fldCharType="end"/>
      </w:r>
      <w:r w:rsidR="007B4FB5" w:rsidRPr="00F97360">
        <w:rPr>
          <w:rFonts w:ascii="Arial" w:hAnsi="Arial" w:cs="Arial"/>
          <w:sz w:val="20"/>
        </w:rPr>
        <w:t xml:space="preserve">, </w:t>
      </w:r>
      <w:r w:rsidR="007B4FB5" w:rsidRPr="00F97360">
        <w:rPr>
          <w:rFonts w:ascii="Arial" w:hAnsi="Arial" w:cs="Arial"/>
          <w:sz w:val="20"/>
        </w:rPr>
        <w:fldChar w:fldCharType="begin"/>
      </w:r>
      <w:r w:rsidR="007B4FB5" w:rsidRPr="00F97360">
        <w:rPr>
          <w:rFonts w:ascii="Arial" w:hAnsi="Arial" w:cs="Arial"/>
          <w:sz w:val="20"/>
        </w:rPr>
        <w:instrText>PAGEREF a339239\# "'rule '"  \h</w:instrText>
      </w:r>
      <w:r w:rsidR="007B4FB5" w:rsidRPr="00F97360">
        <w:rPr>
          <w:rFonts w:ascii="Arial" w:hAnsi="Arial" w:cs="Arial"/>
          <w:sz w:val="20"/>
        </w:rPr>
      </w:r>
      <w:r w:rsidR="007B4FB5" w:rsidRPr="00F97360">
        <w:rPr>
          <w:rFonts w:ascii="Arial" w:hAnsi="Arial" w:cs="Arial"/>
          <w:sz w:val="20"/>
        </w:rPr>
        <w:fldChar w:fldCharType="separate"/>
      </w:r>
      <w:r w:rsidR="00710210" w:rsidRPr="00F97360">
        <w:rPr>
          <w:rFonts w:ascii="Arial" w:hAnsi="Arial" w:cs="Arial"/>
          <w:sz w:val="20"/>
        </w:rPr>
        <w:t xml:space="preserve">rule </w:t>
      </w:r>
      <w:r w:rsidR="007B4FB5" w:rsidRPr="00F97360">
        <w:rPr>
          <w:rFonts w:ascii="Arial" w:hAnsi="Arial" w:cs="Arial"/>
          <w:sz w:val="20"/>
        </w:rPr>
        <w:fldChar w:fldCharType="end"/>
      </w:r>
      <w:r w:rsidR="007B4FB5" w:rsidRPr="00F97360">
        <w:rPr>
          <w:rFonts w:ascii="Arial" w:hAnsi="Arial" w:cs="Arial"/>
          <w:sz w:val="20"/>
        </w:rPr>
        <w:fldChar w:fldCharType="begin"/>
      </w:r>
      <w:r w:rsidR="007B4FB5" w:rsidRPr="00F97360">
        <w:rPr>
          <w:rFonts w:ascii="Arial" w:hAnsi="Arial" w:cs="Arial"/>
          <w:sz w:val="20"/>
          <w:highlight w:val="lightGray"/>
        </w:rPr>
        <w:instrText>REF a339239 \h \w</w:instrText>
      </w:r>
      <w:r w:rsidR="0037270F" w:rsidRPr="00F97360">
        <w:rPr>
          <w:rFonts w:ascii="Arial" w:hAnsi="Arial" w:cs="Arial"/>
          <w:sz w:val="20"/>
        </w:rPr>
        <w:instrText xml:space="preserve"> \* MERGEFORMAT </w:instrText>
      </w:r>
      <w:r w:rsidR="007B4FB5" w:rsidRPr="00F97360">
        <w:rPr>
          <w:rFonts w:ascii="Arial" w:hAnsi="Arial" w:cs="Arial"/>
          <w:sz w:val="20"/>
        </w:rPr>
      </w:r>
      <w:r w:rsidR="007B4FB5" w:rsidRPr="00F97360">
        <w:rPr>
          <w:rFonts w:ascii="Arial" w:hAnsi="Arial" w:cs="Arial"/>
          <w:sz w:val="20"/>
        </w:rPr>
        <w:fldChar w:fldCharType="separate"/>
      </w:r>
      <w:r w:rsidR="00710210" w:rsidRPr="00F97360">
        <w:rPr>
          <w:rFonts w:ascii="Arial" w:hAnsi="Arial" w:cs="Arial"/>
          <w:sz w:val="20"/>
          <w:highlight w:val="lightGray"/>
        </w:rPr>
        <w:t>14.3</w:t>
      </w:r>
      <w:r w:rsidR="007B4FB5" w:rsidRPr="00F97360">
        <w:rPr>
          <w:rFonts w:ascii="Arial" w:hAnsi="Arial" w:cs="Arial"/>
          <w:sz w:val="20"/>
        </w:rPr>
        <w:fldChar w:fldCharType="end"/>
      </w:r>
      <w:r w:rsidR="00460C13" w:rsidRPr="00F97360">
        <w:rPr>
          <w:rFonts w:ascii="Arial" w:hAnsi="Arial" w:cs="Arial"/>
          <w:sz w:val="20"/>
        </w:rPr>
        <w:t xml:space="preserve"> </w:t>
      </w:r>
      <w:r w:rsidRPr="00F97360">
        <w:rPr>
          <w:rFonts w:ascii="Arial" w:hAnsi="Arial" w:cs="Arial"/>
          <w:sz w:val="20"/>
        </w:rPr>
        <w:t xml:space="preserve">or </w:t>
      </w:r>
      <w:r w:rsidRPr="00F97360">
        <w:rPr>
          <w:rFonts w:ascii="Arial" w:hAnsi="Arial" w:cs="Arial"/>
          <w:sz w:val="20"/>
        </w:rPr>
        <w:fldChar w:fldCharType="begin"/>
      </w:r>
      <w:r w:rsidRPr="00F97360">
        <w:rPr>
          <w:rFonts w:ascii="Arial" w:hAnsi="Arial" w:cs="Arial"/>
          <w:sz w:val="20"/>
        </w:rPr>
        <w:instrText>PAGEREF a335920\# "'rule '"  \h</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 xml:space="preserve">rule </w:t>
      </w:r>
      <w:r w:rsidRPr="00F97360">
        <w:rPr>
          <w:rFonts w:ascii="Arial" w:hAnsi="Arial" w:cs="Arial"/>
          <w:sz w:val="20"/>
        </w:rPr>
        <w:fldChar w:fldCharType="end"/>
      </w:r>
      <w:r w:rsidRPr="00F97360">
        <w:rPr>
          <w:rFonts w:ascii="Arial" w:hAnsi="Arial" w:cs="Arial"/>
          <w:sz w:val="20"/>
        </w:rPr>
        <w:fldChar w:fldCharType="begin"/>
      </w:r>
      <w:r w:rsidRPr="00F97360">
        <w:rPr>
          <w:rFonts w:ascii="Arial" w:hAnsi="Arial" w:cs="Arial"/>
          <w:sz w:val="20"/>
          <w:highlight w:val="lightGray"/>
        </w:rPr>
        <w:instrText>REF a335920 \h \w</w:instrText>
      </w:r>
      <w:r w:rsidR="0037270F"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highlight w:val="lightGray"/>
        </w:rPr>
        <w:t>14.4</w:t>
      </w:r>
      <w:r w:rsidRPr="00F97360">
        <w:rPr>
          <w:rFonts w:ascii="Arial" w:hAnsi="Arial" w:cs="Arial"/>
          <w:sz w:val="20"/>
        </w:rPr>
        <w:fldChar w:fldCharType="end"/>
      </w:r>
      <w:r w:rsidRPr="00F97360">
        <w:rPr>
          <w:rFonts w:ascii="Arial" w:hAnsi="Arial" w:cs="Arial"/>
          <w:sz w:val="20"/>
        </w:rPr>
        <w:t xml:space="preserve"> are not met; or</w:t>
      </w:r>
      <w:bookmarkEnd w:id="268"/>
    </w:p>
    <w:p w14:paraId="56712E8B" w14:textId="3CFAFC42" w:rsidR="007B4FB5" w:rsidRPr="00F97360" w:rsidRDefault="00D8597D" w:rsidP="00F97360">
      <w:pPr>
        <w:pStyle w:val="Untitledsubclause2"/>
        <w:tabs>
          <w:tab w:val="clear" w:pos="1554"/>
          <w:tab w:val="num" w:pos="1985"/>
        </w:tabs>
        <w:ind w:left="1985"/>
        <w:rPr>
          <w:rFonts w:ascii="Arial" w:hAnsi="Arial" w:cs="Arial"/>
          <w:sz w:val="20"/>
        </w:rPr>
      </w:pPr>
      <w:bookmarkStart w:id="269" w:name="a709555"/>
      <w:r w:rsidRPr="00F97360">
        <w:rPr>
          <w:rFonts w:ascii="Arial" w:hAnsi="Arial" w:cs="Arial"/>
          <w:sz w:val="20"/>
        </w:rPr>
        <w:t xml:space="preserve">if any payment referred to in </w:t>
      </w:r>
      <w:r w:rsidRPr="00F97360">
        <w:rPr>
          <w:rFonts w:ascii="Arial" w:hAnsi="Arial" w:cs="Arial"/>
          <w:sz w:val="20"/>
        </w:rPr>
        <w:fldChar w:fldCharType="begin"/>
      </w:r>
      <w:r w:rsidRPr="00F97360">
        <w:rPr>
          <w:rFonts w:ascii="Arial" w:hAnsi="Arial" w:cs="Arial"/>
          <w:sz w:val="20"/>
        </w:rPr>
        <w:instrText>PAGEREF a339239\# "'rule '"  \h</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 xml:space="preserve">rule </w:t>
      </w:r>
      <w:r w:rsidRPr="00F97360">
        <w:rPr>
          <w:rFonts w:ascii="Arial" w:hAnsi="Arial" w:cs="Arial"/>
          <w:sz w:val="20"/>
        </w:rPr>
        <w:fldChar w:fldCharType="end"/>
      </w:r>
      <w:r w:rsidRPr="00F97360">
        <w:rPr>
          <w:rFonts w:ascii="Arial" w:hAnsi="Arial" w:cs="Arial"/>
          <w:sz w:val="20"/>
        </w:rPr>
        <w:fldChar w:fldCharType="begin"/>
      </w:r>
      <w:r w:rsidRPr="00F97360">
        <w:rPr>
          <w:rFonts w:ascii="Arial" w:hAnsi="Arial" w:cs="Arial"/>
          <w:sz w:val="20"/>
          <w:highlight w:val="lightGray"/>
        </w:rPr>
        <w:instrText>REF a339239 \h \w</w:instrText>
      </w:r>
      <w:r w:rsidR="0037270F"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highlight w:val="lightGray"/>
        </w:rPr>
        <w:t>14.3</w:t>
      </w:r>
      <w:r w:rsidRPr="00F97360">
        <w:rPr>
          <w:rFonts w:ascii="Arial" w:hAnsi="Arial" w:cs="Arial"/>
          <w:sz w:val="20"/>
        </w:rPr>
        <w:fldChar w:fldCharType="end"/>
      </w:r>
      <w:r w:rsidRPr="00F97360">
        <w:rPr>
          <w:rFonts w:ascii="Arial" w:hAnsi="Arial" w:cs="Arial"/>
          <w:sz w:val="20"/>
        </w:rPr>
        <w:t xml:space="preserve"> is made by a cheque that is not honoured on first presentation or that fails in any other manner to transfer the expected value to the Company.</w:t>
      </w:r>
      <w:bookmarkEnd w:id="269"/>
    </w:p>
    <w:p w14:paraId="56712E8C" w14:textId="2E02CF33" w:rsidR="007B4FB5" w:rsidRPr="00F97360" w:rsidRDefault="00D8597D" w:rsidP="007B4FB5">
      <w:pPr>
        <w:pStyle w:val="Parasubclause1"/>
        <w:rPr>
          <w:rFonts w:ascii="Arial" w:hAnsi="Arial" w:cs="Arial"/>
          <w:sz w:val="20"/>
        </w:rPr>
      </w:pPr>
      <w:r w:rsidRPr="00F97360">
        <w:rPr>
          <w:rFonts w:ascii="Arial" w:hAnsi="Arial" w:cs="Arial"/>
          <w:sz w:val="20"/>
        </w:rPr>
        <w:t xml:space="preserve">The Company may permit the Award Holder to correct any defect referred to in </w:t>
      </w:r>
      <w:r w:rsidRPr="00F97360">
        <w:rPr>
          <w:rFonts w:ascii="Arial" w:hAnsi="Arial" w:cs="Arial"/>
          <w:sz w:val="20"/>
        </w:rPr>
        <w:fldChar w:fldCharType="begin"/>
      </w:r>
      <w:r w:rsidRPr="00F97360">
        <w:rPr>
          <w:rFonts w:ascii="Arial" w:hAnsi="Arial" w:cs="Arial"/>
          <w:sz w:val="20"/>
        </w:rPr>
        <w:instrText>PAGEREF a673411\# "'rule '"  \h</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 xml:space="preserve">rule </w:t>
      </w:r>
      <w:r w:rsidRPr="00F97360">
        <w:rPr>
          <w:rFonts w:ascii="Arial" w:hAnsi="Arial" w:cs="Arial"/>
          <w:sz w:val="20"/>
        </w:rPr>
        <w:fldChar w:fldCharType="end"/>
      </w:r>
      <w:r w:rsidRPr="00F97360">
        <w:rPr>
          <w:rFonts w:ascii="Arial" w:hAnsi="Arial" w:cs="Arial"/>
          <w:sz w:val="20"/>
        </w:rPr>
        <w:fldChar w:fldCharType="begin"/>
      </w:r>
      <w:r w:rsidRPr="00F97360">
        <w:rPr>
          <w:rFonts w:ascii="Arial" w:hAnsi="Arial" w:cs="Arial"/>
          <w:sz w:val="20"/>
          <w:highlight w:val="lightGray"/>
        </w:rPr>
        <w:instrText>REF a673411 \h \w</w:instrText>
      </w:r>
      <w:r w:rsidR="0037270F"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highlight w:val="lightGray"/>
        </w:rPr>
        <w:t>14.5</w:t>
      </w:r>
      <w:r w:rsidRPr="00F97360">
        <w:rPr>
          <w:rFonts w:ascii="Arial" w:hAnsi="Arial" w:cs="Arial"/>
          <w:sz w:val="20"/>
        </w:rPr>
        <w:fldChar w:fldCharType="end"/>
      </w:r>
      <w:r w:rsidRPr="00F97360">
        <w:rPr>
          <w:rFonts w:ascii="Arial" w:hAnsi="Arial" w:cs="Arial"/>
          <w:sz w:val="20"/>
        </w:rPr>
        <w:t xml:space="preserve"> (but shall not be obliged to do so). The date of any corrected Exercise Notice shall be the date of the correction rather than the </w:t>
      </w:r>
      <w:r w:rsidR="00BD1537" w:rsidRPr="00F97360">
        <w:rPr>
          <w:rFonts w:ascii="Arial" w:hAnsi="Arial" w:cs="Arial"/>
          <w:sz w:val="20"/>
        </w:rPr>
        <w:t xml:space="preserve">date of the </w:t>
      </w:r>
      <w:r w:rsidRPr="00F97360">
        <w:rPr>
          <w:rFonts w:ascii="Arial" w:hAnsi="Arial" w:cs="Arial"/>
          <w:sz w:val="20"/>
        </w:rPr>
        <w:t>original notice for all other purposes of the Plan.</w:t>
      </w:r>
    </w:p>
    <w:p w14:paraId="56712E8D" w14:textId="46229559" w:rsidR="007B4FB5" w:rsidRPr="00F97360" w:rsidRDefault="00D8597D" w:rsidP="007B4FB5">
      <w:pPr>
        <w:pStyle w:val="TitleClause"/>
        <w:rPr>
          <w:rFonts w:ascii="Arial" w:hAnsi="Arial" w:cs="Arial"/>
          <w:sz w:val="20"/>
        </w:rPr>
      </w:pPr>
      <w:r w:rsidRPr="00F97360">
        <w:rPr>
          <w:rFonts w:ascii="Arial" w:hAnsi="Arial" w:cs="Arial"/>
          <w:sz w:val="20"/>
        </w:rPr>
        <w:fldChar w:fldCharType="begin"/>
      </w:r>
      <w:r w:rsidRPr="00F97360">
        <w:rPr>
          <w:rFonts w:ascii="Arial" w:hAnsi="Arial" w:cs="Arial"/>
          <w:sz w:val="20"/>
        </w:rPr>
        <w:instrText>TC "14. Settlement of Awards" \l 1</w:instrText>
      </w:r>
      <w:r w:rsidRPr="00F97360">
        <w:rPr>
          <w:rFonts w:ascii="Arial" w:hAnsi="Arial" w:cs="Arial"/>
          <w:sz w:val="20"/>
        </w:rPr>
        <w:fldChar w:fldCharType="end"/>
      </w:r>
      <w:bookmarkStart w:id="270" w:name="_Toc103273401"/>
      <w:bookmarkStart w:id="271" w:name="a175700"/>
      <w:bookmarkStart w:id="272" w:name="_Toc105671027"/>
      <w:bookmarkStart w:id="273" w:name="_Toc145339784"/>
      <w:bookmarkStart w:id="274" w:name="_Toc131682134"/>
      <w:bookmarkStart w:id="275" w:name="_Toc161658068"/>
      <w:r w:rsidRPr="00F97360">
        <w:rPr>
          <w:rFonts w:ascii="Arial" w:hAnsi="Arial" w:cs="Arial"/>
          <w:sz w:val="20"/>
        </w:rPr>
        <w:t xml:space="preserve">Settlement of </w:t>
      </w:r>
      <w:r w:rsidR="007B4FB5" w:rsidRPr="00F97360">
        <w:rPr>
          <w:rFonts w:ascii="Arial" w:hAnsi="Arial" w:cs="Arial"/>
          <w:sz w:val="20"/>
        </w:rPr>
        <w:t>Awards</w:t>
      </w:r>
      <w:bookmarkEnd w:id="270"/>
      <w:bookmarkEnd w:id="271"/>
      <w:bookmarkEnd w:id="272"/>
      <w:bookmarkEnd w:id="273"/>
      <w:bookmarkEnd w:id="274"/>
      <w:bookmarkEnd w:id="275"/>
    </w:p>
    <w:p w14:paraId="56712E8E" w14:textId="1B92847F" w:rsidR="007B4FB5" w:rsidRPr="00F97360" w:rsidRDefault="00D8597D" w:rsidP="007B4FB5">
      <w:pPr>
        <w:pStyle w:val="Untitledsubclause1"/>
        <w:rPr>
          <w:rFonts w:ascii="Arial" w:hAnsi="Arial" w:cs="Arial"/>
          <w:sz w:val="20"/>
        </w:rPr>
      </w:pPr>
      <w:bookmarkStart w:id="276" w:name="a656360"/>
      <w:r w:rsidRPr="00F97360">
        <w:rPr>
          <w:rFonts w:ascii="Arial" w:hAnsi="Arial" w:cs="Arial"/>
          <w:sz w:val="20"/>
        </w:rPr>
        <w:t xml:space="preserve">This </w:t>
      </w:r>
      <w:r w:rsidRPr="00F97360">
        <w:rPr>
          <w:rFonts w:ascii="Arial" w:hAnsi="Arial" w:cs="Arial"/>
          <w:sz w:val="20"/>
        </w:rPr>
        <w:fldChar w:fldCharType="begin"/>
      </w:r>
      <w:r w:rsidRPr="00F97360">
        <w:rPr>
          <w:rFonts w:ascii="Arial" w:hAnsi="Arial" w:cs="Arial"/>
          <w:sz w:val="20"/>
        </w:rPr>
        <w:instrText>PAGEREF a175700\# "'rule '"  \h</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 xml:space="preserve">rule </w:t>
      </w:r>
      <w:r w:rsidRPr="00F97360">
        <w:rPr>
          <w:rFonts w:ascii="Arial" w:hAnsi="Arial" w:cs="Arial"/>
          <w:sz w:val="20"/>
        </w:rPr>
        <w:fldChar w:fldCharType="end"/>
      </w:r>
      <w:r w:rsidRPr="00F97360">
        <w:rPr>
          <w:rFonts w:ascii="Arial" w:hAnsi="Arial" w:cs="Arial"/>
          <w:sz w:val="20"/>
        </w:rPr>
        <w:fldChar w:fldCharType="begin"/>
      </w:r>
      <w:r w:rsidRPr="00F97360">
        <w:rPr>
          <w:rFonts w:ascii="Arial" w:hAnsi="Arial" w:cs="Arial"/>
          <w:sz w:val="20"/>
          <w:highlight w:val="lightGray"/>
        </w:rPr>
        <w:instrText>REF a175700 \h \w</w:instrText>
      </w:r>
      <w:r w:rsidR="0037270F"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highlight w:val="lightGray"/>
        </w:rPr>
        <w:t>15</w:t>
      </w:r>
      <w:r w:rsidRPr="00F97360">
        <w:rPr>
          <w:rFonts w:ascii="Arial" w:hAnsi="Arial" w:cs="Arial"/>
          <w:sz w:val="20"/>
        </w:rPr>
        <w:fldChar w:fldCharType="end"/>
      </w:r>
      <w:r w:rsidRPr="00F97360">
        <w:rPr>
          <w:rFonts w:ascii="Arial" w:hAnsi="Arial" w:cs="Arial"/>
          <w:sz w:val="20"/>
        </w:rPr>
        <w:t xml:space="preserve"> is subject to </w:t>
      </w:r>
      <w:r w:rsidRPr="00F97360">
        <w:rPr>
          <w:rFonts w:ascii="Arial" w:hAnsi="Arial" w:cs="Arial"/>
          <w:sz w:val="20"/>
        </w:rPr>
        <w:fldChar w:fldCharType="begin"/>
      </w:r>
      <w:r w:rsidRPr="00F97360">
        <w:rPr>
          <w:rFonts w:ascii="Arial" w:hAnsi="Arial" w:cs="Arial"/>
          <w:sz w:val="20"/>
        </w:rPr>
        <w:instrText>PAGEREF a309757\# "'rule '"  \h</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 xml:space="preserve">rule </w:t>
      </w:r>
      <w:r w:rsidRPr="00F97360">
        <w:rPr>
          <w:rFonts w:ascii="Arial" w:hAnsi="Arial" w:cs="Arial"/>
          <w:sz w:val="20"/>
        </w:rPr>
        <w:fldChar w:fldCharType="end"/>
      </w:r>
      <w:r w:rsidRPr="00F97360">
        <w:rPr>
          <w:rFonts w:ascii="Arial" w:hAnsi="Arial" w:cs="Arial"/>
          <w:sz w:val="20"/>
        </w:rPr>
        <w:fldChar w:fldCharType="begin"/>
      </w:r>
      <w:r w:rsidRPr="00F97360">
        <w:rPr>
          <w:rFonts w:ascii="Arial" w:hAnsi="Arial" w:cs="Arial"/>
          <w:sz w:val="20"/>
          <w:highlight w:val="lightGray"/>
        </w:rPr>
        <w:instrText>REF a309757 \h \w</w:instrText>
      </w:r>
      <w:r w:rsidR="0037270F"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highlight w:val="lightGray"/>
        </w:rPr>
        <w:t>17</w:t>
      </w:r>
      <w:r w:rsidRPr="00F97360">
        <w:rPr>
          <w:rFonts w:ascii="Arial" w:hAnsi="Arial" w:cs="Arial"/>
          <w:sz w:val="20"/>
        </w:rPr>
        <w:fldChar w:fldCharType="end"/>
      </w:r>
      <w:r w:rsidRPr="00F97360">
        <w:rPr>
          <w:rFonts w:ascii="Arial" w:hAnsi="Arial" w:cs="Arial"/>
          <w:sz w:val="20"/>
        </w:rPr>
        <w:t>.</w:t>
      </w:r>
      <w:bookmarkEnd w:id="276"/>
      <w:r w:rsidR="00270E21" w:rsidRPr="00F97360">
        <w:rPr>
          <w:rFonts w:ascii="Arial" w:hAnsi="Arial" w:cs="Arial"/>
          <w:sz w:val="20"/>
        </w:rPr>
        <w:t xml:space="preserve"> </w:t>
      </w:r>
    </w:p>
    <w:p w14:paraId="56712E91" w14:textId="585D97D8" w:rsidR="00A45EE0" w:rsidRPr="00F97360" w:rsidRDefault="00D8597D" w:rsidP="00A422A7">
      <w:pPr>
        <w:pStyle w:val="Untitledsubclause1"/>
        <w:rPr>
          <w:rFonts w:ascii="Arial" w:hAnsi="Arial" w:cs="Arial"/>
          <w:sz w:val="20"/>
        </w:rPr>
      </w:pPr>
      <w:bookmarkStart w:id="277" w:name="a988388"/>
      <w:r w:rsidRPr="00F97360">
        <w:rPr>
          <w:rFonts w:ascii="Arial" w:hAnsi="Arial" w:cs="Arial"/>
          <w:sz w:val="20"/>
        </w:rPr>
        <w:t>Within 30 days after</w:t>
      </w:r>
      <w:r w:rsidR="00A45EE0" w:rsidRPr="00F97360">
        <w:rPr>
          <w:rFonts w:ascii="Arial" w:hAnsi="Arial" w:cs="Arial"/>
          <w:sz w:val="20"/>
        </w:rPr>
        <w:t xml:space="preserve"> the </w:t>
      </w:r>
      <w:bookmarkStart w:id="278" w:name="a948800"/>
      <w:r w:rsidR="00D44FC6" w:rsidRPr="00F97360">
        <w:rPr>
          <w:rFonts w:ascii="Arial" w:hAnsi="Arial" w:cs="Arial"/>
          <w:sz w:val="20"/>
        </w:rPr>
        <w:t>Vesting of</w:t>
      </w:r>
      <w:r w:rsidRPr="00F97360">
        <w:rPr>
          <w:rFonts w:ascii="Arial" w:hAnsi="Arial" w:cs="Arial"/>
          <w:sz w:val="20"/>
        </w:rPr>
        <w:t xml:space="preserve"> a Conditional Share Award</w:t>
      </w:r>
      <w:r w:rsidR="008371A4" w:rsidRPr="00F97360">
        <w:rPr>
          <w:rFonts w:ascii="Arial" w:hAnsi="Arial" w:cs="Arial"/>
          <w:sz w:val="20"/>
        </w:rPr>
        <w:t>,</w:t>
      </w:r>
      <w:r w:rsidR="00A45EE0" w:rsidRPr="00F97360">
        <w:rPr>
          <w:rFonts w:ascii="Arial" w:hAnsi="Arial" w:cs="Arial"/>
          <w:sz w:val="20"/>
        </w:rPr>
        <w:t xml:space="preserve"> </w:t>
      </w:r>
      <w:r w:rsidRPr="00F97360">
        <w:rPr>
          <w:rFonts w:ascii="Arial" w:hAnsi="Arial" w:cs="Arial"/>
          <w:sz w:val="20"/>
        </w:rPr>
        <w:t>or</w:t>
      </w:r>
      <w:bookmarkEnd w:id="278"/>
      <w:r w:rsidR="00A45EE0" w:rsidRPr="00F97360">
        <w:rPr>
          <w:rFonts w:ascii="Arial" w:hAnsi="Arial" w:cs="Arial"/>
          <w:sz w:val="20"/>
        </w:rPr>
        <w:t xml:space="preserve"> </w:t>
      </w:r>
      <w:r w:rsidR="008371A4" w:rsidRPr="00F97360">
        <w:rPr>
          <w:rFonts w:ascii="Arial" w:hAnsi="Arial" w:cs="Arial"/>
          <w:sz w:val="20"/>
        </w:rPr>
        <w:t>the</w:t>
      </w:r>
      <w:r w:rsidR="00A45EE0" w:rsidRPr="00F97360">
        <w:rPr>
          <w:rFonts w:ascii="Arial" w:hAnsi="Arial" w:cs="Arial"/>
          <w:sz w:val="20"/>
        </w:rPr>
        <w:t xml:space="preserve"> </w:t>
      </w:r>
      <w:bookmarkStart w:id="279" w:name="a805898"/>
      <w:r w:rsidRPr="00F97360">
        <w:rPr>
          <w:rFonts w:ascii="Arial" w:hAnsi="Arial" w:cs="Arial"/>
          <w:sz w:val="20"/>
        </w:rPr>
        <w:t>valid exercise of a Nil Cost</w:t>
      </w:r>
      <w:r w:rsidR="008371A4" w:rsidRPr="00F97360">
        <w:rPr>
          <w:rFonts w:ascii="Arial" w:hAnsi="Arial" w:cs="Arial"/>
          <w:sz w:val="20"/>
        </w:rPr>
        <w:t xml:space="preserve"> Option</w:t>
      </w:r>
      <w:bookmarkEnd w:id="279"/>
      <w:r w:rsidR="00A45EE0" w:rsidRPr="00F97360">
        <w:rPr>
          <w:rFonts w:ascii="Arial" w:hAnsi="Arial" w:cs="Arial"/>
          <w:sz w:val="20"/>
        </w:rPr>
        <w:t>, the Company shall (unless prevented by any Dealing Restrictions, and provided it has obtained any necessary approvals or consents and the Tax Liability has been paid</w:t>
      </w:r>
      <w:r w:rsidR="008371A4" w:rsidRPr="00F97360">
        <w:rPr>
          <w:rFonts w:ascii="Arial" w:hAnsi="Arial" w:cs="Arial"/>
          <w:sz w:val="20"/>
        </w:rPr>
        <w:t>,</w:t>
      </w:r>
      <w:r w:rsidR="00A45EE0" w:rsidRPr="00F97360">
        <w:rPr>
          <w:rFonts w:ascii="Arial" w:hAnsi="Arial" w:cs="Arial"/>
          <w:sz w:val="20"/>
        </w:rPr>
        <w:t xml:space="preserve"> or arrangements for it to be paid have been made to the satisfaction of the </w:t>
      </w:r>
      <w:r w:rsidR="00F73468" w:rsidRPr="00F97360">
        <w:rPr>
          <w:rFonts w:ascii="Arial" w:hAnsi="Arial" w:cs="Arial"/>
          <w:sz w:val="20"/>
        </w:rPr>
        <w:t>Remuneration Committee</w:t>
      </w:r>
      <w:r w:rsidR="00A45EE0" w:rsidRPr="00F97360">
        <w:rPr>
          <w:rFonts w:ascii="Arial" w:hAnsi="Arial" w:cs="Arial"/>
          <w:sz w:val="20"/>
        </w:rPr>
        <w:t>), allot and issue Shares or, as appropriate, procure their transfer</w:t>
      </w:r>
      <w:r w:rsidR="00C9093D" w:rsidRPr="00F97360">
        <w:rPr>
          <w:rFonts w:ascii="Arial" w:hAnsi="Arial" w:cs="Arial"/>
          <w:sz w:val="20"/>
        </w:rPr>
        <w:t xml:space="preserve"> </w:t>
      </w:r>
      <w:r w:rsidRPr="00F97360">
        <w:rPr>
          <w:rFonts w:ascii="Arial" w:hAnsi="Arial" w:cs="Arial"/>
          <w:sz w:val="20"/>
        </w:rPr>
        <w:t xml:space="preserve">to the </w:t>
      </w:r>
      <w:r w:rsidR="00BF0AA6" w:rsidRPr="00F97360">
        <w:rPr>
          <w:rFonts w:ascii="Arial" w:hAnsi="Arial" w:cs="Arial"/>
          <w:sz w:val="20"/>
        </w:rPr>
        <w:t xml:space="preserve">Award Holder </w:t>
      </w:r>
      <w:r w:rsidR="00C64DE0" w:rsidRPr="00F97360">
        <w:rPr>
          <w:rFonts w:ascii="Arial" w:hAnsi="Arial" w:cs="Arial"/>
          <w:sz w:val="20"/>
        </w:rPr>
        <w:t>(</w:t>
      </w:r>
      <w:r w:rsidR="0037045A" w:rsidRPr="00F97360">
        <w:rPr>
          <w:rFonts w:ascii="Arial" w:hAnsi="Arial" w:cs="Arial"/>
          <w:sz w:val="20"/>
        </w:rPr>
        <w:t xml:space="preserve">or, if </w:t>
      </w:r>
      <w:r w:rsidR="00C64DE0" w:rsidRPr="00F97360">
        <w:rPr>
          <w:rFonts w:ascii="Arial" w:hAnsi="Arial" w:cs="Arial"/>
          <w:sz w:val="20"/>
        </w:rPr>
        <w:t xml:space="preserve">the </w:t>
      </w:r>
      <w:r w:rsidR="00623047" w:rsidRPr="00F97360">
        <w:rPr>
          <w:rFonts w:ascii="Arial" w:hAnsi="Arial" w:cs="Arial"/>
          <w:sz w:val="20"/>
        </w:rPr>
        <w:t>Remuneration Committee</w:t>
      </w:r>
      <w:r w:rsidR="00C64DE0" w:rsidRPr="00F97360">
        <w:rPr>
          <w:rFonts w:ascii="Arial" w:hAnsi="Arial" w:cs="Arial"/>
          <w:sz w:val="20"/>
        </w:rPr>
        <w:t xml:space="preserve"> </w:t>
      </w:r>
      <w:r w:rsidR="0037045A" w:rsidRPr="00F97360">
        <w:rPr>
          <w:rFonts w:ascii="Arial" w:hAnsi="Arial" w:cs="Arial"/>
          <w:sz w:val="20"/>
        </w:rPr>
        <w:t xml:space="preserve">so </w:t>
      </w:r>
      <w:r w:rsidR="00C64DE0" w:rsidRPr="00F97360">
        <w:rPr>
          <w:rFonts w:ascii="Arial" w:hAnsi="Arial" w:cs="Arial"/>
          <w:sz w:val="20"/>
        </w:rPr>
        <w:t>decides</w:t>
      </w:r>
      <w:r w:rsidR="0037045A" w:rsidRPr="00F97360">
        <w:rPr>
          <w:rFonts w:ascii="Arial" w:hAnsi="Arial" w:cs="Arial"/>
          <w:sz w:val="20"/>
        </w:rPr>
        <w:t>, the</w:t>
      </w:r>
      <w:r w:rsidR="00BF0AA6" w:rsidRPr="00F97360">
        <w:rPr>
          <w:rFonts w:ascii="Arial" w:hAnsi="Arial" w:cs="Arial"/>
          <w:sz w:val="20"/>
        </w:rPr>
        <w:t xml:space="preserve"> Nominee</w:t>
      </w:r>
      <w:r w:rsidR="00C64DE0" w:rsidRPr="00F97360">
        <w:rPr>
          <w:rFonts w:ascii="Arial" w:hAnsi="Arial" w:cs="Arial"/>
          <w:sz w:val="20"/>
        </w:rPr>
        <w:t>)</w:t>
      </w:r>
      <w:bookmarkEnd w:id="277"/>
      <w:r w:rsidR="008526D9" w:rsidRPr="00F97360">
        <w:rPr>
          <w:rFonts w:ascii="Arial" w:hAnsi="Arial" w:cs="Arial"/>
          <w:sz w:val="20"/>
        </w:rPr>
        <w:t>.</w:t>
      </w:r>
      <w:r w:rsidR="00D46633" w:rsidRPr="00F97360">
        <w:rPr>
          <w:rFonts w:ascii="Arial" w:hAnsi="Arial" w:cs="Arial"/>
          <w:sz w:val="20"/>
        </w:rPr>
        <w:t xml:space="preserve"> No Participant shall have any interest in Shares until the time at which they are </w:t>
      </w:r>
      <w:r w:rsidR="00C70A2F" w:rsidRPr="00F97360">
        <w:rPr>
          <w:rFonts w:ascii="Arial" w:hAnsi="Arial" w:cs="Arial"/>
          <w:sz w:val="20"/>
        </w:rPr>
        <w:t>issued or</w:t>
      </w:r>
      <w:r w:rsidR="00D46633" w:rsidRPr="00F97360">
        <w:rPr>
          <w:rFonts w:ascii="Arial" w:hAnsi="Arial" w:cs="Arial"/>
          <w:sz w:val="20"/>
        </w:rPr>
        <w:t xml:space="preserve"> transferred to him.</w:t>
      </w:r>
    </w:p>
    <w:p w14:paraId="587B5C01" w14:textId="3A670D55" w:rsidR="00951D67" w:rsidRPr="00F97360" w:rsidRDefault="00951D67" w:rsidP="00951D67">
      <w:pPr>
        <w:pStyle w:val="Untitledsubclause1"/>
        <w:rPr>
          <w:rFonts w:ascii="Arial" w:hAnsi="Arial" w:cs="Arial"/>
          <w:sz w:val="20"/>
        </w:rPr>
      </w:pPr>
      <w:bookmarkStart w:id="280" w:name="a500185"/>
      <w:r w:rsidRPr="00F97360">
        <w:rPr>
          <w:rFonts w:ascii="Arial" w:hAnsi="Arial" w:cs="Arial"/>
          <w:sz w:val="20"/>
        </w:rPr>
        <w:t>Where the Company is prevented by any Dealing Restrictions from allotting and issuing, or procuring the transfer of Shares, it will allot and issue, or procure the transfer of, the relevant Shares as soon as reasonably practicable after such Dealing Restrictions cease to apply.</w:t>
      </w:r>
    </w:p>
    <w:p w14:paraId="01BB1F0D" w14:textId="6CEE520B" w:rsidR="00FA51DD" w:rsidRPr="00F97360" w:rsidRDefault="00FA51DD" w:rsidP="00FA51DD">
      <w:pPr>
        <w:pStyle w:val="Untitledsubclause1"/>
        <w:rPr>
          <w:rFonts w:ascii="Arial" w:hAnsi="Arial" w:cs="Arial"/>
          <w:sz w:val="20"/>
        </w:rPr>
      </w:pPr>
      <w:bookmarkStart w:id="281" w:name="a1031030"/>
      <w:bookmarkStart w:id="282" w:name="a853493"/>
      <w:bookmarkEnd w:id="280"/>
      <w:r w:rsidRPr="00F97360">
        <w:rPr>
          <w:rFonts w:ascii="Arial" w:hAnsi="Arial"/>
          <w:sz w:val="20"/>
        </w:rPr>
        <w:t xml:space="preserve">Shares allotted and issued in accordance with </w:t>
      </w:r>
      <w:r w:rsidRPr="00F97360">
        <w:rPr>
          <w:sz w:val="20"/>
        </w:rPr>
        <w:fldChar w:fldCharType="begin"/>
      </w:r>
      <w:r w:rsidRPr="00F97360">
        <w:rPr>
          <w:rFonts w:ascii="Arial" w:hAnsi="Arial"/>
          <w:sz w:val="20"/>
        </w:rPr>
        <w:instrText>PAGEREF a988388\# "'rule '"  \h</w:instrText>
      </w:r>
      <w:r w:rsidRPr="00F97360">
        <w:rPr>
          <w:sz w:val="20"/>
        </w:rPr>
      </w:r>
      <w:r w:rsidRPr="00F97360">
        <w:rPr>
          <w:sz w:val="20"/>
        </w:rPr>
        <w:fldChar w:fldCharType="separate"/>
      </w:r>
      <w:r w:rsidR="00710210" w:rsidRPr="00F97360">
        <w:rPr>
          <w:rFonts w:ascii="Arial" w:hAnsi="Arial"/>
          <w:sz w:val="20"/>
        </w:rPr>
        <w:t xml:space="preserve">rule </w:t>
      </w:r>
      <w:r w:rsidRPr="00F97360">
        <w:rPr>
          <w:sz w:val="20"/>
        </w:rPr>
        <w:fldChar w:fldCharType="end"/>
      </w:r>
      <w:r w:rsidRPr="00F97360">
        <w:rPr>
          <w:sz w:val="20"/>
        </w:rPr>
        <w:fldChar w:fldCharType="begin"/>
      </w:r>
      <w:r w:rsidRPr="00F97360">
        <w:rPr>
          <w:rFonts w:ascii="Arial" w:hAnsi="Arial"/>
          <w:sz w:val="20"/>
        </w:rPr>
        <w:instrText xml:space="preserve">REF a988388 \h \w \* MERGEFORMAT </w:instrText>
      </w:r>
      <w:r w:rsidRPr="00F97360">
        <w:rPr>
          <w:sz w:val="20"/>
        </w:rPr>
      </w:r>
      <w:r w:rsidRPr="00F97360">
        <w:rPr>
          <w:sz w:val="20"/>
        </w:rPr>
        <w:fldChar w:fldCharType="separate"/>
      </w:r>
      <w:r w:rsidR="00756F1B">
        <w:rPr>
          <w:rFonts w:ascii="Arial" w:hAnsi="Arial"/>
          <w:sz w:val="20"/>
        </w:rPr>
        <w:t>15.2</w:t>
      </w:r>
      <w:r w:rsidRPr="00F97360">
        <w:rPr>
          <w:sz w:val="20"/>
        </w:rPr>
        <w:fldChar w:fldCharType="end"/>
      </w:r>
      <w:r w:rsidRPr="00F97360">
        <w:rPr>
          <w:rFonts w:ascii="Arial" w:hAnsi="Arial"/>
          <w:sz w:val="20"/>
        </w:rPr>
        <w:t xml:space="preserve"> shall rank equally in all respects with the other shares of the same class in issue at the date of allotment, except for any restriction or any rights determined by reference to a date before the date of allotment.</w:t>
      </w:r>
    </w:p>
    <w:bookmarkEnd w:id="281"/>
    <w:p w14:paraId="02A2D619" w14:textId="777A3946" w:rsidR="00FA51DD" w:rsidRPr="00F97360" w:rsidRDefault="00FA51DD" w:rsidP="00FA51DD">
      <w:pPr>
        <w:pStyle w:val="Untitledsubclause1"/>
        <w:rPr>
          <w:rFonts w:ascii="Arial" w:hAnsi="Arial"/>
          <w:sz w:val="20"/>
        </w:rPr>
      </w:pPr>
      <w:r w:rsidRPr="00F97360">
        <w:rPr>
          <w:rFonts w:ascii="Arial" w:hAnsi="Arial"/>
          <w:sz w:val="20"/>
        </w:rPr>
        <w:t xml:space="preserve">Shares transferred in accordance with </w:t>
      </w:r>
      <w:r w:rsidRPr="00F97360">
        <w:rPr>
          <w:sz w:val="20"/>
        </w:rPr>
        <w:fldChar w:fldCharType="begin"/>
      </w:r>
      <w:r w:rsidRPr="00F97360">
        <w:rPr>
          <w:rFonts w:ascii="Arial" w:hAnsi="Arial"/>
          <w:sz w:val="20"/>
        </w:rPr>
        <w:instrText>PAGEREF a988388\# "'rule '"  \h</w:instrText>
      </w:r>
      <w:r w:rsidRPr="00F97360">
        <w:rPr>
          <w:sz w:val="20"/>
        </w:rPr>
      </w:r>
      <w:r w:rsidRPr="00F97360">
        <w:rPr>
          <w:sz w:val="20"/>
        </w:rPr>
        <w:fldChar w:fldCharType="separate"/>
      </w:r>
      <w:r w:rsidR="00710210" w:rsidRPr="00F97360">
        <w:rPr>
          <w:rFonts w:ascii="Arial" w:hAnsi="Arial"/>
          <w:sz w:val="20"/>
        </w:rPr>
        <w:t xml:space="preserve">rule </w:t>
      </w:r>
      <w:r w:rsidRPr="00F97360">
        <w:rPr>
          <w:sz w:val="20"/>
        </w:rPr>
        <w:fldChar w:fldCharType="end"/>
      </w:r>
      <w:r w:rsidRPr="00F97360">
        <w:rPr>
          <w:sz w:val="20"/>
        </w:rPr>
        <w:fldChar w:fldCharType="begin"/>
      </w:r>
      <w:r w:rsidRPr="00F97360">
        <w:rPr>
          <w:rFonts w:ascii="Arial" w:hAnsi="Arial"/>
          <w:sz w:val="20"/>
          <w:highlight w:val="lightGray"/>
        </w:rPr>
        <w:instrText>REF a988388 \h \w</w:instrText>
      </w:r>
      <w:r w:rsidRPr="00F97360">
        <w:rPr>
          <w:rFonts w:ascii="Arial" w:hAnsi="Arial"/>
          <w:sz w:val="20"/>
        </w:rPr>
        <w:instrText xml:space="preserve"> \* MERGEFORMAT </w:instrText>
      </w:r>
      <w:r w:rsidRPr="00F97360">
        <w:rPr>
          <w:sz w:val="20"/>
        </w:rPr>
      </w:r>
      <w:r w:rsidRPr="00F97360">
        <w:rPr>
          <w:sz w:val="20"/>
        </w:rPr>
        <w:fldChar w:fldCharType="separate"/>
      </w:r>
      <w:r w:rsidR="00756F1B">
        <w:rPr>
          <w:rFonts w:ascii="Arial" w:hAnsi="Arial"/>
          <w:sz w:val="20"/>
          <w:highlight w:val="lightGray"/>
        </w:rPr>
        <w:t>15.2</w:t>
      </w:r>
      <w:r w:rsidRPr="00F97360">
        <w:rPr>
          <w:sz w:val="20"/>
        </w:rPr>
        <w:fldChar w:fldCharType="end"/>
      </w:r>
      <w:r w:rsidRPr="00F97360">
        <w:rPr>
          <w:rFonts w:ascii="Arial" w:hAnsi="Arial"/>
          <w:sz w:val="20"/>
        </w:rPr>
        <w:t xml:space="preserve"> shall be transferred free of any lien, charge or other security interest (other than any restriction on the Shares stated in the Award Certificate), and with all rights attaching to them, other than any rights determined by reference to a date before the date of transfer.</w:t>
      </w:r>
    </w:p>
    <w:p w14:paraId="23781689" w14:textId="53AE3CF9" w:rsidR="007B4FB5" w:rsidRPr="00F97360" w:rsidRDefault="007B4FB5" w:rsidP="00F95028">
      <w:pPr>
        <w:pStyle w:val="Untitledsubclause1"/>
        <w:numPr>
          <w:ilvl w:val="1"/>
          <w:numId w:val="46"/>
        </w:numPr>
        <w:rPr>
          <w:rFonts w:ascii="Arial" w:hAnsi="Arial" w:cs="Arial"/>
          <w:sz w:val="20"/>
        </w:rPr>
      </w:pPr>
      <w:r w:rsidRPr="00F97360">
        <w:rPr>
          <w:rFonts w:ascii="Arial" w:hAnsi="Arial" w:cs="Arial"/>
          <w:sz w:val="20"/>
        </w:rPr>
        <w:t xml:space="preserve">If the Shares are </w:t>
      </w:r>
      <w:r w:rsidR="00446451" w:rsidRPr="00F97360">
        <w:rPr>
          <w:rFonts w:ascii="Arial" w:hAnsi="Arial" w:cs="Arial"/>
          <w:sz w:val="20"/>
        </w:rPr>
        <w:t>Listed</w:t>
      </w:r>
      <w:r w:rsidRPr="00F97360">
        <w:rPr>
          <w:rFonts w:ascii="Arial" w:hAnsi="Arial" w:cs="Arial"/>
          <w:sz w:val="20"/>
        </w:rPr>
        <w:t xml:space="preserve">, the Company shall apply to the appropriate body for any newly issued Shares allotted in accordance with </w:t>
      </w:r>
      <w:r w:rsidRPr="00F97360">
        <w:rPr>
          <w:rFonts w:ascii="Arial" w:hAnsi="Arial" w:cs="Arial"/>
          <w:sz w:val="20"/>
        </w:rPr>
        <w:fldChar w:fldCharType="begin"/>
      </w:r>
      <w:r w:rsidRPr="00F97360">
        <w:rPr>
          <w:rFonts w:ascii="Arial" w:hAnsi="Arial" w:cs="Arial"/>
          <w:sz w:val="20"/>
        </w:rPr>
        <w:instrText>PAGEREF a988388\# "'rule '"  \h</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 xml:space="preserve">rule </w:t>
      </w:r>
      <w:r w:rsidRPr="00F97360">
        <w:rPr>
          <w:rFonts w:ascii="Arial" w:hAnsi="Arial" w:cs="Arial"/>
          <w:sz w:val="20"/>
        </w:rPr>
        <w:fldChar w:fldCharType="end"/>
      </w:r>
      <w:r w:rsidRPr="00F97360">
        <w:rPr>
          <w:rFonts w:ascii="Arial" w:hAnsi="Arial" w:cs="Arial"/>
          <w:sz w:val="20"/>
        </w:rPr>
        <w:fldChar w:fldCharType="begin"/>
      </w:r>
      <w:r w:rsidRPr="00F97360">
        <w:rPr>
          <w:rFonts w:ascii="Arial" w:hAnsi="Arial" w:cs="Arial"/>
          <w:sz w:val="20"/>
        </w:rPr>
        <w:instrText>REF a988388 \h \w</w:instrText>
      </w:r>
      <w:r w:rsidR="0037270F"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56F1B">
        <w:rPr>
          <w:rFonts w:ascii="Arial" w:hAnsi="Arial" w:cs="Arial"/>
          <w:sz w:val="20"/>
        </w:rPr>
        <w:t>15.2</w:t>
      </w:r>
      <w:r w:rsidRPr="00F97360">
        <w:rPr>
          <w:rFonts w:ascii="Arial" w:hAnsi="Arial" w:cs="Arial"/>
          <w:sz w:val="20"/>
        </w:rPr>
        <w:fldChar w:fldCharType="end"/>
      </w:r>
      <w:r w:rsidRPr="00F97360">
        <w:rPr>
          <w:rFonts w:ascii="Arial" w:hAnsi="Arial" w:cs="Arial"/>
          <w:sz w:val="20"/>
        </w:rPr>
        <w:t xml:space="preserve"> to be listed or admitted to trading on that exchange.</w:t>
      </w:r>
      <w:bookmarkEnd w:id="282"/>
    </w:p>
    <w:p w14:paraId="56712E94" w14:textId="0EC62D95" w:rsidR="007B4FB5" w:rsidRPr="00F97360" w:rsidRDefault="00D8597D" w:rsidP="007B4FB5">
      <w:pPr>
        <w:pStyle w:val="Untitledsubclause1"/>
        <w:rPr>
          <w:rFonts w:ascii="Arial" w:hAnsi="Arial" w:cs="Arial"/>
          <w:sz w:val="20"/>
        </w:rPr>
      </w:pPr>
      <w:bookmarkStart w:id="283" w:name="a770920"/>
      <w:r w:rsidRPr="00F97360">
        <w:rPr>
          <w:rFonts w:ascii="Arial" w:hAnsi="Arial" w:cs="Arial"/>
          <w:sz w:val="20"/>
        </w:rPr>
        <w:t xml:space="preserve">Within 30 days after the valid exercise of a Phantom Option or the </w:t>
      </w:r>
      <w:r w:rsidR="00D44FC6" w:rsidRPr="00F97360">
        <w:rPr>
          <w:rFonts w:ascii="Arial" w:hAnsi="Arial" w:cs="Arial"/>
          <w:sz w:val="20"/>
        </w:rPr>
        <w:t>Vesting of</w:t>
      </w:r>
      <w:r w:rsidRPr="00F97360">
        <w:rPr>
          <w:rFonts w:ascii="Arial" w:hAnsi="Arial" w:cs="Arial"/>
          <w:sz w:val="20"/>
        </w:rPr>
        <w:t xml:space="preserve"> a Phantom Share Award, the Company shall pay (or procure the payment) to the Award Holder of the amount of cash due under the </w:t>
      </w:r>
      <w:r w:rsidR="00D67DB9" w:rsidRPr="00F97360">
        <w:rPr>
          <w:rFonts w:ascii="Arial" w:hAnsi="Arial" w:cs="Arial"/>
          <w:sz w:val="20"/>
        </w:rPr>
        <w:t>Award</w:t>
      </w:r>
      <w:r w:rsidRPr="00F97360">
        <w:rPr>
          <w:rFonts w:ascii="Arial" w:hAnsi="Arial" w:cs="Arial"/>
          <w:sz w:val="20"/>
        </w:rPr>
        <w:t xml:space="preserve">. The Company shall make such deductions from the payment as are required by law, including any withholding taxes, in accordance with </w:t>
      </w:r>
      <w:r w:rsidRPr="00F97360">
        <w:rPr>
          <w:rFonts w:ascii="Arial" w:hAnsi="Arial" w:cs="Arial"/>
          <w:sz w:val="20"/>
        </w:rPr>
        <w:fldChar w:fldCharType="begin"/>
      </w:r>
      <w:r w:rsidRPr="00F97360">
        <w:rPr>
          <w:rFonts w:ascii="Arial" w:hAnsi="Arial" w:cs="Arial"/>
          <w:sz w:val="20"/>
        </w:rPr>
        <w:instrText>PAGEREF a353805\# "'rule '"  \h</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 xml:space="preserve">rule </w:t>
      </w:r>
      <w:r w:rsidRPr="00F97360">
        <w:rPr>
          <w:rFonts w:ascii="Arial" w:hAnsi="Arial" w:cs="Arial"/>
          <w:sz w:val="20"/>
        </w:rPr>
        <w:fldChar w:fldCharType="end"/>
      </w:r>
      <w:r w:rsidRPr="00F97360">
        <w:rPr>
          <w:rFonts w:ascii="Arial" w:hAnsi="Arial" w:cs="Arial"/>
          <w:sz w:val="20"/>
        </w:rPr>
        <w:fldChar w:fldCharType="begin"/>
      </w:r>
      <w:r w:rsidRPr="00F97360">
        <w:rPr>
          <w:rFonts w:ascii="Arial" w:hAnsi="Arial" w:cs="Arial"/>
          <w:sz w:val="20"/>
          <w:highlight w:val="lightGray"/>
        </w:rPr>
        <w:instrText>REF a353805 \h \w</w:instrText>
      </w:r>
      <w:r w:rsidR="0037270F"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highlight w:val="lightGray"/>
        </w:rPr>
        <w:t>23</w:t>
      </w:r>
      <w:r w:rsidRPr="00F97360">
        <w:rPr>
          <w:rFonts w:ascii="Arial" w:hAnsi="Arial" w:cs="Arial"/>
          <w:sz w:val="20"/>
        </w:rPr>
        <w:fldChar w:fldCharType="end"/>
      </w:r>
      <w:r w:rsidRPr="00F97360">
        <w:rPr>
          <w:rFonts w:ascii="Arial" w:hAnsi="Arial" w:cs="Arial"/>
          <w:sz w:val="20"/>
        </w:rPr>
        <w:t>.</w:t>
      </w:r>
      <w:bookmarkEnd w:id="283"/>
    </w:p>
    <w:p w14:paraId="56712E95" w14:textId="77777777" w:rsidR="007B4FB5" w:rsidRPr="00F97360" w:rsidRDefault="00D8597D" w:rsidP="007B4FB5">
      <w:pPr>
        <w:pStyle w:val="TitleClause"/>
        <w:rPr>
          <w:rFonts w:ascii="Arial" w:hAnsi="Arial" w:cs="Arial"/>
          <w:sz w:val="20"/>
        </w:rPr>
      </w:pPr>
      <w:r w:rsidRPr="00F97360">
        <w:rPr>
          <w:rFonts w:ascii="Arial" w:hAnsi="Arial" w:cs="Arial"/>
          <w:sz w:val="20"/>
        </w:rPr>
        <w:lastRenderedPageBreak/>
        <w:fldChar w:fldCharType="begin"/>
      </w:r>
      <w:r w:rsidRPr="00F97360">
        <w:rPr>
          <w:rFonts w:ascii="Arial" w:hAnsi="Arial" w:cs="Arial"/>
          <w:sz w:val="20"/>
        </w:rPr>
        <w:instrText>TC "15. Holding Period" \l 1</w:instrText>
      </w:r>
      <w:r w:rsidRPr="00F97360">
        <w:rPr>
          <w:rFonts w:ascii="Arial" w:hAnsi="Arial" w:cs="Arial"/>
          <w:sz w:val="20"/>
        </w:rPr>
        <w:fldChar w:fldCharType="end"/>
      </w:r>
      <w:bookmarkStart w:id="284" w:name="a283933"/>
      <w:bookmarkStart w:id="285" w:name="_Toc105671028"/>
      <w:bookmarkStart w:id="286" w:name="_Toc103273402"/>
      <w:bookmarkStart w:id="287" w:name="_Toc145339785"/>
      <w:bookmarkStart w:id="288" w:name="_Toc131682135"/>
      <w:bookmarkStart w:id="289" w:name="_Toc161658069"/>
      <w:r w:rsidRPr="00F97360">
        <w:rPr>
          <w:rFonts w:ascii="Arial" w:hAnsi="Arial" w:cs="Arial"/>
          <w:sz w:val="20"/>
        </w:rPr>
        <w:t>Holding Period</w:t>
      </w:r>
      <w:bookmarkEnd w:id="284"/>
      <w:bookmarkEnd w:id="285"/>
      <w:bookmarkEnd w:id="286"/>
      <w:bookmarkEnd w:id="287"/>
      <w:bookmarkEnd w:id="288"/>
      <w:bookmarkEnd w:id="289"/>
    </w:p>
    <w:p w14:paraId="4F5D0115" w14:textId="1D699C76" w:rsidR="00BB318A" w:rsidRPr="00F97360" w:rsidRDefault="00BB318A" w:rsidP="00BB318A">
      <w:pPr>
        <w:pStyle w:val="Untitledsubclause1"/>
        <w:rPr>
          <w:rFonts w:ascii="Arial" w:hAnsi="Arial" w:cs="Arial"/>
          <w:sz w:val="20"/>
        </w:rPr>
      </w:pPr>
      <w:bookmarkStart w:id="290" w:name="a948263"/>
      <w:bookmarkStart w:id="291" w:name="a551211"/>
      <w:r w:rsidRPr="00F97360">
        <w:rPr>
          <w:rFonts w:ascii="Arial" w:hAnsi="Arial" w:cs="Arial"/>
          <w:sz w:val="20"/>
        </w:rPr>
        <w:t xml:space="preserve">If Shares are acquired by an Award Holder pursuant to an Award during a Holding Period, it is a </w:t>
      </w:r>
      <w:r w:rsidR="00794A5A" w:rsidRPr="00F97360">
        <w:rPr>
          <w:rFonts w:ascii="Arial" w:hAnsi="Arial" w:cs="Arial"/>
          <w:sz w:val="20"/>
        </w:rPr>
        <w:t>term</w:t>
      </w:r>
      <w:r w:rsidRPr="00F97360">
        <w:rPr>
          <w:rFonts w:ascii="Arial" w:hAnsi="Arial" w:cs="Arial"/>
          <w:sz w:val="20"/>
        </w:rPr>
        <w:t xml:space="preserve"> of the acquisition of those Shares that the Remuneration Committee may decide (at any time during the Holding Period) that:</w:t>
      </w:r>
    </w:p>
    <w:p w14:paraId="3DFF6E14" w14:textId="77777777" w:rsidR="00BB318A" w:rsidRPr="00F97360" w:rsidRDefault="00BB318A" w:rsidP="00F97360">
      <w:pPr>
        <w:pStyle w:val="Untitledsubclause2"/>
        <w:numPr>
          <w:ilvl w:val="2"/>
          <w:numId w:val="37"/>
        </w:numPr>
        <w:tabs>
          <w:tab w:val="clear" w:pos="1554"/>
          <w:tab w:val="num" w:pos="1985"/>
        </w:tabs>
        <w:ind w:left="1985"/>
        <w:rPr>
          <w:rFonts w:ascii="Arial" w:hAnsi="Arial" w:cs="Arial"/>
          <w:sz w:val="20"/>
        </w:rPr>
      </w:pPr>
      <w:r w:rsidRPr="00F97360">
        <w:rPr>
          <w:rFonts w:ascii="Arial" w:hAnsi="Arial" w:cs="Arial"/>
          <w:sz w:val="20"/>
        </w:rPr>
        <w:t>the share certificates representing the relevant Shares shall be retained by an officer of the Company during the Holding Period (and, if at the time of the Remuneration Committee’s decision, the Award Holder holds such share certificates, they will, within 21 days of receiving notice of the Remuneration Committee’s decision, deliver those certificates to an officer of the Company) and/or</w:t>
      </w:r>
    </w:p>
    <w:p w14:paraId="0B2EBAE1" w14:textId="77777777" w:rsidR="00BB318A" w:rsidRPr="00F97360" w:rsidRDefault="00BB318A" w:rsidP="00F97360">
      <w:pPr>
        <w:pStyle w:val="Untitledsubclause2"/>
        <w:numPr>
          <w:ilvl w:val="2"/>
          <w:numId w:val="37"/>
        </w:numPr>
        <w:tabs>
          <w:tab w:val="clear" w:pos="1554"/>
          <w:tab w:val="num" w:pos="1985"/>
        </w:tabs>
        <w:ind w:left="1985"/>
        <w:rPr>
          <w:rFonts w:ascii="Arial" w:hAnsi="Arial" w:cs="Arial"/>
          <w:sz w:val="20"/>
        </w:rPr>
      </w:pPr>
      <w:r w:rsidRPr="00F97360">
        <w:rPr>
          <w:rFonts w:ascii="Arial" w:hAnsi="Arial" w:cs="Arial"/>
          <w:sz w:val="20"/>
        </w:rPr>
        <w:t xml:space="preserve">the Shares shall be held in the name of the Award Holder’s Nominee </w:t>
      </w:r>
      <w:proofErr w:type="gramStart"/>
      <w:r w:rsidRPr="00F97360">
        <w:rPr>
          <w:rFonts w:ascii="Arial" w:hAnsi="Arial" w:cs="Arial"/>
          <w:sz w:val="20"/>
        </w:rPr>
        <w:t>on the basis of</w:t>
      </w:r>
      <w:proofErr w:type="gramEnd"/>
      <w:r w:rsidRPr="00F97360">
        <w:rPr>
          <w:rFonts w:ascii="Arial" w:hAnsi="Arial" w:cs="Arial"/>
          <w:sz w:val="20"/>
        </w:rPr>
        <w:t xml:space="preserve"> a Nominee Agreement, and if the Remuneration Committee does so decide:</w:t>
      </w:r>
    </w:p>
    <w:p w14:paraId="1AC3F367" w14:textId="77777777" w:rsidR="00BB318A" w:rsidRPr="00F97360" w:rsidRDefault="00BB318A" w:rsidP="00BB318A">
      <w:pPr>
        <w:pStyle w:val="Untitledsubclause3"/>
        <w:rPr>
          <w:rFonts w:ascii="Arial" w:hAnsi="Arial" w:cs="Arial"/>
          <w:sz w:val="20"/>
        </w:rPr>
      </w:pPr>
      <w:r w:rsidRPr="00F97360">
        <w:rPr>
          <w:rFonts w:ascii="Arial" w:hAnsi="Arial" w:cs="Arial"/>
          <w:sz w:val="20"/>
        </w:rPr>
        <w:t>the Award Holder agrees with the Company not to request their Nominee to transfer the Shares (including to the Award Holder themselves) during the Holding Period, save where required to fulfil an obligation under the rules of this Plan), and</w:t>
      </w:r>
    </w:p>
    <w:p w14:paraId="6A5D6997" w14:textId="77777777" w:rsidR="00BB318A" w:rsidRPr="00F97360" w:rsidRDefault="00BB318A" w:rsidP="00BB318A">
      <w:pPr>
        <w:pStyle w:val="Untitledsubclause3"/>
        <w:rPr>
          <w:rFonts w:ascii="Arial" w:hAnsi="Arial" w:cs="Arial"/>
          <w:sz w:val="20"/>
        </w:rPr>
      </w:pPr>
      <w:r w:rsidRPr="00F97360">
        <w:rPr>
          <w:rFonts w:ascii="Arial" w:hAnsi="Arial" w:cs="Arial"/>
          <w:sz w:val="20"/>
        </w:rPr>
        <w:t>if at the time of the Remuneration Committee’s decision:</w:t>
      </w:r>
    </w:p>
    <w:p w14:paraId="1CA8C862" w14:textId="29E539F4" w:rsidR="00BB318A" w:rsidRPr="00F97360" w:rsidRDefault="00BB318A" w:rsidP="00BB318A">
      <w:pPr>
        <w:pStyle w:val="Untitledsubclause4"/>
        <w:rPr>
          <w:rFonts w:ascii="Arial" w:hAnsi="Arial" w:cs="Arial"/>
          <w:sz w:val="20"/>
        </w:rPr>
      </w:pPr>
      <w:r w:rsidRPr="00F97360">
        <w:rPr>
          <w:rFonts w:ascii="Arial" w:hAnsi="Arial" w:cs="Arial"/>
          <w:sz w:val="20"/>
        </w:rPr>
        <w:t xml:space="preserve">the Shares </w:t>
      </w:r>
      <w:r w:rsidRPr="00F97360">
        <w:rPr>
          <w:rFonts w:ascii="Arial" w:hAnsi="Arial" w:cs="Arial"/>
          <w:sz w:val="20"/>
          <w:u w:val="single"/>
        </w:rPr>
        <w:t>have not</w:t>
      </w:r>
      <w:r w:rsidRPr="00F97360">
        <w:rPr>
          <w:rFonts w:ascii="Arial" w:hAnsi="Arial" w:cs="Arial"/>
          <w:sz w:val="20"/>
        </w:rPr>
        <w:t xml:space="preserve"> been </w:t>
      </w:r>
      <w:r w:rsidR="00C70A2F" w:rsidRPr="00F97360">
        <w:rPr>
          <w:rFonts w:ascii="Arial" w:hAnsi="Arial" w:cs="Arial"/>
          <w:sz w:val="20"/>
        </w:rPr>
        <w:t>issued or</w:t>
      </w:r>
      <w:r w:rsidRPr="00F97360">
        <w:rPr>
          <w:rFonts w:ascii="Arial" w:hAnsi="Arial" w:cs="Arial"/>
          <w:sz w:val="20"/>
        </w:rPr>
        <w:t xml:space="preserve"> transferred to the Award Holder, the Shares will be </w:t>
      </w:r>
      <w:r w:rsidR="00C70A2F" w:rsidRPr="00F97360">
        <w:rPr>
          <w:rFonts w:ascii="Arial" w:hAnsi="Arial" w:cs="Arial"/>
          <w:sz w:val="20"/>
        </w:rPr>
        <w:t>issued or</w:t>
      </w:r>
      <w:r w:rsidRPr="00F97360">
        <w:rPr>
          <w:rFonts w:ascii="Arial" w:hAnsi="Arial" w:cs="Arial"/>
          <w:sz w:val="20"/>
        </w:rPr>
        <w:t xml:space="preserve"> transferred to the Award Holder’s Nominee, and references in the relevant rules to the </w:t>
      </w:r>
      <w:r w:rsidR="00C70A2F" w:rsidRPr="00F97360">
        <w:rPr>
          <w:rFonts w:ascii="Arial" w:hAnsi="Arial" w:cs="Arial"/>
          <w:sz w:val="20"/>
        </w:rPr>
        <w:t>issue or</w:t>
      </w:r>
      <w:r w:rsidRPr="00F97360">
        <w:rPr>
          <w:rFonts w:ascii="Arial" w:hAnsi="Arial" w:cs="Arial"/>
          <w:sz w:val="20"/>
        </w:rPr>
        <w:t xml:space="preserve"> transfer of Shares to the Award Holder shall be construed as references to the </w:t>
      </w:r>
      <w:r w:rsidR="00C70A2F" w:rsidRPr="00F97360">
        <w:rPr>
          <w:rFonts w:ascii="Arial" w:hAnsi="Arial" w:cs="Arial"/>
          <w:sz w:val="20"/>
        </w:rPr>
        <w:t>issue or</w:t>
      </w:r>
      <w:r w:rsidRPr="00F97360">
        <w:rPr>
          <w:rFonts w:ascii="Arial" w:hAnsi="Arial" w:cs="Arial"/>
          <w:sz w:val="20"/>
        </w:rPr>
        <w:t xml:space="preserve"> transfer of Shares to the Nominee to be held on behalf of the Award Holder in accordance with the rules of this Plan and the relevant Nominee Agreement,</w:t>
      </w:r>
    </w:p>
    <w:p w14:paraId="121C1B1D" w14:textId="7A5EBE16" w:rsidR="00BB318A" w:rsidRPr="00F97360" w:rsidRDefault="00BB318A" w:rsidP="00BB318A">
      <w:pPr>
        <w:pStyle w:val="Untitledsubclause4"/>
        <w:rPr>
          <w:rFonts w:ascii="Arial" w:hAnsi="Arial" w:cs="Arial"/>
          <w:sz w:val="20"/>
        </w:rPr>
      </w:pPr>
      <w:r w:rsidRPr="00F97360">
        <w:rPr>
          <w:rFonts w:ascii="Arial" w:hAnsi="Arial" w:cs="Arial"/>
          <w:sz w:val="20"/>
        </w:rPr>
        <w:t xml:space="preserve">the Shares </w:t>
      </w:r>
      <w:r w:rsidRPr="00F97360">
        <w:rPr>
          <w:rFonts w:ascii="Arial" w:hAnsi="Arial" w:cs="Arial"/>
          <w:sz w:val="20"/>
          <w:u w:val="single"/>
        </w:rPr>
        <w:t>have</w:t>
      </w:r>
      <w:r w:rsidRPr="00F97360">
        <w:rPr>
          <w:rFonts w:ascii="Arial" w:hAnsi="Arial" w:cs="Arial"/>
          <w:sz w:val="20"/>
        </w:rPr>
        <w:t xml:space="preserve"> been </w:t>
      </w:r>
      <w:r w:rsidR="00C70A2F" w:rsidRPr="00F97360">
        <w:rPr>
          <w:rFonts w:ascii="Arial" w:hAnsi="Arial" w:cs="Arial"/>
          <w:sz w:val="20"/>
        </w:rPr>
        <w:t>issued or</w:t>
      </w:r>
      <w:r w:rsidRPr="00F97360">
        <w:rPr>
          <w:rFonts w:ascii="Arial" w:hAnsi="Arial" w:cs="Arial"/>
          <w:sz w:val="20"/>
        </w:rPr>
        <w:t xml:space="preserve"> transferred to the Award Holder, the Award Holder will, within 21 days of receiving notice of the Remuneration Committee’s decision, transfer such Shares to the Nominee.</w:t>
      </w:r>
    </w:p>
    <w:p w14:paraId="56712E97" w14:textId="4EA1CA21" w:rsidR="004C034D" w:rsidRPr="00F97360" w:rsidRDefault="00C221B5" w:rsidP="004C034D">
      <w:pPr>
        <w:pStyle w:val="Untitledsubclause1"/>
        <w:rPr>
          <w:rFonts w:ascii="Arial" w:hAnsi="Arial" w:cs="Arial"/>
          <w:sz w:val="20"/>
        </w:rPr>
      </w:pPr>
      <w:bookmarkStart w:id="292" w:name="_Ref104899046"/>
      <w:r w:rsidRPr="00F97360">
        <w:rPr>
          <w:rFonts w:ascii="Arial" w:hAnsi="Arial" w:cs="Arial"/>
          <w:sz w:val="20"/>
        </w:rPr>
        <w:t>During any applicable</w:t>
      </w:r>
      <w:r w:rsidR="00D8597D" w:rsidRPr="00F97360">
        <w:rPr>
          <w:rFonts w:ascii="Arial" w:hAnsi="Arial" w:cs="Arial"/>
          <w:sz w:val="20"/>
        </w:rPr>
        <w:t xml:space="preserve"> Holding Period, the Award Holder may not transfer, assign, charge or otherwise encumber or dispose of the</w:t>
      </w:r>
      <w:r w:rsidR="00571F78" w:rsidRPr="00F97360">
        <w:rPr>
          <w:rFonts w:ascii="Arial" w:hAnsi="Arial" w:cs="Arial"/>
          <w:sz w:val="20"/>
        </w:rPr>
        <w:t>ir</w:t>
      </w:r>
      <w:r w:rsidR="00634C6D" w:rsidRPr="00F97360">
        <w:rPr>
          <w:rFonts w:ascii="Arial" w:hAnsi="Arial" w:cs="Arial"/>
          <w:sz w:val="20"/>
        </w:rPr>
        <w:t xml:space="preserve"> legal or beneficial </w:t>
      </w:r>
      <w:r w:rsidR="00571F78" w:rsidRPr="00F97360">
        <w:rPr>
          <w:rFonts w:ascii="Arial" w:hAnsi="Arial" w:cs="Arial"/>
          <w:sz w:val="20"/>
        </w:rPr>
        <w:t xml:space="preserve">interest (or their </w:t>
      </w:r>
      <w:r w:rsidR="00D8597D" w:rsidRPr="00F97360">
        <w:rPr>
          <w:rFonts w:ascii="Arial" w:hAnsi="Arial" w:cs="Arial"/>
          <w:sz w:val="20"/>
        </w:rPr>
        <w:t>beneficial interest</w:t>
      </w:r>
      <w:r w:rsidR="00571F78" w:rsidRPr="00F97360">
        <w:rPr>
          <w:rFonts w:ascii="Arial" w:hAnsi="Arial" w:cs="Arial"/>
          <w:sz w:val="20"/>
        </w:rPr>
        <w:t xml:space="preserve"> where</w:t>
      </w:r>
      <w:r w:rsidR="00156BD3" w:rsidRPr="00F97360">
        <w:rPr>
          <w:rFonts w:ascii="Arial" w:hAnsi="Arial" w:cs="Arial"/>
          <w:sz w:val="20"/>
        </w:rPr>
        <w:t xml:space="preserve"> the Shares are held by a Nominee</w:t>
      </w:r>
      <w:r w:rsidR="00571F78" w:rsidRPr="00F97360">
        <w:rPr>
          <w:rFonts w:ascii="Arial" w:hAnsi="Arial" w:cs="Arial"/>
          <w:sz w:val="20"/>
        </w:rPr>
        <w:t xml:space="preserve">) </w:t>
      </w:r>
      <w:r w:rsidR="00D8597D" w:rsidRPr="00F97360">
        <w:rPr>
          <w:rFonts w:ascii="Arial" w:hAnsi="Arial" w:cs="Arial"/>
          <w:sz w:val="20"/>
        </w:rPr>
        <w:t xml:space="preserve">in Shares </w:t>
      </w:r>
      <w:r w:rsidR="00D44FC6" w:rsidRPr="00F97360">
        <w:rPr>
          <w:rFonts w:ascii="Arial" w:hAnsi="Arial" w:cs="Arial"/>
          <w:sz w:val="20"/>
        </w:rPr>
        <w:t>acquired</w:t>
      </w:r>
      <w:r w:rsidR="00D8597D" w:rsidRPr="00F97360">
        <w:rPr>
          <w:rFonts w:ascii="Arial" w:hAnsi="Arial" w:cs="Arial"/>
          <w:sz w:val="20"/>
        </w:rPr>
        <w:t xml:space="preserve"> under a Share-settled Award (together, the “</w:t>
      </w:r>
      <w:r w:rsidR="00D8597D" w:rsidRPr="00F97360">
        <w:rPr>
          <w:rFonts w:ascii="Arial" w:hAnsi="Arial" w:cs="Arial"/>
          <w:b/>
          <w:bCs/>
          <w:sz w:val="20"/>
        </w:rPr>
        <w:t>Held Shares</w:t>
      </w:r>
      <w:r w:rsidR="00D8597D" w:rsidRPr="00F97360">
        <w:rPr>
          <w:rFonts w:ascii="Arial" w:hAnsi="Arial" w:cs="Arial"/>
          <w:sz w:val="20"/>
        </w:rPr>
        <w:t>”)</w:t>
      </w:r>
      <w:r w:rsidR="0028081B" w:rsidRPr="00F97360">
        <w:rPr>
          <w:rFonts w:ascii="Arial" w:hAnsi="Arial" w:cs="Arial"/>
          <w:sz w:val="20"/>
        </w:rPr>
        <w:t xml:space="preserve"> </w:t>
      </w:r>
      <w:r w:rsidR="00D8597D" w:rsidRPr="00F97360">
        <w:rPr>
          <w:rFonts w:ascii="Arial" w:hAnsi="Arial" w:cs="Arial"/>
          <w:sz w:val="20"/>
        </w:rPr>
        <w:t>except:</w:t>
      </w:r>
      <w:bookmarkEnd w:id="290"/>
      <w:bookmarkEnd w:id="292"/>
    </w:p>
    <w:p w14:paraId="56712E99" w14:textId="49C94986" w:rsidR="004C034D" w:rsidRPr="00F97360" w:rsidRDefault="00D8597D" w:rsidP="00F97360">
      <w:pPr>
        <w:pStyle w:val="Untitledsubclause2"/>
        <w:tabs>
          <w:tab w:val="clear" w:pos="1554"/>
          <w:tab w:val="num" w:pos="1985"/>
        </w:tabs>
        <w:ind w:left="1985"/>
        <w:rPr>
          <w:rFonts w:ascii="Arial" w:hAnsi="Arial" w:cs="Arial"/>
          <w:sz w:val="20"/>
        </w:rPr>
      </w:pPr>
      <w:bookmarkStart w:id="293" w:name="a901492"/>
      <w:r w:rsidRPr="00F97360">
        <w:rPr>
          <w:rFonts w:ascii="Arial" w:hAnsi="Arial" w:cs="Arial"/>
          <w:sz w:val="20"/>
        </w:rPr>
        <w:t xml:space="preserve">in order to raise sufficient funds to pay a Tax Liability in relation to the Held </w:t>
      </w:r>
      <w:proofErr w:type="gramStart"/>
      <w:r w:rsidRPr="00F97360">
        <w:rPr>
          <w:rFonts w:ascii="Arial" w:hAnsi="Arial" w:cs="Arial"/>
          <w:sz w:val="20"/>
        </w:rPr>
        <w:t>Shares</w:t>
      </w:r>
      <w:bookmarkEnd w:id="293"/>
      <w:r w:rsidR="00E132E8" w:rsidRPr="00F97360">
        <w:rPr>
          <w:rFonts w:ascii="Arial" w:hAnsi="Arial" w:cs="Arial"/>
          <w:sz w:val="20"/>
        </w:rPr>
        <w:t>;</w:t>
      </w:r>
      <w:proofErr w:type="gramEnd"/>
    </w:p>
    <w:p w14:paraId="4E8F9F26" w14:textId="1F06CB64" w:rsidR="00E132E8" w:rsidRPr="00F97360" w:rsidRDefault="00107C38" w:rsidP="00F97360">
      <w:pPr>
        <w:pStyle w:val="Untitledsubclause2"/>
        <w:tabs>
          <w:tab w:val="clear" w:pos="1554"/>
          <w:tab w:val="num" w:pos="1985"/>
        </w:tabs>
        <w:ind w:left="1985"/>
        <w:rPr>
          <w:rFonts w:ascii="Arial" w:hAnsi="Arial" w:cs="Arial"/>
          <w:sz w:val="20"/>
        </w:rPr>
      </w:pPr>
      <w:bookmarkStart w:id="294" w:name="a143119"/>
      <w:r w:rsidRPr="00F97360">
        <w:rPr>
          <w:rFonts w:ascii="Arial" w:hAnsi="Arial" w:cs="Arial"/>
          <w:sz w:val="20"/>
        </w:rPr>
        <w:t xml:space="preserve">to the extent </w:t>
      </w:r>
      <w:r w:rsidR="00B61415" w:rsidRPr="00F97360">
        <w:rPr>
          <w:rFonts w:ascii="Arial" w:hAnsi="Arial" w:cs="Arial"/>
          <w:sz w:val="20"/>
        </w:rPr>
        <w:t xml:space="preserve">necessary </w:t>
      </w:r>
      <w:r w:rsidRPr="00F97360">
        <w:rPr>
          <w:rFonts w:ascii="Arial" w:hAnsi="Arial" w:cs="Arial"/>
          <w:sz w:val="20"/>
        </w:rPr>
        <w:t xml:space="preserve">to comply with </w:t>
      </w:r>
      <w:r w:rsidR="00D8597D" w:rsidRPr="00F97360">
        <w:rPr>
          <w:rFonts w:ascii="Arial" w:hAnsi="Arial" w:cs="Arial"/>
          <w:sz w:val="20"/>
        </w:rPr>
        <w:fldChar w:fldCharType="begin"/>
      </w:r>
      <w:r w:rsidR="00D8597D" w:rsidRPr="00F97360">
        <w:rPr>
          <w:rFonts w:ascii="Arial" w:hAnsi="Arial" w:cs="Arial"/>
          <w:sz w:val="20"/>
        </w:rPr>
        <w:instrText>PAGEREF a391918\# "'rule '"  \h</w:instrText>
      </w:r>
      <w:r w:rsidR="00D8597D" w:rsidRPr="00F97360">
        <w:rPr>
          <w:rFonts w:ascii="Arial" w:hAnsi="Arial" w:cs="Arial"/>
          <w:sz w:val="20"/>
        </w:rPr>
      </w:r>
      <w:r w:rsidR="00D8597D" w:rsidRPr="00F97360">
        <w:rPr>
          <w:rFonts w:ascii="Arial" w:hAnsi="Arial" w:cs="Arial"/>
          <w:sz w:val="20"/>
        </w:rPr>
        <w:fldChar w:fldCharType="separate"/>
      </w:r>
      <w:r w:rsidR="00710210" w:rsidRPr="00F97360">
        <w:rPr>
          <w:rFonts w:ascii="Arial" w:hAnsi="Arial" w:cs="Arial"/>
          <w:sz w:val="20"/>
        </w:rPr>
        <w:t xml:space="preserve">rule </w:t>
      </w:r>
      <w:r w:rsidR="00D8597D" w:rsidRPr="00F97360">
        <w:rPr>
          <w:rFonts w:ascii="Arial" w:hAnsi="Arial" w:cs="Arial"/>
          <w:sz w:val="20"/>
        </w:rPr>
        <w:fldChar w:fldCharType="end"/>
      </w:r>
      <w:r w:rsidR="00D8597D" w:rsidRPr="00F97360">
        <w:rPr>
          <w:rFonts w:ascii="Arial" w:hAnsi="Arial" w:cs="Arial"/>
          <w:sz w:val="20"/>
        </w:rPr>
        <w:fldChar w:fldCharType="begin"/>
      </w:r>
      <w:r w:rsidR="00D8597D" w:rsidRPr="00F97360">
        <w:rPr>
          <w:rFonts w:ascii="Arial" w:hAnsi="Arial" w:cs="Arial"/>
          <w:sz w:val="20"/>
          <w:highlight w:val="lightGray"/>
        </w:rPr>
        <w:instrText>REF a391918 \h \w</w:instrText>
      </w:r>
      <w:r w:rsidR="0037270F" w:rsidRPr="00F97360">
        <w:rPr>
          <w:rFonts w:ascii="Arial" w:hAnsi="Arial" w:cs="Arial"/>
          <w:sz w:val="20"/>
        </w:rPr>
        <w:instrText xml:space="preserve"> \* MERGEFORMAT </w:instrText>
      </w:r>
      <w:r w:rsidR="00D8597D" w:rsidRPr="00F97360">
        <w:rPr>
          <w:rFonts w:ascii="Arial" w:hAnsi="Arial" w:cs="Arial"/>
          <w:sz w:val="20"/>
        </w:rPr>
      </w:r>
      <w:r w:rsidR="00D8597D" w:rsidRPr="00F97360">
        <w:rPr>
          <w:rFonts w:ascii="Arial" w:hAnsi="Arial" w:cs="Arial"/>
          <w:sz w:val="20"/>
        </w:rPr>
        <w:fldChar w:fldCharType="separate"/>
      </w:r>
      <w:r w:rsidR="00710210" w:rsidRPr="00F97360">
        <w:rPr>
          <w:rFonts w:ascii="Arial" w:hAnsi="Arial" w:cs="Arial"/>
          <w:sz w:val="20"/>
          <w:highlight w:val="lightGray"/>
        </w:rPr>
        <w:t>12</w:t>
      </w:r>
      <w:r w:rsidR="00D8597D" w:rsidRPr="00F97360">
        <w:rPr>
          <w:rFonts w:ascii="Arial" w:hAnsi="Arial" w:cs="Arial"/>
          <w:sz w:val="20"/>
        </w:rPr>
        <w:fldChar w:fldCharType="end"/>
      </w:r>
      <w:r w:rsidR="00ED2059" w:rsidRPr="00F97360">
        <w:rPr>
          <w:rFonts w:ascii="Arial" w:hAnsi="Arial" w:cs="Arial"/>
          <w:sz w:val="20"/>
        </w:rPr>
        <w:t xml:space="preserve"> or</w:t>
      </w:r>
      <w:r w:rsidR="00D8597D" w:rsidRPr="00F97360">
        <w:rPr>
          <w:rFonts w:ascii="Arial" w:hAnsi="Arial" w:cs="Arial"/>
          <w:sz w:val="20"/>
        </w:rPr>
        <w:t xml:space="preserve"> </w:t>
      </w:r>
      <w:r w:rsidR="00D8597D" w:rsidRPr="00F97360">
        <w:rPr>
          <w:rFonts w:ascii="Arial" w:hAnsi="Arial" w:cs="Arial"/>
          <w:sz w:val="20"/>
        </w:rPr>
        <w:fldChar w:fldCharType="begin"/>
      </w:r>
      <w:r w:rsidR="00D8597D" w:rsidRPr="00F97360">
        <w:rPr>
          <w:rFonts w:ascii="Arial" w:hAnsi="Arial" w:cs="Arial"/>
          <w:sz w:val="20"/>
        </w:rPr>
        <w:instrText>PAGEREF a1037750\# "'rule '"  \h</w:instrText>
      </w:r>
      <w:r w:rsidR="00D8597D" w:rsidRPr="00F97360">
        <w:rPr>
          <w:rFonts w:ascii="Arial" w:hAnsi="Arial" w:cs="Arial"/>
          <w:sz w:val="20"/>
        </w:rPr>
      </w:r>
      <w:r w:rsidR="00D8597D" w:rsidRPr="00F97360">
        <w:rPr>
          <w:rFonts w:ascii="Arial" w:hAnsi="Arial" w:cs="Arial"/>
          <w:sz w:val="20"/>
        </w:rPr>
        <w:fldChar w:fldCharType="separate"/>
      </w:r>
      <w:r w:rsidR="00710210" w:rsidRPr="00F97360">
        <w:rPr>
          <w:rFonts w:ascii="Arial" w:hAnsi="Arial" w:cs="Arial"/>
          <w:sz w:val="20"/>
        </w:rPr>
        <w:t xml:space="preserve">rule </w:t>
      </w:r>
      <w:r w:rsidR="00D8597D" w:rsidRPr="00F97360">
        <w:rPr>
          <w:rFonts w:ascii="Arial" w:hAnsi="Arial" w:cs="Arial"/>
          <w:sz w:val="20"/>
        </w:rPr>
        <w:fldChar w:fldCharType="end"/>
      </w:r>
      <w:r w:rsidR="00D8597D" w:rsidRPr="00F97360">
        <w:rPr>
          <w:rFonts w:ascii="Arial" w:hAnsi="Arial" w:cs="Arial"/>
          <w:sz w:val="20"/>
        </w:rPr>
        <w:fldChar w:fldCharType="begin"/>
      </w:r>
      <w:r w:rsidR="00D8597D" w:rsidRPr="00F97360">
        <w:rPr>
          <w:rFonts w:ascii="Arial" w:hAnsi="Arial" w:cs="Arial"/>
          <w:sz w:val="20"/>
          <w:highlight w:val="lightGray"/>
        </w:rPr>
        <w:instrText>REF a1037750 \h \w</w:instrText>
      </w:r>
      <w:r w:rsidR="0037270F" w:rsidRPr="00F97360">
        <w:rPr>
          <w:rFonts w:ascii="Arial" w:hAnsi="Arial" w:cs="Arial"/>
          <w:sz w:val="20"/>
        </w:rPr>
        <w:instrText xml:space="preserve"> \* MERGEFORMAT </w:instrText>
      </w:r>
      <w:r w:rsidR="00D8597D" w:rsidRPr="00F97360">
        <w:rPr>
          <w:rFonts w:ascii="Arial" w:hAnsi="Arial" w:cs="Arial"/>
          <w:sz w:val="20"/>
        </w:rPr>
      </w:r>
      <w:r w:rsidR="00D8597D" w:rsidRPr="00F97360">
        <w:rPr>
          <w:rFonts w:ascii="Arial" w:hAnsi="Arial" w:cs="Arial"/>
          <w:sz w:val="20"/>
        </w:rPr>
        <w:fldChar w:fldCharType="separate"/>
      </w:r>
      <w:r w:rsidR="00710210" w:rsidRPr="00F97360">
        <w:rPr>
          <w:rFonts w:ascii="Arial" w:hAnsi="Arial" w:cs="Arial"/>
          <w:sz w:val="20"/>
          <w:highlight w:val="lightGray"/>
        </w:rPr>
        <w:t>21</w:t>
      </w:r>
      <w:r w:rsidR="00D8597D" w:rsidRPr="00F97360">
        <w:rPr>
          <w:rFonts w:ascii="Arial" w:hAnsi="Arial" w:cs="Arial"/>
          <w:sz w:val="20"/>
        </w:rPr>
        <w:fldChar w:fldCharType="end"/>
      </w:r>
      <w:r w:rsidR="00E132E8" w:rsidRPr="00F97360">
        <w:rPr>
          <w:rFonts w:ascii="Arial" w:hAnsi="Arial" w:cs="Arial"/>
          <w:sz w:val="20"/>
        </w:rPr>
        <w:t>,</w:t>
      </w:r>
      <w:bookmarkStart w:id="295" w:name="a471649"/>
      <w:bookmarkEnd w:id="294"/>
      <w:r w:rsidR="00E132E8" w:rsidRPr="00F97360">
        <w:rPr>
          <w:rFonts w:ascii="Arial" w:hAnsi="Arial" w:cs="Arial"/>
          <w:sz w:val="20"/>
        </w:rPr>
        <w:t xml:space="preserve"> or</w:t>
      </w:r>
    </w:p>
    <w:p w14:paraId="4E94D2AB" w14:textId="5A34D427" w:rsidR="00E132E8" w:rsidRPr="00F97360" w:rsidRDefault="00E132E8" w:rsidP="00F97360">
      <w:pPr>
        <w:pStyle w:val="Untitledsubclause2"/>
        <w:tabs>
          <w:tab w:val="clear" w:pos="1554"/>
          <w:tab w:val="num" w:pos="1985"/>
        </w:tabs>
        <w:ind w:left="1985"/>
        <w:rPr>
          <w:rFonts w:ascii="Arial" w:hAnsi="Arial" w:cs="Arial"/>
          <w:sz w:val="20"/>
        </w:rPr>
      </w:pPr>
      <w:r w:rsidRPr="00F97360">
        <w:rPr>
          <w:rFonts w:ascii="Arial" w:hAnsi="Arial" w:cs="Arial"/>
          <w:sz w:val="20"/>
        </w:rPr>
        <w:t>with the permission of the Remuneration Committee</w:t>
      </w:r>
      <w:bookmarkEnd w:id="295"/>
      <w:r w:rsidRPr="00F97360">
        <w:rPr>
          <w:rFonts w:ascii="Arial" w:hAnsi="Arial" w:cs="Arial"/>
          <w:sz w:val="20"/>
        </w:rPr>
        <w:t>.</w:t>
      </w:r>
    </w:p>
    <w:p w14:paraId="56712E9B" w14:textId="656E7D40" w:rsidR="004C034D" w:rsidRPr="00F97360" w:rsidRDefault="00D8597D" w:rsidP="004C034D">
      <w:pPr>
        <w:pStyle w:val="Untitledsubclause1"/>
        <w:rPr>
          <w:rFonts w:ascii="Arial" w:hAnsi="Arial" w:cs="Arial"/>
          <w:sz w:val="20"/>
        </w:rPr>
      </w:pPr>
      <w:bookmarkStart w:id="296" w:name="a920485"/>
      <w:r w:rsidRPr="00F97360">
        <w:rPr>
          <w:rFonts w:ascii="Arial" w:hAnsi="Arial" w:cs="Arial"/>
          <w:sz w:val="20"/>
        </w:rPr>
        <w:t>An Award Holder who</w:t>
      </w:r>
      <w:r w:rsidR="005A2B7F" w:rsidRPr="00F97360">
        <w:rPr>
          <w:rFonts w:ascii="Arial" w:hAnsi="Arial" w:cs="Arial"/>
          <w:sz w:val="20"/>
        </w:rPr>
        <w:t xml:space="preserve"> breaches or </w:t>
      </w:r>
      <w:r w:rsidRPr="00F97360">
        <w:rPr>
          <w:rFonts w:ascii="Arial" w:hAnsi="Arial" w:cs="Arial"/>
          <w:sz w:val="20"/>
        </w:rPr>
        <w:t xml:space="preserve">attempts to </w:t>
      </w:r>
      <w:r w:rsidR="005A2B7F" w:rsidRPr="00F97360">
        <w:rPr>
          <w:rFonts w:ascii="Arial" w:hAnsi="Arial" w:cs="Arial"/>
          <w:sz w:val="20"/>
        </w:rPr>
        <w:t xml:space="preserve">breach </w:t>
      </w:r>
      <w:r w:rsidR="009128DE" w:rsidRPr="00F97360">
        <w:rPr>
          <w:rFonts w:ascii="Arial" w:hAnsi="Arial" w:cs="Arial"/>
          <w:sz w:val="20"/>
        </w:rPr>
        <w:t xml:space="preserve">rule </w:t>
      </w:r>
      <w:r w:rsidR="009128DE" w:rsidRPr="00F97360">
        <w:rPr>
          <w:rFonts w:ascii="Arial" w:hAnsi="Arial" w:cs="Arial"/>
          <w:sz w:val="20"/>
        </w:rPr>
        <w:fldChar w:fldCharType="begin"/>
      </w:r>
      <w:r w:rsidR="009128DE" w:rsidRPr="00F97360">
        <w:rPr>
          <w:rFonts w:ascii="Arial" w:hAnsi="Arial" w:cs="Arial"/>
          <w:sz w:val="20"/>
        </w:rPr>
        <w:instrText xml:space="preserve"> REF _Ref104899046 \r \h </w:instrText>
      </w:r>
      <w:r w:rsidR="004C1A6B" w:rsidRPr="00F97360">
        <w:rPr>
          <w:rFonts w:ascii="Arial" w:hAnsi="Arial" w:cs="Arial"/>
          <w:sz w:val="20"/>
        </w:rPr>
        <w:instrText xml:space="preserve"> \* MERGEFORMAT </w:instrText>
      </w:r>
      <w:r w:rsidR="009128DE" w:rsidRPr="00F97360">
        <w:rPr>
          <w:rFonts w:ascii="Arial" w:hAnsi="Arial" w:cs="Arial"/>
          <w:sz w:val="20"/>
        </w:rPr>
      </w:r>
      <w:r w:rsidR="009128DE" w:rsidRPr="00F97360">
        <w:rPr>
          <w:rFonts w:ascii="Arial" w:hAnsi="Arial" w:cs="Arial"/>
          <w:sz w:val="20"/>
        </w:rPr>
        <w:fldChar w:fldCharType="separate"/>
      </w:r>
      <w:r w:rsidR="00710210" w:rsidRPr="00F97360">
        <w:rPr>
          <w:rFonts w:ascii="Arial" w:hAnsi="Arial" w:cs="Arial"/>
          <w:sz w:val="20"/>
        </w:rPr>
        <w:t>16.2</w:t>
      </w:r>
      <w:r w:rsidR="009128DE" w:rsidRPr="00F97360">
        <w:rPr>
          <w:rFonts w:ascii="Arial" w:hAnsi="Arial" w:cs="Arial"/>
          <w:sz w:val="20"/>
        </w:rPr>
        <w:fldChar w:fldCharType="end"/>
      </w:r>
      <w:r w:rsidR="009128DE" w:rsidRPr="00F97360">
        <w:rPr>
          <w:rFonts w:ascii="Arial" w:hAnsi="Arial" w:cs="Arial"/>
          <w:sz w:val="20"/>
        </w:rPr>
        <w:t xml:space="preserve"> </w:t>
      </w:r>
      <w:r w:rsidRPr="00F97360">
        <w:rPr>
          <w:rFonts w:ascii="Arial" w:hAnsi="Arial" w:cs="Arial"/>
          <w:sz w:val="20"/>
        </w:rPr>
        <w:t>shall</w:t>
      </w:r>
      <w:r w:rsidR="00220CB3" w:rsidRPr="00F97360">
        <w:rPr>
          <w:rFonts w:ascii="Arial" w:hAnsi="Arial" w:cs="Arial"/>
          <w:sz w:val="20"/>
        </w:rPr>
        <w:t xml:space="preserve">, unless the Committee determines otherwise, </w:t>
      </w:r>
      <w:r w:rsidR="0070763B" w:rsidRPr="00F97360">
        <w:rPr>
          <w:rFonts w:ascii="Arial" w:hAnsi="Arial" w:cs="Arial"/>
          <w:sz w:val="20"/>
        </w:rPr>
        <w:t xml:space="preserve">immediately </w:t>
      </w:r>
      <w:r w:rsidRPr="00F97360">
        <w:rPr>
          <w:rFonts w:ascii="Arial" w:hAnsi="Arial" w:cs="Arial"/>
          <w:sz w:val="20"/>
        </w:rPr>
        <w:t>forfeit for no consideration all interest in the Held Shares.</w:t>
      </w:r>
      <w:bookmarkEnd w:id="296"/>
      <w:r w:rsidRPr="00F97360">
        <w:rPr>
          <w:rFonts w:ascii="Arial" w:hAnsi="Arial" w:cs="Arial"/>
          <w:sz w:val="20"/>
        </w:rPr>
        <w:t xml:space="preserve"> The </w:t>
      </w:r>
      <w:r w:rsidR="00446451" w:rsidRPr="00F97360">
        <w:rPr>
          <w:rFonts w:ascii="Arial" w:hAnsi="Arial" w:cs="Arial"/>
          <w:sz w:val="20"/>
        </w:rPr>
        <w:lastRenderedPageBreak/>
        <w:t>expression</w:t>
      </w:r>
      <w:r w:rsidRPr="00F97360">
        <w:rPr>
          <w:rFonts w:ascii="Arial" w:hAnsi="Arial" w:cs="Arial"/>
          <w:sz w:val="20"/>
        </w:rPr>
        <w:t xml:space="preserve"> "forfeit" (in this rule and wherever</w:t>
      </w:r>
      <w:r w:rsidR="00446451" w:rsidRPr="00F97360">
        <w:rPr>
          <w:rFonts w:ascii="Arial" w:hAnsi="Arial" w:cs="Arial"/>
          <w:sz w:val="20"/>
        </w:rPr>
        <w:t xml:space="preserve"> else</w:t>
      </w:r>
      <w:r w:rsidRPr="00F97360">
        <w:rPr>
          <w:rFonts w:ascii="Arial" w:hAnsi="Arial" w:cs="Arial"/>
          <w:sz w:val="20"/>
        </w:rPr>
        <w:t xml:space="preserve"> used in the</w:t>
      </w:r>
      <w:r w:rsidR="00446451" w:rsidRPr="00F97360">
        <w:rPr>
          <w:rFonts w:ascii="Arial" w:hAnsi="Arial" w:cs="Arial"/>
          <w:sz w:val="20"/>
        </w:rPr>
        <w:t>se</w:t>
      </w:r>
      <w:r w:rsidRPr="00F97360">
        <w:rPr>
          <w:rFonts w:ascii="Arial" w:hAnsi="Arial" w:cs="Arial"/>
          <w:sz w:val="20"/>
        </w:rPr>
        <w:t xml:space="preserve"> rules) mean</w:t>
      </w:r>
      <w:r w:rsidR="00446451" w:rsidRPr="00F97360">
        <w:rPr>
          <w:rFonts w:ascii="Arial" w:hAnsi="Arial" w:cs="Arial"/>
          <w:sz w:val="20"/>
        </w:rPr>
        <w:t>s</w:t>
      </w:r>
      <w:r w:rsidRPr="00F97360">
        <w:rPr>
          <w:rFonts w:ascii="Arial" w:hAnsi="Arial" w:cs="Arial"/>
          <w:sz w:val="20"/>
        </w:rPr>
        <w:t xml:space="preserve"> that the Award Holder's beneficial interest in the Held Shares ceases to exist.</w:t>
      </w:r>
    </w:p>
    <w:bookmarkEnd w:id="291"/>
    <w:p w14:paraId="56712E9E" w14:textId="7258A78E" w:rsidR="007B4FB5" w:rsidRPr="00F97360" w:rsidRDefault="00D8597D" w:rsidP="007B4FB5">
      <w:pPr>
        <w:pStyle w:val="TitleClause"/>
        <w:rPr>
          <w:rFonts w:ascii="Arial" w:hAnsi="Arial" w:cs="Arial"/>
          <w:sz w:val="20"/>
        </w:rPr>
      </w:pPr>
      <w:r w:rsidRPr="00F97360">
        <w:rPr>
          <w:rFonts w:ascii="Arial" w:hAnsi="Arial" w:cs="Arial"/>
          <w:sz w:val="20"/>
        </w:rPr>
        <w:fldChar w:fldCharType="begin"/>
      </w:r>
      <w:r w:rsidRPr="00F97360">
        <w:rPr>
          <w:rFonts w:ascii="Arial" w:hAnsi="Arial" w:cs="Arial"/>
          <w:sz w:val="20"/>
        </w:rPr>
        <w:instrText>TC "16. Alternative methods of settlement of Awards" \l 1</w:instrText>
      </w:r>
      <w:r w:rsidRPr="00F97360">
        <w:rPr>
          <w:rFonts w:ascii="Arial" w:hAnsi="Arial" w:cs="Arial"/>
          <w:sz w:val="20"/>
        </w:rPr>
        <w:fldChar w:fldCharType="end"/>
      </w:r>
      <w:bookmarkStart w:id="297" w:name="a309757"/>
      <w:bookmarkStart w:id="298" w:name="_Toc105671029"/>
      <w:bookmarkStart w:id="299" w:name="_Toc103273403"/>
      <w:bookmarkStart w:id="300" w:name="_Toc145339786"/>
      <w:bookmarkStart w:id="301" w:name="_Toc131682136"/>
      <w:bookmarkStart w:id="302" w:name="_Toc161658070"/>
      <w:r w:rsidRPr="00F97360">
        <w:rPr>
          <w:rFonts w:ascii="Arial" w:hAnsi="Arial" w:cs="Arial"/>
          <w:sz w:val="20"/>
        </w:rPr>
        <w:t xml:space="preserve">Alternative methods of settlement of </w:t>
      </w:r>
      <w:r w:rsidR="00D67DB9" w:rsidRPr="00F97360">
        <w:rPr>
          <w:rFonts w:ascii="Arial" w:hAnsi="Arial" w:cs="Arial"/>
          <w:sz w:val="20"/>
        </w:rPr>
        <w:t>Award</w:t>
      </w:r>
      <w:r w:rsidR="00D62C51" w:rsidRPr="00F97360">
        <w:rPr>
          <w:rFonts w:ascii="Arial" w:hAnsi="Arial" w:cs="Arial"/>
          <w:sz w:val="20"/>
        </w:rPr>
        <w:t>s</w:t>
      </w:r>
      <w:bookmarkEnd w:id="297"/>
      <w:bookmarkEnd w:id="298"/>
      <w:bookmarkEnd w:id="299"/>
      <w:bookmarkEnd w:id="300"/>
      <w:bookmarkEnd w:id="301"/>
      <w:bookmarkEnd w:id="302"/>
    </w:p>
    <w:p w14:paraId="56712E9F" w14:textId="5FEC4ACF" w:rsidR="00995A2D" w:rsidRPr="00F97360" w:rsidRDefault="007B4FB5" w:rsidP="00174EDE">
      <w:pPr>
        <w:pStyle w:val="Untitledsubclause1"/>
        <w:numPr>
          <w:ilvl w:val="0"/>
          <w:numId w:val="0"/>
        </w:numPr>
        <w:ind w:left="720"/>
        <w:rPr>
          <w:rFonts w:ascii="Arial" w:hAnsi="Arial" w:cs="Arial"/>
          <w:sz w:val="20"/>
        </w:rPr>
      </w:pPr>
      <w:bookmarkStart w:id="303" w:name="a141065"/>
      <w:r w:rsidRPr="00F97360">
        <w:rPr>
          <w:rFonts w:ascii="Arial" w:hAnsi="Arial" w:cs="Arial"/>
          <w:sz w:val="20"/>
        </w:rPr>
        <w:t xml:space="preserve">Instead of delivering the number of Shares </w:t>
      </w:r>
      <w:bookmarkStart w:id="304" w:name="a658317"/>
      <w:bookmarkEnd w:id="303"/>
      <w:r w:rsidR="00D8597D" w:rsidRPr="00F97360">
        <w:rPr>
          <w:rFonts w:ascii="Arial" w:hAnsi="Arial" w:cs="Arial"/>
          <w:sz w:val="20"/>
        </w:rPr>
        <w:t xml:space="preserve">subject to </w:t>
      </w:r>
      <w:r w:rsidR="00AA32FF" w:rsidRPr="00F97360">
        <w:rPr>
          <w:rFonts w:ascii="Arial" w:hAnsi="Arial" w:cs="Arial"/>
          <w:sz w:val="20"/>
        </w:rPr>
        <w:t xml:space="preserve">a </w:t>
      </w:r>
      <w:r w:rsidRPr="00F97360">
        <w:rPr>
          <w:rFonts w:ascii="Arial" w:hAnsi="Arial" w:cs="Arial"/>
          <w:sz w:val="20"/>
        </w:rPr>
        <w:t>Nil Cost Option</w:t>
      </w:r>
      <w:r w:rsidR="009462CA" w:rsidRPr="00F97360">
        <w:rPr>
          <w:rFonts w:ascii="Arial" w:hAnsi="Arial" w:cs="Arial"/>
          <w:sz w:val="20"/>
        </w:rPr>
        <w:t xml:space="preserve"> or</w:t>
      </w:r>
      <w:r w:rsidRPr="00F97360">
        <w:rPr>
          <w:rFonts w:ascii="Arial" w:hAnsi="Arial" w:cs="Arial"/>
          <w:sz w:val="20"/>
        </w:rPr>
        <w:t xml:space="preserve"> Conditional Share Award</w:t>
      </w:r>
      <w:r w:rsidR="00D8597D" w:rsidRPr="00F97360">
        <w:rPr>
          <w:rFonts w:ascii="Arial" w:hAnsi="Arial" w:cs="Arial"/>
          <w:sz w:val="20"/>
        </w:rPr>
        <w:t xml:space="preserve">, the Company may settle </w:t>
      </w:r>
      <w:bookmarkEnd w:id="304"/>
      <w:r w:rsidRPr="00F97360">
        <w:rPr>
          <w:rFonts w:ascii="Arial" w:hAnsi="Arial" w:cs="Arial"/>
          <w:sz w:val="20"/>
        </w:rPr>
        <w:t>the</w:t>
      </w:r>
      <w:r w:rsidR="00876C51" w:rsidRPr="00F97360">
        <w:rPr>
          <w:rFonts w:ascii="Arial" w:hAnsi="Arial" w:cs="Arial"/>
          <w:sz w:val="20"/>
        </w:rPr>
        <w:t xml:space="preserve"> Award </w:t>
      </w:r>
      <w:r w:rsidR="0011646A" w:rsidRPr="00F97360">
        <w:rPr>
          <w:rFonts w:ascii="Arial" w:hAnsi="Arial" w:cs="Arial"/>
          <w:sz w:val="20"/>
        </w:rPr>
        <w:t xml:space="preserve">by making </w:t>
      </w:r>
      <w:r w:rsidR="00D8597D" w:rsidRPr="00F97360">
        <w:rPr>
          <w:rFonts w:ascii="Arial" w:hAnsi="Arial" w:cs="Arial"/>
          <w:sz w:val="20"/>
        </w:rPr>
        <w:t xml:space="preserve">a cash payment to the Award Holder equal to the Market Value of the Shares in respect of which </w:t>
      </w:r>
      <w:r w:rsidR="00995A2D" w:rsidRPr="00F97360">
        <w:rPr>
          <w:rFonts w:ascii="Arial" w:hAnsi="Arial" w:cs="Arial"/>
          <w:sz w:val="20"/>
        </w:rPr>
        <w:t>the</w:t>
      </w:r>
      <w:r w:rsidR="00876C51" w:rsidRPr="00F97360">
        <w:rPr>
          <w:rFonts w:ascii="Arial" w:hAnsi="Arial" w:cs="Arial"/>
          <w:sz w:val="20"/>
        </w:rPr>
        <w:t xml:space="preserve"> Award </w:t>
      </w:r>
      <w:r w:rsidR="00D8597D" w:rsidRPr="00F97360">
        <w:rPr>
          <w:rFonts w:ascii="Arial" w:hAnsi="Arial" w:cs="Arial"/>
          <w:sz w:val="20"/>
        </w:rPr>
        <w:t xml:space="preserve">has </w:t>
      </w:r>
      <w:r w:rsidR="00F30B0B" w:rsidRPr="00F97360">
        <w:rPr>
          <w:rFonts w:ascii="Arial" w:hAnsi="Arial" w:cs="Arial"/>
          <w:sz w:val="20"/>
        </w:rPr>
        <w:t>Vested</w:t>
      </w:r>
      <w:r w:rsidR="00265C84" w:rsidRPr="00F97360">
        <w:rPr>
          <w:rFonts w:ascii="Arial" w:hAnsi="Arial" w:cs="Arial"/>
          <w:sz w:val="20"/>
        </w:rPr>
        <w:t xml:space="preserve"> (or in the case of a Nil Cost Option, been exercised)</w:t>
      </w:r>
      <w:r w:rsidR="00D8597D" w:rsidRPr="00F97360">
        <w:rPr>
          <w:rFonts w:ascii="Arial" w:hAnsi="Arial" w:cs="Arial"/>
          <w:sz w:val="20"/>
        </w:rPr>
        <w:t xml:space="preserve">. Where the Company settles </w:t>
      </w:r>
      <w:r w:rsidR="00995A2D" w:rsidRPr="00F97360">
        <w:rPr>
          <w:rFonts w:ascii="Arial" w:hAnsi="Arial" w:cs="Arial"/>
          <w:sz w:val="20"/>
        </w:rPr>
        <w:t>an</w:t>
      </w:r>
      <w:r w:rsidR="00876C51" w:rsidRPr="00F97360">
        <w:rPr>
          <w:rFonts w:ascii="Arial" w:hAnsi="Arial" w:cs="Arial"/>
          <w:sz w:val="20"/>
        </w:rPr>
        <w:t xml:space="preserve"> Award </w:t>
      </w:r>
      <w:r w:rsidR="00D8597D" w:rsidRPr="00F97360">
        <w:rPr>
          <w:rFonts w:ascii="Arial" w:hAnsi="Arial" w:cs="Arial"/>
          <w:sz w:val="20"/>
        </w:rPr>
        <w:t xml:space="preserve">in the manner described in this </w:t>
      </w:r>
      <w:r w:rsidR="00995A2D" w:rsidRPr="00F97360">
        <w:rPr>
          <w:rFonts w:ascii="Arial" w:hAnsi="Arial" w:cs="Arial"/>
          <w:sz w:val="20"/>
        </w:rPr>
        <w:t>Rule</w:t>
      </w:r>
      <w:r w:rsidR="00D8597D" w:rsidRPr="00F97360">
        <w:rPr>
          <w:rFonts w:ascii="Arial" w:hAnsi="Arial" w:cs="Arial"/>
          <w:sz w:val="20"/>
        </w:rPr>
        <w:t xml:space="preserve">, this shall be in full and final satisfaction of the Award Holder’s rights under </w:t>
      </w:r>
      <w:r w:rsidR="00995A2D" w:rsidRPr="00F97360">
        <w:rPr>
          <w:rFonts w:ascii="Arial" w:hAnsi="Arial" w:cs="Arial"/>
          <w:sz w:val="20"/>
        </w:rPr>
        <w:t>the</w:t>
      </w:r>
      <w:r w:rsidR="00876C51" w:rsidRPr="00F97360">
        <w:rPr>
          <w:rFonts w:ascii="Arial" w:hAnsi="Arial" w:cs="Arial"/>
          <w:sz w:val="20"/>
        </w:rPr>
        <w:t xml:space="preserve"> Award</w:t>
      </w:r>
      <w:r w:rsidR="00D8597D" w:rsidRPr="00F97360">
        <w:rPr>
          <w:rFonts w:ascii="Arial" w:hAnsi="Arial" w:cs="Arial"/>
          <w:sz w:val="20"/>
        </w:rPr>
        <w:t>.</w:t>
      </w:r>
    </w:p>
    <w:p w14:paraId="56712EA0" w14:textId="63009FEC" w:rsidR="007B4FB5" w:rsidRPr="00F97360" w:rsidRDefault="00D8597D" w:rsidP="007B4FB5">
      <w:pPr>
        <w:pStyle w:val="TitleClause"/>
        <w:rPr>
          <w:rFonts w:ascii="Arial" w:hAnsi="Arial" w:cs="Arial"/>
          <w:sz w:val="20"/>
        </w:rPr>
      </w:pPr>
      <w:r w:rsidRPr="00F97360">
        <w:rPr>
          <w:rFonts w:ascii="Arial" w:hAnsi="Arial" w:cs="Arial"/>
          <w:sz w:val="20"/>
        </w:rPr>
        <w:fldChar w:fldCharType="begin"/>
      </w:r>
      <w:r w:rsidRPr="00F97360">
        <w:rPr>
          <w:rFonts w:ascii="Arial" w:hAnsi="Arial" w:cs="Arial"/>
          <w:sz w:val="20"/>
        </w:rPr>
        <w:instrText>TC "17. Lapse of Awards" \l 1</w:instrText>
      </w:r>
      <w:r w:rsidRPr="00F97360">
        <w:rPr>
          <w:rFonts w:ascii="Arial" w:hAnsi="Arial" w:cs="Arial"/>
          <w:sz w:val="20"/>
        </w:rPr>
        <w:fldChar w:fldCharType="end"/>
      </w:r>
      <w:bookmarkStart w:id="305" w:name="a101498"/>
      <w:bookmarkStart w:id="306" w:name="_Toc105671030"/>
      <w:bookmarkStart w:id="307" w:name="_Toc103273404"/>
      <w:bookmarkStart w:id="308" w:name="_Toc145339787"/>
      <w:bookmarkStart w:id="309" w:name="_Toc131682137"/>
      <w:bookmarkStart w:id="310" w:name="_Toc161658071"/>
      <w:r w:rsidRPr="00F97360">
        <w:rPr>
          <w:rFonts w:ascii="Arial" w:hAnsi="Arial" w:cs="Arial"/>
          <w:sz w:val="20"/>
        </w:rPr>
        <w:t xml:space="preserve">Lapse of </w:t>
      </w:r>
      <w:r w:rsidR="00D67DB9" w:rsidRPr="00F97360">
        <w:rPr>
          <w:rFonts w:ascii="Arial" w:hAnsi="Arial" w:cs="Arial"/>
          <w:sz w:val="20"/>
        </w:rPr>
        <w:t>Award</w:t>
      </w:r>
      <w:r w:rsidR="00D62C51" w:rsidRPr="00F97360">
        <w:rPr>
          <w:rFonts w:ascii="Arial" w:hAnsi="Arial" w:cs="Arial"/>
          <w:sz w:val="20"/>
        </w:rPr>
        <w:t>s</w:t>
      </w:r>
      <w:bookmarkEnd w:id="305"/>
      <w:bookmarkEnd w:id="306"/>
      <w:bookmarkEnd w:id="307"/>
      <w:bookmarkEnd w:id="308"/>
      <w:bookmarkEnd w:id="309"/>
      <w:bookmarkEnd w:id="310"/>
    </w:p>
    <w:p w14:paraId="56712EA1" w14:textId="54F8EC25" w:rsidR="007B4FB5" w:rsidRPr="00F97360" w:rsidRDefault="00D8597D" w:rsidP="007B4FB5">
      <w:pPr>
        <w:pStyle w:val="Untitledsubclause1"/>
        <w:rPr>
          <w:rFonts w:ascii="Arial" w:hAnsi="Arial" w:cs="Arial"/>
          <w:sz w:val="20"/>
        </w:rPr>
      </w:pPr>
      <w:bookmarkStart w:id="311" w:name="a768453"/>
      <w:r w:rsidRPr="00F97360">
        <w:rPr>
          <w:rFonts w:ascii="Arial" w:hAnsi="Arial" w:cs="Arial"/>
          <w:sz w:val="20"/>
        </w:rPr>
        <w:t xml:space="preserve">An Award Holder may not transfer or </w:t>
      </w:r>
      <w:proofErr w:type="gramStart"/>
      <w:r w:rsidRPr="00F97360">
        <w:rPr>
          <w:rFonts w:ascii="Arial" w:hAnsi="Arial" w:cs="Arial"/>
          <w:sz w:val="20"/>
        </w:rPr>
        <w:t>assign, or</w:t>
      </w:r>
      <w:proofErr w:type="gramEnd"/>
      <w:r w:rsidRPr="00F97360">
        <w:rPr>
          <w:rFonts w:ascii="Arial" w:hAnsi="Arial" w:cs="Arial"/>
          <w:sz w:val="20"/>
        </w:rPr>
        <w:t xml:space="preserve"> create any charge or other security interest over </w:t>
      </w:r>
      <w:r w:rsidR="00D93C59" w:rsidRPr="00F97360">
        <w:rPr>
          <w:rFonts w:ascii="Arial" w:hAnsi="Arial" w:cs="Arial"/>
          <w:sz w:val="20"/>
        </w:rPr>
        <w:t>an Award</w:t>
      </w:r>
      <w:r w:rsidRPr="00F97360">
        <w:rPr>
          <w:rFonts w:ascii="Arial" w:hAnsi="Arial" w:cs="Arial"/>
          <w:sz w:val="20"/>
        </w:rPr>
        <w:t xml:space="preserve"> (or any right arising under it)</w:t>
      </w:r>
      <w:r w:rsidR="007F62F3" w:rsidRPr="00F97360">
        <w:rPr>
          <w:rFonts w:ascii="Arial" w:hAnsi="Arial" w:cs="Arial"/>
          <w:sz w:val="20"/>
        </w:rPr>
        <w:t xml:space="preserve"> or otherwise encumber or dispose of </w:t>
      </w:r>
      <w:r w:rsidR="00D93C59" w:rsidRPr="00F97360">
        <w:rPr>
          <w:rFonts w:ascii="Arial" w:hAnsi="Arial" w:cs="Arial"/>
          <w:sz w:val="20"/>
        </w:rPr>
        <w:t>an Award</w:t>
      </w:r>
      <w:r w:rsidRPr="00F97360">
        <w:rPr>
          <w:rFonts w:ascii="Arial" w:hAnsi="Arial" w:cs="Arial"/>
          <w:sz w:val="20"/>
        </w:rPr>
        <w:t xml:space="preserve">. </w:t>
      </w:r>
      <w:r w:rsidR="00D93C59" w:rsidRPr="00F97360">
        <w:rPr>
          <w:rFonts w:ascii="Arial" w:hAnsi="Arial" w:cs="Arial"/>
          <w:sz w:val="20"/>
        </w:rPr>
        <w:t>An Award</w:t>
      </w:r>
      <w:r w:rsidRPr="00F97360">
        <w:rPr>
          <w:rFonts w:ascii="Arial" w:hAnsi="Arial" w:cs="Arial"/>
          <w:sz w:val="20"/>
        </w:rPr>
        <w:t xml:space="preserve"> shall lapse if the Award Holder attempts to do any of those things,</w:t>
      </w:r>
      <w:r w:rsidR="007F62F3" w:rsidRPr="00F97360">
        <w:rPr>
          <w:rFonts w:ascii="Arial" w:hAnsi="Arial" w:cs="Arial"/>
          <w:sz w:val="20"/>
        </w:rPr>
        <w:t xml:space="preserve"> save that</w:t>
      </w:r>
      <w:r w:rsidRPr="00F97360">
        <w:rPr>
          <w:rFonts w:ascii="Arial" w:hAnsi="Arial" w:cs="Arial"/>
          <w:sz w:val="20"/>
        </w:rPr>
        <w:t xml:space="preserve"> this </w:t>
      </w:r>
      <w:r w:rsidRPr="00F97360">
        <w:rPr>
          <w:rFonts w:ascii="Arial" w:hAnsi="Arial" w:cs="Arial"/>
          <w:sz w:val="20"/>
        </w:rPr>
        <w:fldChar w:fldCharType="begin"/>
      </w:r>
      <w:r w:rsidRPr="00F97360">
        <w:rPr>
          <w:rFonts w:ascii="Arial" w:hAnsi="Arial" w:cs="Arial"/>
          <w:sz w:val="20"/>
        </w:rPr>
        <w:instrText>PAGEREF a768453\# "'rule '"  \h</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 xml:space="preserve">rule </w:t>
      </w:r>
      <w:r w:rsidRPr="00F97360">
        <w:rPr>
          <w:rFonts w:ascii="Arial" w:hAnsi="Arial" w:cs="Arial"/>
          <w:sz w:val="20"/>
        </w:rPr>
        <w:fldChar w:fldCharType="end"/>
      </w:r>
      <w:r w:rsidRPr="00F97360">
        <w:rPr>
          <w:rFonts w:ascii="Arial" w:hAnsi="Arial" w:cs="Arial"/>
          <w:sz w:val="20"/>
        </w:rPr>
        <w:fldChar w:fldCharType="begin"/>
      </w:r>
      <w:r w:rsidRPr="00F97360">
        <w:rPr>
          <w:rFonts w:ascii="Arial" w:hAnsi="Arial" w:cs="Arial"/>
          <w:sz w:val="20"/>
          <w:highlight w:val="lightGray"/>
        </w:rPr>
        <w:instrText>REF a768453 \h \w</w:instrText>
      </w:r>
      <w:r w:rsidR="0037270F"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highlight w:val="lightGray"/>
        </w:rPr>
        <w:t>18.1</w:t>
      </w:r>
      <w:r w:rsidRPr="00F97360">
        <w:rPr>
          <w:rFonts w:ascii="Arial" w:hAnsi="Arial" w:cs="Arial"/>
          <w:sz w:val="20"/>
        </w:rPr>
        <w:fldChar w:fldCharType="end"/>
      </w:r>
      <w:r w:rsidRPr="00F97360">
        <w:rPr>
          <w:rFonts w:ascii="Arial" w:hAnsi="Arial" w:cs="Arial"/>
          <w:sz w:val="20"/>
        </w:rPr>
        <w:t xml:space="preserve"> </w:t>
      </w:r>
      <w:r w:rsidR="007F62F3" w:rsidRPr="00F97360">
        <w:rPr>
          <w:rFonts w:ascii="Arial" w:hAnsi="Arial" w:cs="Arial"/>
          <w:sz w:val="20"/>
        </w:rPr>
        <w:t>shall</w:t>
      </w:r>
      <w:r w:rsidRPr="00F97360">
        <w:rPr>
          <w:rFonts w:ascii="Arial" w:hAnsi="Arial" w:cs="Arial"/>
          <w:sz w:val="20"/>
        </w:rPr>
        <w:t xml:space="preserve"> not prevent the transmission of </w:t>
      </w:r>
      <w:r w:rsidR="00D93C59" w:rsidRPr="00F97360">
        <w:rPr>
          <w:rFonts w:ascii="Arial" w:hAnsi="Arial" w:cs="Arial"/>
          <w:sz w:val="20"/>
        </w:rPr>
        <w:t>an Award</w:t>
      </w:r>
      <w:r w:rsidRPr="00F97360">
        <w:rPr>
          <w:rFonts w:ascii="Arial" w:hAnsi="Arial" w:cs="Arial"/>
          <w:sz w:val="20"/>
        </w:rPr>
        <w:t xml:space="preserve"> to an Award Holder's personal representatives on the death of the Award Holder.</w:t>
      </w:r>
      <w:bookmarkEnd w:id="311"/>
    </w:p>
    <w:p w14:paraId="56712EA2" w14:textId="37C84436" w:rsidR="007B4FB5" w:rsidRPr="00F97360" w:rsidRDefault="00D8597D" w:rsidP="007B4FB5">
      <w:pPr>
        <w:pStyle w:val="Untitledsubclause1"/>
        <w:rPr>
          <w:rFonts w:ascii="Arial" w:hAnsi="Arial" w:cs="Arial"/>
          <w:sz w:val="20"/>
        </w:rPr>
      </w:pPr>
      <w:bookmarkStart w:id="312" w:name="a966073"/>
      <w:r w:rsidRPr="00F97360">
        <w:rPr>
          <w:rFonts w:ascii="Arial" w:hAnsi="Arial" w:cs="Arial"/>
          <w:sz w:val="20"/>
        </w:rPr>
        <w:t xml:space="preserve">In addition to any lapse provisions elsewhere in the rules, </w:t>
      </w:r>
      <w:r w:rsidR="003708DF" w:rsidRPr="00F97360">
        <w:rPr>
          <w:rFonts w:ascii="Arial" w:hAnsi="Arial" w:cs="Arial"/>
          <w:sz w:val="20"/>
        </w:rPr>
        <w:t>a</w:t>
      </w:r>
      <w:r w:rsidR="007B4FB5" w:rsidRPr="00F97360">
        <w:rPr>
          <w:rFonts w:ascii="Arial" w:hAnsi="Arial" w:cs="Arial"/>
          <w:sz w:val="20"/>
        </w:rPr>
        <w:t>n Award shall lapse</w:t>
      </w:r>
      <w:r w:rsidR="0076287C" w:rsidRPr="00F97360">
        <w:rPr>
          <w:rFonts w:ascii="Arial" w:hAnsi="Arial" w:cs="Arial"/>
          <w:sz w:val="20"/>
        </w:rPr>
        <w:t xml:space="preserve"> </w:t>
      </w:r>
      <w:r w:rsidRPr="00F97360">
        <w:rPr>
          <w:rFonts w:ascii="Arial" w:hAnsi="Arial" w:cs="Arial"/>
          <w:sz w:val="20"/>
        </w:rPr>
        <w:t>on the earliest of the following:</w:t>
      </w:r>
      <w:bookmarkEnd w:id="312"/>
    </w:p>
    <w:p w14:paraId="56712EA3" w14:textId="78E5F23A" w:rsidR="00986FD4" w:rsidRPr="00F97360" w:rsidRDefault="00D8597D" w:rsidP="00F97360">
      <w:pPr>
        <w:pStyle w:val="Untitledsubclause2"/>
        <w:tabs>
          <w:tab w:val="clear" w:pos="1554"/>
          <w:tab w:val="num" w:pos="1985"/>
        </w:tabs>
        <w:ind w:left="1985"/>
        <w:rPr>
          <w:rFonts w:ascii="Arial" w:hAnsi="Arial" w:cs="Arial"/>
          <w:sz w:val="20"/>
        </w:rPr>
      </w:pPr>
      <w:bookmarkStart w:id="313" w:name="a741280"/>
      <w:r w:rsidRPr="00F97360">
        <w:rPr>
          <w:rFonts w:ascii="Arial" w:hAnsi="Arial" w:cs="Arial"/>
          <w:sz w:val="20"/>
        </w:rPr>
        <w:t xml:space="preserve">the </w:t>
      </w:r>
      <w:r w:rsidR="003D11C8" w:rsidRPr="00F97360">
        <w:rPr>
          <w:rFonts w:ascii="Arial" w:hAnsi="Arial" w:cs="Arial"/>
          <w:sz w:val="20"/>
        </w:rPr>
        <w:t>Vesting Date</w:t>
      </w:r>
      <w:r w:rsidRPr="00F97360">
        <w:rPr>
          <w:rFonts w:ascii="Arial" w:hAnsi="Arial" w:cs="Arial"/>
          <w:sz w:val="20"/>
        </w:rPr>
        <w:t xml:space="preserve">, to the extent the </w:t>
      </w:r>
      <w:r w:rsidR="00D67DB9" w:rsidRPr="00F97360">
        <w:rPr>
          <w:rFonts w:ascii="Arial" w:hAnsi="Arial" w:cs="Arial"/>
          <w:sz w:val="20"/>
        </w:rPr>
        <w:t>Award</w:t>
      </w:r>
      <w:r w:rsidRPr="00F97360">
        <w:rPr>
          <w:rFonts w:ascii="Arial" w:hAnsi="Arial" w:cs="Arial"/>
          <w:sz w:val="20"/>
        </w:rPr>
        <w:t xml:space="preserve"> </w:t>
      </w:r>
      <w:r w:rsidR="00F30B0B" w:rsidRPr="00F97360">
        <w:rPr>
          <w:rFonts w:ascii="Arial" w:hAnsi="Arial" w:cs="Arial"/>
          <w:sz w:val="20"/>
        </w:rPr>
        <w:t xml:space="preserve">does not </w:t>
      </w:r>
      <w:proofErr w:type="gramStart"/>
      <w:r w:rsidR="00F30B0B" w:rsidRPr="00F97360">
        <w:rPr>
          <w:rFonts w:ascii="Arial" w:hAnsi="Arial" w:cs="Arial"/>
          <w:sz w:val="20"/>
        </w:rPr>
        <w:t>Vest</w:t>
      </w:r>
      <w:r w:rsidRPr="00F97360">
        <w:rPr>
          <w:rFonts w:ascii="Arial" w:hAnsi="Arial" w:cs="Arial"/>
          <w:sz w:val="20"/>
        </w:rPr>
        <w:t>;</w:t>
      </w:r>
      <w:proofErr w:type="gramEnd"/>
    </w:p>
    <w:bookmarkEnd w:id="313"/>
    <w:p w14:paraId="0A5C73A4" w14:textId="0268EABD" w:rsidR="00C8289D" w:rsidRPr="00F97360" w:rsidRDefault="00C8289D" w:rsidP="00F97360">
      <w:pPr>
        <w:pStyle w:val="Untitledsubclause2"/>
        <w:tabs>
          <w:tab w:val="clear" w:pos="1554"/>
          <w:tab w:val="num" w:pos="1985"/>
        </w:tabs>
        <w:ind w:left="1985"/>
        <w:rPr>
          <w:rFonts w:ascii="Arial" w:hAnsi="Arial" w:cs="Arial"/>
          <w:sz w:val="20"/>
        </w:rPr>
      </w:pPr>
      <w:r w:rsidRPr="00F97360">
        <w:rPr>
          <w:rFonts w:ascii="Arial" w:hAnsi="Arial" w:cs="Arial"/>
          <w:sz w:val="20"/>
        </w:rPr>
        <w:t xml:space="preserve">unless the Remuneration Committee decides otherwise, if the Award Holder has not returned a signed copy of the Acceptance Notice to the person to whom the Acceptance Notice states that it must be returned, on the deadline specified in the Acceptance </w:t>
      </w:r>
      <w:proofErr w:type="gramStart"/>
      <w:r w:rsidRPr="00F97360">
        <w:rPr>
          <w:rFonts w:ascii="Arial" w:hAnsi="Arial" w:cs="Arial"/>
          <w:sz w:val="20"/>
        </w:rPr>
        <w:t>Notice;</w:t>
      </w:r>
      <w:proofErr w:type="gramEnd"/>
    </w:p>
    <w:p w14:paraId="1122D55F" w14:textId="45D9CC24" w:rsidR="00A3083E" w:rsidRPr="00F97360" w:rsidRDefault="00A3083E" w:rsidP="00F97360">
      <w:pPr>
        <w:pStyle w:val="Untitledsubclause2"/>
        <w:tabs>
          <w:tab w:val="clear" w:pos="1554"/>
          <w:tab w:val="num" w:pos="1985"/>
        </w:tabs>
        <w:ind w:left="1985"/>
        <w:rPr>
          <w:rFonts w:ascii="Arial" w:hAnsi="Arial"/>
          <w:sz w:val="20"/>
        </w:rPr>
      </w:pPr>
      <w:r w:rsidRPr="00F97360">
        <w:rPr>
          <w:rFonts w:ascii="Arial" w:hAnsi="Arial"/>
          <w:sz w:val="20"/>
        </w:rPr>
        <w:t>the tenth anniversary of the Grant Date (save that if any Option cannot be exercised during the period of 30 days ending with the tenth anniversary, because of any Dealing Restrictions, the Remuneration Committee may extend this date to such date as the Remuneration Committee determines appropriate to permit the Option to be exercised within a period (not exceeding 42 days) after the Dealing Restrictions cease to apply</w:t>
      </w:r>
      <w:proofErr w:type="gramStart"/>
      <w:r w:rsidRPr="00F97360">
        <w:rPr>
          <w:rFonts w:ascii="Arial" w:hAnsi="Arial"/>
          <w:sz w:val="20"/>
        </w:rPr>
        <w:t>);</w:t>
      </w:r>
      <w:proofErr w:type="gramEnd"/>
    </w:p>
    <w:p w14:paraId="56712EA6" w14:textId="0C39B3D8" w:rsidR="007B4FB5" w:rsidRPr="00F97360" w:rsidRDefault="00D8597D" w:rsidP="00F97360">
      <w:pPr>
        <w:pStyle w:val="Untitledsubclause2"/>
        <w:tabs>
          <w:tab w:val="clear" w:pos="1554"/>
          <w:tab w:val="num" w:pos="1985"/>
        </w:tabs>
        <w:ind w:left="1985"/>
        <w:rPr>
          <w:rFonts w:ascii="Arial" w:hAnsi="Arial" w:cs="Arial"/>
          <w:sz w:val="20"/>
        </w:rPr>
      </w:pPr>
      <w:bookmarkStart w:id="314" w:name="a475658"/>
      <w:r w:rsidRPr="00F97360">
        <w:rPr>
          <w:rFonts w:ascii="Arial" w:hAnsi="Arial" w:cs="Arial"/>
          <w:sz w:val="20"/>
        </w:rPr>
        <w:t xml:space="preserve">when required by and to the extent necessary to give effect to any reduction or cancellation under </w:t>
      </w:r>
      <w:r w:rsidRPr="00F97360">
        <w:rPr>
          <w:rFonts w:ascii="Arial" w:hAnsi="Arial" w:cs="Arial"/>
          <w:sz w:val="20"/>
        </w:rPr>
        <w:fldChar w:fldCharType="begin"/>
      </w:r>
      <w:r w:rsidRPr="00F97360">
        <w:rPr>
          <w:rFonts w:ascii="Arial" w:hAnsi="Arial" w:cs="Arial"/>
          <w:sz w:val="20"/>
        </w:rPr>
        <w:instrText>PAGEREF a391918\# "'rule '"  \h</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 xml:space="preserve">rule </w:t>
      </w:r>
      <w:r w:rsidRPr="00F97360">
        <w:rPr>
          <w:rFonts w:ascii="Arial" w:hAnsi="Arial" w:cs="Arial"/>
          <w:sz w:val="20"/>
        </w:rPr>
        <w:fldChar w:fldCharType="end"/>
      </w:r>
      <w:r w:rsidRPr="00F97360">
        <w:rPr>
          <w:rFonts w:ascii="Arial" w:hAnsi="Arial" w:cs="Arial"/>
          <w:sz w:val="20"/>
        </w:rPr>
        <w:fldChar w:fldCharType="begin"/>
      </w:r>
      <w:r w:rsidRPr="00F97360">
        <w:rPr>
          <w:rFonts w:ascii="Arial" w:hAnsi="Arial" w:cs="Arial"/>
          <w:sz w:val="20"/>
          <w:highlight w:val="lightGray"/>
        </w:rPr>
        <w:instrText>REF a391918 \h \w</w:instrText>
      </w:r>
      <w:r w:rsidR="0037270F"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highlight w:val="lightGray"/>
        </w:rPr>
        <w:t>12</w:t>
      </w:r>
      <w:r w:rsidRPr="00F97360">
        <w:rPr>
          <w:rFonts w:ascii="Arial" w:hAnsi="Arial" w:cs="Arial"/>
          <w:sz w:val="20"/>
        </w:rPr>
        <w:fldChar w:fldCharType="end"/>
      </w:r>
      <w:r w:rsidRPr="00F97360">
        <w:rPr>
          <w:rFonts w:ascii="Arial" w:hAnsi="Arial" w:cs="Arial"/>
          <w:sz w:val="20"/>
        </w:rPr>
        <w:t>;</w:t>
      </w:r>
      <w:bookmarkEnd w:id="314"/>
    </w:p>
    <w:p w14:paraId="7F2B3109" w14:textId="690F5EA8" w:rsidR="004629E2" w:rsidRPr="00F97360" w:rsidRDefault="00D85C65" w:rsidP="00F97360">
      <w:pPr>
        <w:pStyle w:val="Untitledsubclause2"/>
        <w:tabs>
          <w:tab w:val="clear" w:pos="1554"/>
          <w:tab w:val="num" w:pos="1985"/>
        </w:tabs>
        <w:ind w:left="1985"/>
        <w:rPr>
          <w:rFonts w:ascii="Arial" w:hAnsi="Arial" w:cs="Arial"/>
          <w:sz w:val="20"/>
        </w:rPr>
      </w:pPr>
      <w:bookmarkStart w:id="315" w:name="a672648"/>
      <w:r w:rsidRPr="00F97360">
        <w:rPr>
          <w:rFonts w:ascii="Arial" w:hAnsi="Arial" w:cs="Arial"/>
          <w:sz w:val="20"/>
        </w:rPr>
        <w:t xml:space="preserve">the date the Award Holder becomes a Good Leaver, </w:t>
      </w:r>
      <w:r w:rsidR="004629E2" w:rsidRPr="00F97360">
        <w:rPr>
          <w:rFonts w:ascii="Arial" w:hAnsi="Arial" w:cs="Arial"/>
          <w:sz w:val="20"/>
        </w:rPr>
        <w:t xml:space="preserve">to the extent the Award does not continue under rule </w:t>
      </w:r>
      <w:r w:rsidR="004629E2" w:rsidRPr="00F97360">
        <w:rPr>
          <w:rFonts w:ascii="Arial" w:hAnsi="Arial" w:cs="Arial"/>
          <w:sz w:val="20"/>
        </w:rPr>
        <w:fldChar w:fldCharType="begin"/>
      </w:r>
      <w:r w:rsidR="004629E2" w:rsidRPr="00F97360">
        <w:rPr>
          <w:rFonts w:ascii="Arial" w:hAnsi="Arial" w:cs="Arial"/>
          <w:sz w:val="20"/>
        </w:rPr>
        <w:instrText xml:space="preserve"> REF _Ref111219374 \r \h </w:instrText>
      </w:r>
      <w:r w:rsidR="004C1A6B" w:rsidRPr="00F97360">
        <w:rPr>
          <w:rFonts w:ascii="Arial" w:hAnsi="Arial" w:cs="Arial"/>
          <w:sz w:val="20"/>
        </w:rPr>
        <w:instrText xml:space="preserve"> \* MERGEFORMAT </w:instrText>
      </w:r>
      <w:r w:rsidR="004629E2" w:rsidRPr="00F97360">
        <w:rPr>
          <w:rFonts w:ascii="Arial" w:hAnsi="Arial" w:cs="Arial"/>
          <w:sz w:val="20"/>
        </w:rPr>
      </w:r>
      <w:r w:rsidR="004629E2" w:rsidRPr="00F97360">
        <w:rPr>
          <w:rFonts w:ascii="Arial" w:hAnsi="Arial" w:cs="Arial"/>
          <w:sz w:val="20"/>
        </w:rPr>
        <w:fldChar w:fldCharType="separate"/>
      </w:r>
      <w:r w:rsidR="00710210" w:rsidRPr="00F97360">
        <w:rPr>
          <w:rFonts w:ascii="Arial" w:hAnsi="Arial" w:cs="Arial"/>
          <w:sz w:val="20"/>
        </w:rPr>
        <w:t>19.1</w:t>
      </w:r>
      <w:r w:rsidR="004629E2" w:rsidRPr="00F97360">
        <w:rPr>
          <w:rFonts w:ascii="Arial" w:hAnsi="Arial" w:cs="Arial"/>
          <w:sz w:val="20"/>
        </w:rPr>
        <w:fldChar w:fldCharType="end"/>
      </w:r>
      <w:r w:rsidR="004629E2" w:rsidRPr="00F97360">
        <w:rPr>
          <w:rFonts w:ascii="Arial" w:hAnsi="Arial" w:cs="Arial"/>
          <w:sz w:val="20"/>
        </w:rPr>
        <w:t>;</w:t>
      </w:r>
    </w:p>
    <w:p w14:paraId="2EBA0155" w14:textId="22DF95AD" w:rsidR="00D85C65" w:rsidRPr="00F97360" w:rsidRDefault="00D85C65" w:rsidP="00F97360">
      <w:pPr>
        <w:pStyle w:val="Untitledsubclause2"/>
        <w:tabs>
          <w:tab w:val="clear" w:pos="1554"/>
          <w:tab w:val="num" w:pos="1985"/>
        </w:tabs>
        <w:ind w:left="1985"/>
        <w:rPr>
          <w:rFonts w:ascii="Arial" w:hAnsi="Arial" w:cs="Arial"/>
          <w:sz w:val="20"/>
        </w:rPr>
      </w:pPr>
      <w:r w:rsidRPr="00F97360">
        <w:rPr>
          <w:rFonts w:ascii="Arial" w:hAnsi="Arial" w:cs="Arial"/>
          <w:sz w:val="20"/>
        </w:rPr>
        <w:t xml:space="preserve">to the extent the Award does not Vest under rule </w:t>
      </w:r>
      <w:r w:rsidRPr="00F97360">
        <w:rPr>
          <w:rFonts w:ascii="Arial" w:hAnsi="Arial" w:cs="Arial"/>
          <w:sz w:val="20"/>
        </w:rPr>
        <w:fldChar w:fldCharType="begin"/>
      </w:r>
      <w:r w:rsidRPr="00F97360">
        <w:rPr>
          <w:rFonts w:ascii="Arial" w:hAnsi="Arial" w:cs="Arial"/>
          <w:sz w:val="20"/>
        </w:rPr>
        <w:instrText xml:space="preserve"> REF _Ref79504567 \r \h </w:instrText>
      </w:r>
      <w:r w:rsidR="004C1A6B"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19.2</w:t>
      </w:r>
      <w:r w:rsidRPr="00F97360">
        <w:rPr>
          <w:rFonts w:ascii="Arial" w:hAnsi="Arial" w:cs="Arial"/>
          <w:sz w:val="20"/>
        </w:rPr>
        <w:fldChar w:fldCharType="end"/>
      </w:r>
      <w:r w:rsidRPr="00F97360">
        <w:rPr>
          <w:rFonts w:ascii="Arial" w:hAnsi="Arial" w:cs="Arial"/>
          <w:sz w:val="20"/>
        </w:rPr>
        <w:t xml:space="preserve">, on the relevant date specified in that </w:t>
      </w:r>
      <w:proofErr w:type="gramStart"/>
      <w:r w:rsidRPr="00F97360">
        <w:rPr>
          <w:rFonts w:ascii="Arial" w:hAnsi="Arial" w:cs="Arial"/>
          <w:sz w:val="20"/>
        </w:rPr>
        <w:t>rule;</w:t>
      </w:r>
      <w:proofErr w:type="gramEnd"/>
      <w:r w:rsidRPr="00F97360">
        <w:rPr>
          <w:rFonts w:ascii="Arial" w:hAnsi="Arial" w:cs="Arial"/>
          <w:sz w:val="20"/>
        </w:rPr>
        <w:t xml:space="preserve"> </w:t>
      </w:r>
    </w:p>
    <w:p w14:paraId="56712EA7" w14:textId="7A9B0EAE" w:rsidR="007B4FB5" w:rsidRPr="00F97360" w:rsidRDefault="00D8597D" w:rsidP="00F97360">
      <w:pPr>
        <w:pStyle w:val="Untitledsubclause2"/>
        <w:tabs>
          <w:tab w:val="clear" w:pos="1554"/>
          <w:tab w:val="num" w:pos="1985"/>
        </w:tabs>
        <w:ind w:left="1985"/>
        <w:rPr>
          <w:rFonts w:ascii="Arial" w:hAnsi="Arial" w:cs="Arial"/>
          <w:sz w:val="20"/>
        </w:rPr>
      </w:pPr>
      <w:r w:rsidRPr="00F97360">
        <w:rPr>
          <w:rFonts w:ascii="Arial" w:hAnsi="Arial" w:cs="Arial"/>
          <w:sz w:val="20"/>
        </w:rPr>
        <w:t xml:space="preserve">in respect of Options, </w:t>
      </w:r>
      <w:r w:rsidR="00E079CC" w:rsidRPr="00F97360">
        <w:rPr>
          <w:rFonts w:ascii="Arial" w:hAnsi="Arial" w:cs="Arial"/>
          <w:sz w:val="20"/>
        </w:rPr>
        <w:t xml:space="preserve">to the extent unexercised, at the end of the </w:t>
      </w:r>
      <w:r w:rsidR="00134704" w:rsidRPr="00F97360">
        <w:rPr>
          <w:rFonts w:ascii="Arial" w:hAnsi="Arial" w:cs="Arial"/>
          <w:sz w:val="20"/>
        </w:rPr>
        <w:t xml:space="preserve">applicable </w:t>
      </w:r>
      <w:r w:rsidR="00E079CC" w:rsidRPr="00F97360">
        <w:rPr>
          <w:rFonts w:ascii="Arial" w:hAnsi="Arial" w:cs="Arial"/>
          <w:sz w:val="20"/>
        </w:rPr>
        <w:t>period under rule</w:t>
      </w:r>
      <w:r w:rsidR="00134704" w:rsidRPr="00F97360">
        <w:rPr>
          <w:rFonts w:ascii="Arial" w:hAnsi="Arial" w:cs="Arial"/>
          <w:sz w:val="20"/>
        </w:rPr>
        <w:t xml:space="preserve"> </w:t>
      </w:r>
      <w:r w:rsidR="00C5315D" w:rsidRPr="00F97360">
        <w:rPr>
          <w:rFonts w:ascii="Arial" w:hAnsi="Arial" w:cs="Arial"/>
          <w:sz w:val="20"/>
        </w:rPr>
        <w:fldChar w:fldCharType="begin"/>
      </w:r>
      <w:r w:rsidR="00C5315D" w:rsidRPr="00F97360">
        <w:rPr>
          <w:rFonts w:ascii="Arial" w:hAnsi="Arial" w:cs="Arial"/>
          <w:sz w:val="20"/>
        </w:rPr>
        <w:instrText xml:space="preserve"> REF _Ref130804921 \r \h </w:instrText>
      </w:r>
      <w:r w:rsidR="004C1A6B" w:rsidRPr="00F97360">
        <w:rPr>
          <w:rFonts w:ascii="Arial" w:hAnsi="Arial" w:cs="Arial"/>
          <w:sz w:val="20"/>
        </w:rPr>
        <w:instrText xml:space="preserve"> \* MERGEFORMAT </w:instrText>
      </w:r>
      <w:r w:rsidR="00C5315D" w:rsidRPr="00F97360">
        <w:rPr>
          <w:rFonts w:ascii="Arial" w:hAnsi="Arial" w:cs="Arial"/>
          <w:sz w:val="20"/>
        </w:rPr>
      </w:r>
      <w:r w:rsidR="00C5315D" w:rsidRPr="00F97360">
        <w:rPr>
          <w:rFonts w:ascii="Arial" w:hAnsi="Arial" w:cs="Arial"/>
          <w:sz w:val="20"/>
        </w:rPr>
        <w:fldChar w:fldCharType="separate"/>
      </w:r>
      <w:r w:rsidR="00710210" w:rsidRPr="00F97360">
        <w:rPr>
          <w:rFonts w:ascii="Arial" w:hAnsi="Arial" w:cs="Arial"/>
          <w:sz w:val="20"/>
        </w:rPr>
        <w:t>19.4</w:t>
      </w:r>
      <w:r w:rsidR="00C5315D" w:rsidRPr="00F97360">
        <w:rPr>
          <w:rFonts w:ascii="Arial" w:hAnsi="Arial" w:cs="Arial"/>
          <w:sz w:val="20"/>
        </w:rPr>
        <w:fldChar w:fldCharType="end"/>
      </w:r>
      <w:r w:rsidR="00E079CC" w:rsidRPr="00F97360">
        <w:rPr>
          <w:rFonts w:ascii="Arial" w:hAnsi="Arial" w:cs="Arial"/>
          <w:sz w:val="20"/>
        </w:rPr>
        <w:t xml:space="preserve"> (as applicable</w:t>
      </w:r>
      <w:proofErr w:type="gramStart"/>
      <w:r w:rsidR="00E079CC" w:rsidRPr="00F97360">
        <w:rPr>
          <w:rFonts w:ascii="Arial" w:hAnsi="Arial" w:cs="Arial"/>
          <w:sz w:val="20"/>
        </w:rPr>
        <w:t>)</w:t>
      </w:r>
      <w:r w:rsidR="007B4FB5" w:rsidRPr="00F97360">
        <w:rPr>
          <w:rFonts w:ascii="Arial" w:hAnsi="Arial" w:cs="Arial"/>
          <w:sz w:val="20"/>
        </w:rPr>
        <w:t>;</w:t>
      </w:r>
      <w:bookmarkEnd w:id="315"/>
      <w:proofErr w:type="gramEnd"/>
    </w:p>
    <w:p w14:paraId="64C99CBB" w14:textId="77777777" w:rsidR="00D85C65" w:rsidRPr="00F97360" w:rsidRDefault="00D85C65" w:rsidP="00F97360">
      <w:pPr>
        <w:pStyle w:val="Untitledsubclause2"/>
        <w:tabs>
          <w:tab w:val="clear" w:pos="1554"/>
          <w:tab w:val="num" w:pos="1985"/>
        </w:tabs>
        <w:ind w:left="1985"/>
        <w:rPr>
          <w:rFonts w:ascii="Arial" w:hAnsi="Arial" w:cs="Arial"/>
          <w:sz w:val="20"/>
        </w:rPr>
      </w:pPr>
      <w:bookmarkStart w:id="316" w:name="a685266"/>
      <w:r w:rsidRPr="00F97360">
        <w:rPr>
          <w:rFonts w:ascii="Arial" w:hAnsi="Arial" w:cs="Arial"/>
          <w:sz w:val="20"/>
        </w:rPr>
        <w:lastRenderedPageBreak/>
        <w:t xml:space="preserve">the date the Award Holder becomes a Bad </w:t>
      </w:r>
      <w:proofErr w:type="gramStart"/>
      <w:r w:rsidRPr="00F97360">
        <w:rPr>
          <w:rFonts w:ascii="Arial" w:hAnsi="Arial" w:cs="Arial"/>
          <w:sz w:val="20"/>
        </w:rPr>
        <w:t>Leaver;</w:t>
      </w:r>
      <w:proofErr w:type="gramEnd"/>
    </w:p>
    <w:bookmarkEnd w:id="316"/>
    <w:p w14:paraId="0CAD5AEF" w14:textId="2A75ACF2" w:rsidR="003244C4" w:rsidRPr="00F97360" w:rsidRDefault="003244C4" w:rsidP="00F97360">
      <w:pPr>
        <w:pStyle w:val="Untitledsubclause2"/>
        <w:tabs>
          <w:tab w:val="clear" w:pos="1554"/>
          <w:tab w:val="num" w:pos="1985"/>
        </w:tabs>
        <w:ind w:left="1985"/>
        <w:rPr>
          <w:rFonts w:ascii="Arial" w:hAnsi="Arial" w:cs="Arial"/>
          <w:sz w:val="20"/>
        </w:rPr>
      </w:pPr>
      <w:r w:rsidRPr="00F97360">
        <w:rPr>
          <w:rFonts w:ascii="Arial" w:hAnsi="Arial" w:cs="Arial"/>
          <w:sz w:val="20"/>
        </w:rPr>
        <w:t xml:space="preserve">where </w:t>
      </w:r>
      <w:r w:rsidRPr="00F97360">
        <w:rPr>
          <w:rFonts w:ascii="Arial" w:hAnsi="Arial" w:cs="Arial"/>
          <w:sz w:val="20"/>
        </w:rPr>
        <w:fldChar w:fldCharType="begin"/>
      </w:r>
      <w:r w:rsidRPr="00F97360">
        <w:rPr>
          <w:rFonts w:ascii="Arial" w:hAnsi="Arial" w:cs="Arial"/>
          <w:sz w:val="20"/>
        </w:rPr>
        <w:instrText>PAGEREF a1037750\# "'rule '"  \h</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 xml:space="preserve">rule </w:t>
      </w:r>
      <w:r w:rsidRPr="00F97360">
        <w:rPr>
          <w:rFonts w:ascii="Arial" w:hAnsi="Arial" w:cs="Arial"/>
          <w:sz w:val="20"/>
        </w:rPr>
        <w:fldChar w:fldCharType="end"/>
      </w:r>
      <w:r w:rsidRPr="00F97360">
        <w:rPr>
          <w:rFonts w:ascii="Arial" w:hAnsi="Arial" w:cs="Arial"/>
          <w:sz w:val="20"/>
        </w:rPr>
        <w:fldChar w:fldCharType="begin"/>
      </w:r>
      <w:r w:rsidRPr="00F97360">
        <w:rPr>
          <w:rFonts w:ascii="Arial" w:hAnsi="Arial" w:cs="Arial"/>
          <w:sz w:val="20"/>
          <w:highlight w:val="lightGray"/>
        </w:rPr>
        <w:instrText>REF a1037750 \h \w</w:instrText>
      </w:r>
      <w:r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highlight w:val="lightGray"/>
        </w:rPr>
        <w:t>21</w:t>
      </w:r>
      <w:r w:rsidRPr="00F97360">
        <w:rPr>
          <w:rFonts w:ascii="Arial" w:hAnsi="Arial" w:cs="Arial"/>
          <w:sz w:val="20"/>
        </w:rPr>
        <w:fldChar w:fldCharType="end"/>
      </w:r>
      <w:r w:rsidRPr="00F97360">
        <w:rPr>
          <w:rFonts w:ascii="Arial" w:hAnsi="Arial" w:cs="Arial"/>
          <w:sz w:val="20"/>
        </w:rPr>
        <w:t xml:space="preserve"> applies, the relevant time specified for the lapse of the Award under that rule (to the extent the Award does not Vest under that rule);</w:t>
      </w:r>
    </w:p>
    <w:p w14:paraId="56712EAB" w14:textId="40B3DFC1" w:rsidR="007B4FB5" w:rsidRPr="00F97360" w:rsidRDefault="00D8597D" w:rsidP="00F97360">
      <w:pPr>
        <w:pStyle w:val="Untitledsubclause2"/>
        <w:tabs>
          <w:tab w:val="clear" w:pos="1554"/>
          <w:tab w:val="num" w:pos="1985"/>
        </w:tabs>
        <w:ind w:left="1985"/>
        <w:rPr>
          <w:rFonts w:ascii="Arial" w:hAnsi="Arial" w:cs="Arial"/>
          <w:sz w:val="20"/>
        </w:rPr>
      </w:pPr>
      <w:bookmarkStart w:id="317" w:name="a596889"/>
      <w:r w:rsidRPr="00F97360">
        <w:rPr>
          <w:rFonts w:ascii="Arial" w:hAnsi="Arial" w:cs="Arial"/>
          <w:sz w:val="20"/>
        </w:rPr>
        <w:t xml:space="preserve">if the </w:t>
      </w:r>
      <w:r w:rsidR="00B00B6F" w:rsidRPr="00F97360">
        <w:rPr>
          <w:rFonts w:ascii="Arial" w:hAnsi="Arial" w:cs="Arial"/>
          <w:sz w:val="20"/>
        </w:rPr>
        <w:t>Remuneration Committee</w:t>
      </w:r>
      <w:r w:rsidRPr="00F97360">
        <w:rPr>
          <w:rFonts w:ascii="Arial" w:hAnsi="Arial" w:cs="Arial"/>
          <w:sz w:val="20"/>
        </w:rPr>
        <w:t xml:space="preserve"> so determines under </w:t>
      </w:r>
      <w:r w:rsidRPr="00F97360">
        <w:rPr>
          <w:rFonts w:ascii="Arial" w:hAnsi="Arial" w:cs="Arial"/>
          <w:sz w:val="20"/>
        </w:rPr>
        <w:fldChar w:fldCharType="begin"/>
      </w:r>
      <w:r w:rsidRPr="00F97360">
        <w:rPr>
          <w:rFonts w:ascii="Arial" w:hAnsi="Arial" w:cs="Arial"/>
          <w:sz w:val="20"/>
        </w:rPr>
        <w:instrText>PAGEREF a919478\# "'rule '"  \h</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 xml:space="preserve">rule </w:t>
      </w:r>
      <w:r w:rsidRPr="00F97360">
        <w:rPr>
          <w:rFonts w:ascii="Arial" w:hAnsi="Arial" w:cs="Arial"/>
          <w:sz w:val="20"/>
        </w:rPr>
        <w:fldChar w:fldCharType="end"/>
      </w:r>
      <w:r w:rsidRPr="00F97360">
        <w:rPr>
          <w:rFonts w:ascii="Arial" w:hAnsi="Arial" w:cs="Arial"/>
          <w:sz w:val="20"/>
        </w:rPr>
        <w:fldChar w:fldCharType="begin"/>
      </w:r>
      <w:r w:rsidRPr="00F97360">
        <w:rPr>
          <w:rFonts w:ascii="Arial" w:hAnsi="Arial" w:cs="Arial"/>
          <w:sz w:val="20"/>
          <w:highlight w:val="lightGray"/>
        </w:rPr>
        <w:instrText>REF a919478 \h \w</w:instrText>
      </w:r>
      <w:r w:rsidR="0037270F"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highlight w:val="lightGray"/>
        </w:rPr>
        <w:t>22.2</w:t>
      </w:r>
      <w:r w:rsidRPr="00F97360">
        <w:rPr>
          <w:rFonts w:ascii="Arial" w:hAnsi="Arial" w:cs="Arial"/>
          <w:sz w:val="20"/>
        </w:rPr>
        <w:fldChar w:fldCharType="end"/>
      </w:r>
      <w:r w:rsidRPr="00F97360">
        <w:rPr>
          <w:rFonts w:ascii="Arial" w:hAnsi="Arial" w:cs="Arial"/>
          <w:sz w:val="20"/>
        </w:rPr>
        <w:t>;</w:t>
      </w:r>
      <w:bookmarkEnd w:id="317"/>
    </w:p>
    <w:p w14:paraId="56712EAC" w14:textId="24FD9B63" w:rsidR="00B8477F" w:rsidRPr="00F97360" w:rsidRDefault="00D8597D" w:rsidP="00F97360">
      <w:pPr>
        <w:pStyle w:val="Untitledsubclause2"/>
        <w:tabs>
          <w:tab w:val="clear" w:pos="1554"/>
          <w:tab w:val="num" w:pos="1985"/>
        </w:tabs>
        <w:ind w:left="1985"/>
        <w:rPr>
          <w:rFonts w:ascii="Arial" w:hAnsi="Arial" w:cs="Arial"/>
          <w:sz w:val="20"/>
        </w:rPr>
      </w:pPr>
      <w:r w:rsidRPr="00F97360">
        <w:rPr>
          <w:rFonts w:ascii="Arial" w:hAnsi="Arial" w:cs="Arial"/>
          <w:sz w:val="20"/>
        </w:rPr>
        <w:t xml:space="preserve">a breach of rule </w:t>
      </w:r>
      <w:r w:rsidR="00B8477F" w:rsidRPr="00F97360">
        <w:rPr>
          <w:rFonts w:ascii="Arial" w:hAnsi="Arial" w:cs="Arial"/>
          <w:sz w:val="20"/>
        </w:rPr>
        <w:fldChar w:fldCharType="begin"/>
      </w:r>
      <w:r w:rsidR="00B8477F" w:rsidRPr="00F97360">
        <w:rPr>
          <w:rFonts w:ascii="Arial" w:hAnsi="Arial" w:cs="Arial"/>
          <w:sz w:val="20"/>
        </w:rPr>
        <w:instrText xml:space="preserve"> REF _Ref83979035 \r \h </w:instrText>
      </w:r>
      <w:r w:rsidR="004C1A6B" w:rsidRPr="00F97360">
        <w:rPr>
          <w:rFonts w:ascii="Arial" w:hAnsi="Arial" w:cs="Arial"/>
          <w:sz w:val="20"/>
        </w:rPr>
        <w:instrText xml:space="preserve"> \* MERGEFORMAT </w:instrText>
      </w:r>
      <w:r w:rsidR="00B8477F" w:rsidRPr="00F97360">
        <w:rPr>
          <w:rFonts w:ascii="Arial" w:hAnsi="Arial" w:cs="Arial"/>
          <w:sz w:val="20"/>
        </w:rPr>
      </w:r>
      <w:r w:rsidR="00B8477F" w:rsidRPr="00F97360">
        <w:rPr>
          <w:rFonts w:ascii="Arial" w:hAnsi="Arial" w:cs="Arial"/>
          <w:sz w:val="20"/>
        </w:rPr>
        <w:fldChar w:fldCharType="separate"/>
      </w:r>
      <w:r w:rsidR="00710210" w:rsidRPr="00F97360">
        <w:rPr>
          <w:rFonts w:ascii="Arial" w:hAnsi="Arial" w:cs="Arial"/>
          <w:sz w:val="20"/>
        </w:rPr>
        <w:t>28</w:t>
      </w:r>
      <w:r w:rsidR="00B8477F" w:rsidRPr="00F97360">
        <w:rPr>
          <w:rFonts w:ascii="Arial" w:hAnsi="Arial" w:cs="Arial"/>
          <w:sz w:val="20"/>
        </w:rPr>
        <w:fldChar w:fldCharType="end"/>
      </w:r>
      <w:r w:rsidR="007C251D" w:rsidRPr="00F97360">
        <w:rPr>
          <w:rFonts w:ascii="Arial" w:hAnsi="Arial" w:cs="Arial"/>
          <w:sz w:val="20"/>
        </w:rPr>
        <w:t xml:space="preserve"> (Confidentiality)</w:t>
      </w:r>
      <w:r w:rsidRPr="00F97360">
        <w:rPr>
          <w:rFonts w:ascii="Arial" w:hAnsi="Arial" w:cs="Arial"/>
          <w:sz w:val="20"/>
        </w:rPr>
        <w:t xml:space="preserve">, unless the </w:t>
      </w:r>
      <w:r w:rsidR="00B00B6F" w:rsidRPr="00F97360">
        <w:rPr>
          <w:rFonts w:ascii="Arial" w:hAnsi="Arial" w:cs="Arial"/>
          <w:sz w:val="20"/>
        </w:rPr>
        <w:t>Remuneration Committee</w:t>
      </w:r>
      <w:r w:rsidRPr="00F97360">
        <w:rPr>
          <w:rFonts w:ascii="Arial" w:hAnsi="Arial" w:cs="Arial"/>
          <w:sz w:val="20"/>
        </w:rPr>
        <w:t xml:space="preserve"> decides </w:t>
      </w:r>
      <w:proofErr w:type="gramStart"/>
      <w:r w:rsidRPr="00F97360">
        <w:rPr>
          <w:rFonts w:ascii="Arial" w:hAnsi="Arial" w:cs="Arial"/>
          <w:sz w:val="20"/>
        </w:rPr>
        <w:t>otherwise;</w:t>
      </w:r>
      <w:proofErr w:type="gramEnd"/>
    </w:p>
    <w:p w14:paraId="56712EAD" w14:textId="0254C5A6" w:rsidR="007B4FB5" w:rsidRPr="00F97360" w:rsidRDefault="00D8597D" w:rsidP="00F97360">
      <w:pPr>
        <w:pStyle w:val="Untitledsubclause2"/>
        <w:tabs>
          <w:tab w:val="clear" w:pos="1554"/>
          <w:tab w:val="num" w:pos="1985"/>
        </w:tabs>
        <w:ind w:left="1985"/>
        <w:rPr>
          <w:rFonts w:ascii="Arial" w:hAnsi="Arial" w:cs="Arial"/>
          <w:sz w:val="20"/>
        </w:rPr>
      </w:pPr>
      <w:bookmarkStart w:id="318" w:name="a300739"/>
      <w:r w:rsidRPr="00F97360">
        <w:rPr>
          <w:rFonts w:ascii="Arial" w:hAnsi="Arial" w:cs="Arial"/>
          <w:sz w:val="20"/>
        </w:rPr>
        <w:t xml:space="preserve">if the Award Holder becomes bankrupt under Part IX of the Insolvency Act 1986, applies for an interim order under Part VIII of the Insolvency Act 1986, proposes or makes a voluntary arrangement under Part VIII of the Insolvency Act 1986, or takes similar steps, or is similarly affected, under </w:t>
      </w:r>
      <w:r w:rsidR="00904FB0" w:rsidRPr="00F97360">
        <w:rPr>
          <w:rFonts w:ascii="Arial" w:hAnsi="Arial" w:cs="Arial"/>
          <w:sz w:val="20"/>
        </w:rPr>
        <w:t>equivalent non-UK legislation</w:t>
      </w:r>
      <w:r w:rsidR="00A2748F" w:rsidRPr="00F97360">
        <w:rPr>
          <w:rFonts w:ascii="Arial" w:hAnsi="Arial" w:cs="Arial"/>
          <w:sz w:val="20"/>
        </w:rPr>
        <w:t>,</w:t>
      </w:r>
      <w:bookmarkEnd w:id="318"/>
    </w:p>
    <w:p w14:paraId="31992A7E" w14:textId="096E289E" w:rsidR="003C64C8" w:rsidRPr="00F97360" w:rsidRDefault="00046773" w:rsidP="00F97360">
      <w:pPr>
        <w:pStyle w:val="Untitledsubclause2"/>
        <w:tabs>
          <w:tab w:val="clear" w:pos="1554"/>
          <w:tab w:val="num" w:pos="1985"/>
        </w:tabs>
        <w:ind w:left="1985"/>
        <w:rPr>
          <w:rFonts w:ascii="Arial" w:hAnsi="Arial" w:cs="Arial"/>
          <w:sz w:val="20"/>
        </w:rPr>
      </w:pPr>
      <w:r w:rsidRPr="00F97360">
        <w:rPr>
          <w:rFonts w:ascii="Arial" w:hAnsi="Arial" w:cs="Arial"/>
          <w:sz w:val="20"/>
        </w:rPr>
        <w:t xml:space="preserve">unless the Remuneration Committee decides otherwise, </w:t>
      </w:r>
      <w:r w:rsidR="003C64C8" w:rsidRPr="00F97360">
        <w:rPr>
          <w:rFonts w:ascii="Arial" w:hAnsi="Arial" w:cs="Arial"/>
          <w:sz w:val="20"/>
        </w:rPr>
        <w:t>the Award Holder</w:t>
      </w:r>
      <w:r w:rsidR="005D7AF8" w:rsidRPr="00F97360">
        <w:rPr>
          <w:rFonts w:ascii="Arial" w:hAnsi="Arial" w:cs="Arial"/>
          <w:sz w:val="20"/>
        </w:rPr>
        <w:t xml:space="preserve">, having been </w:t>
      </w:r>
      <w:r w:rsidR="003C64C8" w:rsidRPr="00F97360">
        <w:rPr>
          <w:rFonts w:ascii="Arial" w:hAnsi="Arial" w:cs="Arial"/>
          <w:sz w:val="20"/>
        </w:rPr>
        <w:t>a Good Leaver by reason of retirement with the agreement of the Remuneration Committee, becomes employed in a</w:t>
      </w:r>
      <w:r w:rsidR="007F24C9" w:rsidRPr="00F97360">
        <w:rPr>
          <w:rFonts w:ascii="Arial" w:hAnsi="Arial" w:cs="Arial"/>
          <w:sz w:val="20"/>
        </w:rPr>
        <w:t xml:space="preserve"> paid</w:t>
      </w:r>
      <w:r w:rsidR="003C64C8" w:rsidRPr="00F97360">
        <w:rPr>
          <w:rFonts w:ascii="Arial" w:hAnsi="Arial" w:cs="Arial"/>
          <w:sz w:val="20"/>
        </w:rPr>
        <w:t xml:space="preserve"> executive </w:t>
      </w:r>
      <w:proofErr w:type="gramStart"/>
      <w:r w:rsidR="003C64C8" w:rsidRPr="00F97360">
        <w:rPr>
          <w:rFonts w:ascii="Arial" w:hAnsi="Arial" w:cs="Arial"/>
          <w:sz w:val="20"/>
        </w:rPr>
        <w:t>role;</w:t>
      </w:r>
      <w:proofErr w:type="gramEnd"/>
    </w:p>
    <w:p w14:paraId="5BFFE20A" w14:textId="3723DF32" w:rsidR="003C64C8" w:rsidRPr="00F97360" w:rsidRDefault="0063385F" w:rsidP="00F97360">
      <w:pPr>
        <w:pStyle w:val="Untitledsubclause2"/>
        <w:tabs>
          <w:tab w:val="clear" w:pos="1554"/>
          <w:tab w:val="num" w:pos="1985"/>
        </w:tabs>
        <w:ind w:left="1985"/>
        <w:rPr>
          <w:rFonts w:ascii="Arial" w:hAnsi="Arial" w:cs="Arial"/>
          <w:sz w:val="20"/>
        </w:rPr>
      </w:pPr>
      <w:r w:rsidRPr="00F97360">
        <w:rPr>
          <w:rFonts w:ascii="Arial" w:hAnsi="Arial" w:cs="Arial"/>
          <w:sz w:val="20"/>
        </w:rPr>
        <w:t xml:space="preserve">unless the Remuneration Committee decides otherwise, </w:t>
      </w:r>
      <w:r w:rsidR="003C64C8" w:rsidRPr="00F97360">
        <w:rPr>
          <w:rFonts w:ascii="Arial" w:hAnsi="Arial" w:cs="Arial"/>
          <w:sz w:val="20"/>
        </w:rPr>
        <w:t>an Award Holder who has ceased to be an Employee materially breaches any confidentiality, non-competition, non-</w:t>
      </w:r>
      <w:proofErr w:type="gramStart"/>
      <w:r w:rsidR="003C64C8" w:rsidRPr="00F97360">
        <w:rPr>
          <w:rFonts w:ascii="Arial" w:hAnsi="Arial" w:cs="Arial"/>
          <w:sz w:val="20"/>
        </w:rPr>
        <w:t>disclosure</w:t>
      </w:r>
      <w:proofErr w:type="gramEnd"/>
      <w:r w:rsidR="003C64C8" w:rsidRPr="00F97360">
        <w:rPr>
          <w:rFonts w:ascii="Arial" w:hAnsi="Arial" w:cs="Arial"/>
          <w:sz w:val="20"/>
        </w:rPr>
        <w:t xml:space="preserve"> or non-solicitation agreement with any Group Company</w:t>
      </w:r>
      <w:r w:rsidR="007F24C9" w:rsidRPr="00F97360">
        <w:rPr>
          <w:rFonts w:ascii="Arial" w:hAnsi="Arial" w:cs="Arial"/>
          <w:sz w:val="20"/>
        </w:rPr>
        <w:t>, or</w:t>
      </w:r>
    </w:p>
    <w:p w14:paraId="56712EAE" w14:textId="77777777" w:rsidR="00C6481F" w:rsidRPr="00F97360" w:rsidRDefault="00D8597D" w:rsidP="00F97360">
      <w:pPr>
        <w:pStyle w:val="Untitledsubclause2"/>
        <w:tabs>
          <w:tab w:val="clear" w:pos="1554"/>
          <w:tab w:val="num" w:pos="1985"/>
        </w:tabs>
        <w:ind w:left="1985"/>
        <w:rPr>
          <w:rFonts w:ascii="Arial" w:eastAsia="Times New Roman" w:hAnsi="Arial" w:cs="Arial"/>
          <w:sz w:val="20"/>
        </w:rPr>
      </w:pPr>
      <w:bookmarkStart w:id="319" w:name="_Ref150798366"/>
      <w:r w:rsidRPr="00F97360">
        <w:rPr>
          <w:rFonts w:ascii="Arial" w:eastAsia="Times New Roman" w:hAnsi="Arial" w:cs="Arial"/>
          <w:sz w:val="20"/>
        </w:rPr>
        <w:t>the passing of an effective resolution, or the making of an order by the Court, for the insolvent winding-up of the Company.</w:t>
      </w:r>
      <w:bookmarkEnd w:id="319"/>
    </w:p>
    <w:bookmarkStart w:id="320" w:name="_Ref83051742"/>
    <w:bookmarkStart w:id="321" w:name="_Toc105671033"/>
    <w:bookmarkStart w:id="322" w:name="_Toc103273407"/>
    <w:bookmarkStart w:id="323" w:name="_Ref79683528"/>
    <w:p w14:paraId="494FC217" w14:textId="1A93EF65" w:rsidR="00CD6C08" w:rsidRPr="00F97360" w:rsidRDefault="00CD6C08" w:rsidP="00CD6C08">
      <w:pPr>
        <w:pStyle w:val="TitleClause"/>
        <w:rPr>
          <w:rFonts w:ascii="Arial" w:hAnsi="Arial" w:cs="Arial"/>
          <w:sz w:val="20"/>
        </w:rPr>
      </w:pPr>
      <w:r w:rsidRPr="00F97360">
        <w:rPr>
          <w:rFonts w:ascii="Arial" w:hAnsi="Arial" w:cs="Arial"/>
          <w:sz w:val="20"/>
        </w:rPr>
        <w:fldChar w:fldCharType="begin"/>
      </w:r>
      <w:r w:rsidRPr="00F97360">
        <w:rPr>
          <w:rFonts w:ascii="Arial" w:hAnsi="Arial" w:cs="Arial"/>
          <w:sz w:val="20"/>
        </w:rPr>
        <w:instrText>TC "18. Termination of employment (Options)" \l 1</w:instrText>
      </w:r>
      <w:r w:rsidRPr="00F97360">
        <w:rPr>
          <w:rFonts w:ascii="Arial" w:hAnsi="Arial" w:cs="Arial"/>
          <w:sz w:val="20"/>
        </w:rPr>
        <w:fldChar w:fldCharType="end"/>
      </w:r>
      <w:bookmarkStart w:id="324" w:name="a870810"/>
      <w:bookmarkStart w:id="325" w:name="_Toc105671031"/>
      <w:bookmarkStart w:id="326" w:name="_Toc103273405"/>
      <w:bookmarkStart w:id="327" w:name="_Toc128498874"/>
      <w:bookmarkStart w:id="328" w:name="_Toc145339788"/>
      <w:bookmarkStart w:id="329" w:name="_Toc131682138"/>
      <w:bookmarkStart w:id="330" w:name="_Toc161658072"/>
      <w:r w:rsidRPr="00F97360">
        <w:rPr>
          <w:rFonts w:ascii="Arial" w:hAnsi="Arial" w:cs="Arial"/>
          <w:sz w:val="20"/>
        </w:rPr>
        <w:t>Termination of employment</w:t>
      </w:r>
      <w:bookmarkEnd w:id="324"/>
      <w:bookmarkEnd w:id="325"/>
      <w:bookmarkEnd w:id="326"/>
      <w:bookmarkEnd w:id="327"/>
      <w:r w:rsidR="000C0BDE" w:rsidRPr="00F97360">
        <w:rPr>
          <w:rFonts w:ascii="Arial" w:hAnsi="Arial" w:cs="Arial"/>
          <w:sz w:val="20"/>
        </w:rPr>
        <w:t xml:space="preserve"> </w:t>
      </w:r>
      <w:bookmarkStart w:id="331" w:name="_Hlk161648456"/>
      <w:r w:rsidR="000C0BDE" w:rsidRPr="00F97360">
        <w:rPr>
          <w:rFonts w:ascii="Arial" w:hAnsi="Arial" w:cs="Arial"/>
          <w:sz w:val="20"/>
        </w:rPr>
        <w:t>(</w:t>
      </w:r>
      <w:r w:rsidR="00106D88" w:rsidRPr="00F97360">
        <w:rPr>
          <w:rFonts w:ascii="Arial" w:hAnsi="Arial" w:cs="Arial"/>
          <w:sz w:val="20"/>
        </w:rPr>
        <w:t>Vesting</w:t>
      </w:r>
      <w:r w:rsidR="00C5315D" w:rsidRPr="00F97360">
        <w:rPr>
          <w:rFonts w:ascii="Arial" w:hAnsi="Arial" w:cs="Arial"/>
          <w:sz w:val="20"/>
        </w:rPr>
        <w:t xml:space="preserve"> </w:t>
      </w:r>
      <w:r w:rsidR="00106D88" w:rsidRPr="00F97360">
        <w:rPr>
          <w:rFonts w:ascii="Arial" w:hAnsi="Arial" w:cs="Arial"/>
          <w:sz w:val="20"/>
        </w:rPr>
        <w:t>and exercise period)</w:t>
      </w:r>
      <w:bookmarkEnd w:id="328"/>
      <w:bookmarkEnd w:id="329"/>
      <w:bookmarkEnd w:id="330"/>
      <w:bookmarkEnd w:id="331"/>
    </w:p>
    <w:p w14:paraId="13D5CDB1" w14:textId="36BBE350" w:rsidR="00CD6C08" w:rsidRPr="00F97360" w:rsidRDefault="00CD6C08" w:rsidP="00CD6C08">
      <w:pPr>
        <w:pStyle w:val="Untitledsubclause1"/>
        <w:rPr>
          <w:rFonts w:ascii="Arial" w:hAnsi="Arial" w:cs="Arial"/>
          <w:sz w:val="20"/>
        </w:rPr>
      </w:pPr>
      <w:bookmarkStart w:id="332" w:name="a818297"/>
      <w:bookmarkStart w:id="333" w:name="_Ref111219374"/>
      <w:r w:rsidRPr="00F97360">
        <w:rPr>
          <w:rFonts w:ascii="Arial" w:hAnsi="Arial" w:cs="Arial"/>
          <w:sz w:val="20"/>
        </w:rPr>
        <w:t>If an Award Holder becomes a Good Leaver</w:t>
      </w:r>
      <w:bookmarkEnd w:id="332"/>
      <w:r w:rsidRPr="00F97360">
        <w:rPr>
          <w:rFonts w:ascii="Arial" w:hAnsi="Arial" w:cs="Arial"/>
          <w:sz w:val="20"/>
        </w:rPr>
        <w:t xml:space="preserve"> before the end of the </w:t>
      </w:r>
      <w:r w:rsidR="001C135D" w:rsidRPr="00F97360">
        <w:rPr>
          <w:rFonts w:ascii="Arial" w:hAnsi="Arial" w:cs="Arial"/>
          <w:sz w:val="20"/>
        </w:rPr>
        <w:t>Performance Period (or where there are no Performance Conditions, the Vesting Period)</w:t>
      </w:r>
      <w:r w:rsidRPr="00F97360">
        <w:rPr>
          <w:rFonts w:ascii="Arial" w:hAnsi="Arial" w:cs="Arial"/>
          <w:sz w:val="20"/>
        </w:rPr>
        <w:t>, each Award the</w:t>
      </w:r>
      <w:r w:rsidR="009D1F64" w:rsidRPr="00F97360">
        <w:rPr>
          <w:rFonts w:ascii="Arial" w:hAnsi="Arial" w:cs="Arial"/>
          <w:sz w:val="20"/>
        </w:rPr>
        <w:t>y</w:t>
      </w:r>
      <w:r w:rsidRPr="00F97360">
        <w:rPr>
          <w:rFonts w:ascii="Arial" w:hAnsi="Arial" w:cs="Arial"/>
          <w:sz w:val="20"/>
        </w:rPr>
        <w:t xml:space="preserve"> hold shall (save to the extent the Remuneration Committee decides otherwise) </w:t>
      </w:r>
      <w:r w:rsidR="004629E2" w:rsidRPr="00F97360">
        <w:rPr>
          <w:rFonts w:ascii="Arial" w:hAnsi="Arial" w:cs="Arial"/>
          <w:sz w:val="20"/>
        </w:rPr>
        <w:t xml:space="preserve">continue only </w:t>
      </w:r>
      <w:r w:rsidRPr="00F97360">
        <w:rPr>
          <w:rFonts w:ascii="Arial" w:hAnsi="Arial" w:cs="Arial"/>
          <w:sz w:val="20"/>
        </w:rPr>
        <w:t xml:space="preserve">in respect of a number of Shares (or in the case of a </w:t>
      </w:r>
      <w:r w:rsidR="00B8145D" w:rsidRPr="00F97360">
        <w:rPr>
          <w:rFonts w:ascii="Arial" w:hAnsi="Arial" w:cs="Arial"/>
          <w:sz w:val="20"/>
        </w:rPr>
        <w:t>Cash Award</w:t>
      </w:r>
      <w:r w:rsidRPr="00F97360">
        <w:rPr>
          <w:rFonts w:ascii="Arial" w:hAnsi="Arial" w:cs="Arial"/>
          <w:sz w:val="20"/>
        </w:rPr>
        <w:t>, a number of notional Shares by reference to which the cash payment will be calculated) calculated in accordance with the formula N x (X/Y)</w:t>
      </w:r>
      <w:r w:rsidR="003836DA" w:rsidRPr="00F97360">
        <w:rPr>
          <w:rFonts w:ascii="Arial" w:hAnsi="Arial" w:cs="Arial"/>
          <w:sz w:val="20"/>
        </w:rPr>
        <w:t xml:space="preserve"> (provided that </w:t>
      </w:r>
      <w:r w:rsidR="00D67192" w:rsidRPr="00F97360">
        <w:rPr>
          <w:rFonts w:ascii="Arial" w:hAnsi="Arial" w:cs="Arial"/>
          <w:sz w:val="20"/>
        </w:rPr>
        <w:t>X/Y shall not exceed 1)</w:t>
      </w:r>
      <w:r w:rsidRPr="00F97360">
        <w:rPr>
          <w:rFonts w:ascii="Arial" w:hAnsi="Arial" w:cs="Arial"/>
          <w:sz w:val="20"/>
        </w:rPr>
        <w:t xml:space="preserve"> where:</w:t>
      </w:r>
      <w:bookmarkEnd w:id="333"/>
    </w:p>
    <w:p w14:paraId="0C40B0E8" w14:textId="1B8D1FC4" w:rsidR="00CD6C08" w:rsidRPr="00F97360" w:rsidRDefault="00CD6C08" w:rsidP="00F97360">
      <w:pPr>
        <w:pStyle w:val="Untitledsubclause2"/>
        <w:numPr>
          <w:ilvl w:val="2"/>
          <w:numId w:val="35"/>
        </w:numPr>
        <w:tabs>
          <w:tab w:val="clear" w:pos="1554"/>
          <w:tab w:val="num" w:pos="1985"/>
        </w:tabs>
        <w:ind w:left="1985"/>
        <w:rPr>
          <w:rFonts w:ascii="Arial" w:hAnsi="Arial" w:cs="Arial"/>
          <w:sz w:val="20"/>
        </w:rPr>
      </w:pPr>
      <w:bookmarkStart w:id="334" w:name="a841544"/>
      <w:r w:rsidRPr="00F97360">
        <w:rPr>
          <w:rFonts w:ascii="Arial" w:hAnsi="Arial" w:cs="Arial"/>
          <w:sz w:val="20"/>
        </w:rPr>
        <w:t>N = the number of Shares in relation to which the Award was originally granted, less any Shares (</w:t>
      </w:r>
      <w:proofErr w:type="spellStart"/>
      <w:r w:rsidRPr="00F97360">
        <w:rPr>
          <w:rFonts w:ascii="Arial" w:hAnsi="Arial" w:cs="Arial"/>
          <w:sz w:val="20"/>
        </w:rPr>
        <w:t>i</w:t>
      </w:r>
      <w:proofErr w:type="spellEnd"/>
      <w:r w:rsidRPr="00F97360">
        <w:rPr>
          <w:rFonts w:ascii="Arial" w:hAnsi="Arial" w:cs="Arial"/>
          <w:sz w:val="20"/>
        </w:rPr>
        <w:t xml:space="preserve">) already received by the Award Holder pursuant to the Award </w:t>
      </w:r>
      <w:r w:rsidR="00DB5C86" w:rsidRPr="00F97360">
        <w:rPr>
          <w:rFonts w:ascii="Arial" w:hAnsi="Arial" w:cs="Arial"/>
          <w:sz w:val="20"/>
        </w:rPr>
        <w:t xml:space="preserve">and/or </w:t>
      </w:r>
      <w:r w:rsidRPr="00F97360">
        <w:rPr>
          <w:rFonts w:ascii="Arial" w:hAnsi="Arial" w:cs="Arial"/>
          <w:sz w:val="20"/>
        </w:rPr>
        <w:t xml:space="preserve">(ii) in respect of which the Award has lapsed or been </w:t>
      </w:r>
      <w:proofErr w:type="gramStart"/>
      <w:r w:rsidRPr="00F97360">
        <w:rPr>
          <w:rFonts w:ascii="Arial" w:hAnsi="Arial" w:cs="Arial"/>
          <w:sz w:val="20"/>
        </w:rPr>
        <w:t>surrendered;</w:t>
      </w:r>
      <w:bookmarkEnd w:id="334"/>
      <w:proofErr w:type="gramEnd"/>
    </w:p>
    <w:p w14:paraId="28CF7133" w14:textId="03C21F37" w:rsidR="00CD6C08" w:rsidRPr="00F97360" w:rsidRDefault="00CD6C08" w:rsidP="00F97360">
      <w:pPr>
        <w:pStyle w:val="Untitledsubclause2"/>
        <w:tabs>
          <w:tab w:val="clear" w:pos="1554"/>
          <w:tab w:val="num" w:pos="1985"/>
        </w:tabs>
        <w:ind w:left="1985"/>
        <w:rPr>
          <w:rFonts w:ascii="Arial" w:hAnsi="Arial" w:cs="Arial"/>
          <w:sz w:val="20"/>
        </w:rPr>
      </w:pPr>
      <w:bookmarkStart w:id="335" w:name="a236754"/>
      <w:r w:rsidRPr="00F97360">
        <w:rPr>
          <w:rFonts w:ascii="Arial" w:hAnsi="Arial" w:cs="Arial"/>
          <w:sz w:val="20"/>
        </w:rPr>
        <w:t xml:space="preserve">X = the number of days between </w:t>
      </w:r>
      <w:r w:rsidR="00B450D3" w:rsidRPr="00F97360">
        <w:rPr>
          <w:rFonts w:ascii="Arial" w:hAnsi="Arial" w:cs="Arial"/>
          <w:sz w:val="20"/>
        </w:rPr>
        <w:t>(</w:t>
      </w:r>
      <w:proofErr w:type="spellStart"/>
      <w:r w:rsidR="00B450D3" w:rsidRPr="00F97360">
        <w:rPr>
          <w:rFonts w:ascii="Arial" w:hAnsi="Arial" w:cs="Arial"/>
          <w:sz w:val="20"/>
        </w:rPr>
        <w:t>i</w:t>
      </w:r>
      <w:proofErr w:type="spellEnd"/>
      <w:r w:rsidR="00B450D3" w:rsidRPr="00F97360">
        <w:rPr>
          <w:rFonts w:ascii="Arial" w:hAnsi="Arial" w:cs="Arial"/>
          <w:sz w:val="20"/>
        </w:rPr>
        <w:t xml:space="preserve">) </w:t>
      </w:r>
      <w:r w:rsidRPr="00F97360">
        <w:rPr>
          <w:rFonts w:ascii="Arial" w:hAnsi="Arial" w:cs="Arial"/>
          <w:sz w:val="20"/>
        </w:rPr>
        <w:t xml:space="preserve">the date the Award Holder becomes a Good Leaver and </w:t>
      </w:r>
      <w:r w:rsidR="00D933C4" w:rsidRPr="00F97360">
        <w:rPr>
          <w:rFonts w:ascii="Arial" w:hAnsi="Arial" w:cs="Arial"/>
          <w:sz w:val="20"/>
        </w:rPr>
        <w:t xml:space="preserve">(ii) </w:t>
      </w:r>
      <w:r w:rsidRPr="00F97360">
        <w:rPr>
          <w:rFonts w:ascii="Arial" w:hAnsi="Arial" w:cs="Arial"/>
          <w:sz w:val="20"/>
        </w:rPr>
        <w:t xml:space="preserve">the </w:t>
      </w:r>
      <w:r w:rsidR="00D933C4" w:rsidRPr="00F97360">
        <w:rPr>
          <w:rFonts w:ascii="Arial" w:hAnsi="Arial" w:cs="Arial"/>
          <w:sz w:val="20"/>
        </w:rPr>
        <w:t>first day of</w:t>
      </w:r>
      <w:r w:rsidR="00B450D3" w:rsidRPr="00F97360">
        <w:rPr>
          <w:rFonts w:ascii="Arial" w:hAnsi="Arial" w:cs="Arial"/>
          <w:sz w:val="20"/>
        </w:rPr>
        <w:t xml:space="preserve"> </w:t>
      </w:r>
      <w:r w:rsidRPr="00F97360">
        <w:rPr>
          <w:rFonts w:ascii="Arial" w:hAnsi="Arial" w:cs="Arial"/>
          <w:sz w:val="20"/>
        </w:rPr>
        <w:t>the Performance Period (or where there are no Performance Conditions, the Vesting Period); and</w:t>
      </w:r>
      <w:bookmarkEnd w:id="335"/>
    </w:p>
    <w:p w14:paraId="39367EDB" w14:textId="77777777" w:rsidR="00CD6C08" w:rsidRPr="00F97360" w:rsidRDefault="00CD6C08" w:rsidP="00F97360">
      <w:pPr>
        <w:pStyle w:val="Untitledsubclause2"/>
        <w:tabs>
          <w:tab w:val="clear" w:pos="1554"/>
          <w:tab w:val="num" w:pos="1985"/>
        </w:tabs>
        <w:ind w:left="1985"/>
        <w:rPr>
          <w:rFonts w:ascii="Arial" w:hAnsi="Arial" w:cs="Arial"/>
          <w:sz w:val="20"/>
        </w:rPr>
      </w:pPr>
      <w:bookmarkStart w:id="336" w:name="a254388"/>
      <w:r w:rsidRPr="00F97360">
        <w:rPr>
          <w:rFonts w:ascii="Arial" w:hAnsi="Arial" w:cs="Arial"/>
          <w:sz w:val="20"/>
        </w:rPr>
        <w:t>Y = the number of days in the Performance Period (or where there are no Performance Conditions, the Vesting Period).</w:t>
      </w:r>
      <w:bookmarkEnd w:id="336"/>
    </w:p>
    <w:p w14:paraId="7AAD5C6A" w14:textId="67A6702B" w:rsidR="00CD6C08" w:rsidRPr="00F97360" w:rsidRDefault="00CD6C08" w:rsidP="00CD6C08">
      <w:pPr>
        <w:pStyle w:val="Untitledsubclause1"/>
        <w:rPr>
          <w:rFonts w:ascii="Arial" w:hAnsi="Arial" w:cs="Arial"/>
          <w:sz w:val="20"/>
        </w:rPr>
      </w:pPr>
      <w:bookmarkStart w:id="337" w:name="_Ref79504567"/>
      <w:r w:rsidRPr="00F97360">
        <w:rPr>
          <w:rFonts w:ascii="Arial" w:hAnsi="Arial" w:cs="Arial"/>
          <w:sz w:val="20"/>
        </w:rPr>
        <w:t>If</w:t>
      </w:r>
      <w:r w:rsidR="0088389E" w:rsidRPr="00F97360">
        <w:rPr>
          <w:rFonts w:ascii="Arial" w:hAnsi="Arial" w:cs="Arial"/>
          <w:sz w:val="20"/>
        </w:rPr>
        <w:t xml:space="preserve"> </w:t>
      </w:r>
      <w:r w:rsidRPr="00F97360">
        <w:rPr>
          <w:rFonts w:ascii="Arial" w:hAnsi="Arial" w:cs="Arial"/>
          <w:sz w:val="20"/>
        </w:rPr>
        <w:t xml:space="preserve">the Award Holder becomes a Good Leaver before the Ordinary Vesting Date, the remainder of the Award (after the application of </w:t>
      </w:r>
      <w:r w:rsidRPr="00F97360">
        <w:rPr>
          <w:rFonts w:ascii="Arial" w:hAnsi="Arial" w:cs="Arial"/>
          <w:sz w:val="20"/>
        </w:rPr>
        <w:fldChar w:fldCharType="begin"/>
      </w:r>
      <w:r w:rsidRPr="00F97360">
        <w:rPr>
          <w:rFonts w:ascii="Arial" w:hAnsi="Arial" w:cs="Arial"/>
          <w:sz w:val="20"/>
        </w:rPr>
        <w:instrText>PAGEREF a818297\# "'rule '"  \h</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 xml:space="preserve">rule </w:t>
      </w:r>
      <w:r w:rsidRPr="00F97360">
        <w:rPr>
          <w:rFonts w:ascii="Arial" w:hAnsi="Arial" w:cs="Arial"/>
          <w:sz w:val="20"/>
        </w:rPr>
        <w:fldChar w:fldCharType="end"/>
      </w:r>
      <w:r w:rsidRPr="00F97360">
        <w:rPr>
          <w:rFonts w:ascii="Arial" w:hAnsi="Arial" w:cs="Arial"/>
          <w:sz w:val="20"/>
        </w:rPr>
        <w:fldChar w:fldCharType="begin"/>
      </w:r>
      <w:r w:rsidRPr="00F97360">
        <w:rPr>
          <w:rFonts w:ascii="Arial" w:hAnsi="Arial" w:cs="Arial"/>
          <w:sz w:val="20"/>
          <w:highlight w:val="lightGray"/>
        </w:rPr>
        <w:instrText>REF a818297 \h \w</w:instrText>
      </w:r>
      <w:r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highlight w:val="lightGray"/>
        </w:rPr>
        <w:t>19.1</w:t>
      </w:r>
      <w:r w:rsidRPr="00F97360">
        <w:rPr>
          <w:rFonts w:ascii="Arial" w:hAnsi="Arial" w:cs="Arial"/>
          <w:sz w:val="20"/>
        </w:rPr>
        <w:fldChar w:fldCharType="end"/>
      </w:r>
      <w:r w:rsidRPr="00F97360">
        <w:rPr>
          <w:rFonts w:ascii="Arial" w:hAnsi="Arial" w:cs="Arial"/>
          <w:sz w:val="20"/>
        </w:rPr>
        <w:t>) will Vest on the earliest of:</w:t>
      </w:r>
      <w:bookmarkEnd w:id="337"/>
    </w:p>
    <w:p w14:paraId="67BF4BF0" w14:textId="77777777" w:rsidR="00CD6C08" w:rsidRPr="00F97360" w:rsidRDefault="00CD6C08" w:rsidP="00F97360">
      <w:pPr>
        <w:pStyle w:val="Untitledsubclause2"/>
        <w:numPr>
          <w:ilvl w:val="2"/>
          <w:numId w:val="29"/>
        </w:numPr>
        <w:tabs>
          <w:tab w:val="clear" w:pos="1554"/>
          <w:tab w:val="num" w:pos="1985"/>
        </w:tabs>
        <w:ind w:left="1985" w:hanging="567"/>
        <w:rPr>
          <w:rFonts w:ascii="Arial" w:hAnsi="Arial" w:cs="Arial"/>
          <w:sz w:val="20"/>
        </w:rPr>
      </w:pPr>
      <w:r w:rsidRPr="00F97360">
        <w:rPr>
          <w:rFonts w:ascii="Arial" w:hAnsi="Arial" w:cs="Arial"/>
          <w:sz w:val="20"/>
        </w:rPr>
        <w:lastRenderedPageBreak/>
        <w:t xml:space="preserve">the Ordinary Vesting Date, in respect of a number of Shares determined by the Remuneration Committee, taking account of the extent to which the Performance Condition(s) has/have been </w:t>
      </w:r>
      <w:proofErr w:type="gramStart"/>
      <w:r w:rsidRPr="00F97360">
        <w:rPr>
          <w:rFonts w:ascii="Arial" w:hAnsi="Arial" w:cs="Arial"/>
          <w:sz w:val="20"/>
        </w:rPr>
        <w:t>achieved;</w:t>
      </w:r>
      <w:proofErr w:type="gramEnd"/>
    </w:p>
    <w:p w14:paraId="30D112BA" w14:textId="147DD59D" w:rsidR="00CD6C08" w:rsidRPr="00F97360" w:rsidRDefault="00CD6C08" w:rsidP="00F97360">
      <w:pPr>
        <w:pStyle w:val="Untitledsubclause2"/>
        <w:tabs>
          <w:tab w:val="clear" w:pos="1554"/>
          <w:tab w:val="num" w:pos="1985"/>
        </w:tabs>
        <w:ind w:left="1985" w:hanging="567"/>
        <w:rPr>
          <w:rFonts w:ascii="Arial" w:hAnsi="Arial" w:cs="Arial"/>
          <w:sz w:val="20"/>
        </w:rPr>
      </w:pPr>
      <w:r w:rsidRPr="00F97360">
        <w:rPr>
          <w:rFonts w:ascii="Arial" w:hAnsi="Arial" w:cs="Arial"/>
          <w:sz w:val="20"/>
        </w:rPr>
        <w:t xml:space="preserve">the date on which the Award Vests under </w:t>
      </w:r>
      <w:r w:rsidRPr="00F97360">
        <w:rPr>
          <w:rFonts w:ascii="Arial" w:hAnsi="Arial" w:cs="Arial"/>
          <w:sz w:val="20"/>
        </w:rPr>
        <w:fldChar w:fldCharType="begin"/>
      </w:r>
      <w:r w:rsidRPr="00F97360">
        <w:rPr>
          <w:rFonts w:ascii="Arial" w:hAnsi="Arial" w:cs="Arial"/>
          <w:sz w:val="20"/>
        </w:rPr>
        <w:instrText>PAGEREF a1037750\# "'rule '"  \h</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 xml:space="preserve">rule </w:t>
      </w:r>
      <w:r w:rsidRPr="00F97360">
        <w:rPr>
          <w:rFonts w:ascii="Arial" w:hAnsi="Arial" w:cs="Arial"/>
          <w:sz w:val="20"/>
        </w:rPr>
        <w:fldChar w:fldCharType="end"/>
      </w:r>
      <w:r w:rsidRPr="00F97360">
        <w:rPr>
          <w:rFonts w:ascii="Arial" w:hAnsi="Arial" w:cs="Arial"/>
          <w:sz w:val="20"/>
        </w:rPr>
        <w:fldChar w:fldCharType="begin"/>
      </w:r>
      <w:r w:rsidRPr="00F97360">
        <w:rPr>
          <w:rFonts w:ascii="Arial" w:hAnsi="Arial" w:cs="Arial"/>
          <w:sz w:val="20"/>
          <w:highlight w:val="lightGray"/>
        </w:rPr>
        <w:instrText>REF a1037750 \h \w</w:instrText>
      </w:r>
      <w:r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highlight w:val="lightGray"/>
        </w:rPr>
        <w:t>21</w:t>
      </w:r>
      <w:r w:rsidRPr="00F97360">
        <w:rPr>
          <w:rFonts w:ascii="Arial" w:hAnsi="Arial" w:cs="Arial"/>
          <w:sz w:val="20"/>
        </w:rPr>
        <w:fldChar w:fldCharType="end"/>
      </w:r>
      <w:r w:rsidRPr="00F97360">
        <w:rPr>
          <w:rFonts w:ascii="Arial" w:hAnsi="Arial" w:cs="Arial"/>
          <w:sz w:val="20"/>
        </w:rPr>
        <w:t xml:space="preserve">, after the application of rule </w:t>
      </w:r>
      <w:r w:rsidRPr="00F97360">
        <w:rPr>
          <w:rFonts w:ascii="Arial" w:hAnsi="Arial" w:cs="Arial"/>
          <w:sz w:val="20"/>
        </w:rPr>
        <w:fldChar w:fldCharType="begin"/>
      </w:r>
      <w:r w:rsidRPr="00F97360">
        <w:rPr>
          <w:rFonts w:ascii="Arial" w:hAnsi="Arial" w:cs="Arial"/>
          <w:sz w:val="20"/>
        </w:rPr>
        <w:instrText xml:space="preserve"> REF _Ref80024637 \r \h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21.1(b)</w:t>
      </w:r>
      <w:r w:rsidRPr="00F97360">
        <w:rPr>
          <w:rFonts w:ascii="Arial" w:hAnsi="Arial" w:cs="Arial"/>
          <w:sz w:val="20"/>
        </w:rPr>
        <w:fldChar w:fldCharType="end"/>
      </w:r>
      <w:r w:rsidRPr="00F97360">
        <w:rPr>
          <w:rFonts w:ascii="Arial" w:hAnsi="Arial" w:cs="Arial"/>
          <w:sz w:val="20"/>
        </w:rPr>
        <w:t xml:space="preserve"> (to the extent applicable), and</w:t>
      </w:r>
    </w:p>
    <w:p w14:paraId="5FC8298F" w14:textId="4CA9D39F" w:rsidR="00CD6C08" w:rsidRPr="00F97360" w:rsidRDefault="00CD6C08" w:rsidP="00F97360">
      <w:pPr>
        <w:pStyle w:val="Untitledsubclause2"/>
        <w:tabs>
          <w:tab w:val="clear" w:pos="1554"/>
          <w:tab w:val="num" w:pos="1985"/>
        </w:tabs>
        <w:ind w:left="1985"/>
        <w:rPr>
          <w:rFonts w:ascii="Arial" w:hAnsi="Arial" w:cs="Arial"/>
          <w:sz w:val="20"/>
        </w:rPr>
      </w:pPr>
      <w:r w:rsidRPr="00F97360">
        <w:rPr>
          <w:rFonts w:ascii="Arial" w:hAnsi="Arial" w:cs="Arial"/>
          <w:sz w:val="20"/>
        </w:rPr>
        <w:t xml:space="preserve">such earlier date as the Remuneration Committee may specify, in respect of </w:t>
      </w:r>
      <w:proofErr w:type="gramStart"/>
      <w:r w:rsidRPr="00F97360">
        <w:rPr>
          <w:rFonts w:ascii="Arial" w:hAnsi="Arial" w:cs="Arial"/>
          <w:sz w:val="20"/>
        </w:rPr>
        <w:t>a number of</w:t>
      </w:r>
      <w:proofErr w:type="gramEnd"/>
      <w:r w:rsidRPr="00F97360">
        <w:rPr>
          <w:rFonts w:ascii="Arial" w:hAnsi="Arial" w:cs="Arial"/>
          <w:sz w:val="20"/>
        </w:rPr>
        <w:t xml:space="preserve"> Shares determined by the Remuneration Committee, taking account of the extent to which any Performance Conditions has/have been achieved over the period to date</w:t>
      </w:r>
      <w:r w:rsidR="000C76C5" w:rsidRPr="00F97360">
        <w:rPr>
          <w:rFonts w:ascii="Arial" w:hAnsi="Arial" w:cs="Arial"/>
          <w:sz w:val="20"/>
        </w:rPr>
        <w:t xml:space="preserve"> (or would, in the opinion of the Remuneration Committee, have been achieved over the full Performance Period)</w:t>
      </w:r>
      <w:r w:rsidR="006E5374" w:rsidRPr="00F97360">
        <w:rPr>
          <w:rFonts w:ascii="Arial" w:hAnsi="Arial" w:cs="Arial"/>
          <w:sz w:val="20"/>
        </w:rPr>
        <w:t>,</w:t>
      </w:r>
    </w:p>
    <w:p w14:paraId="3F856993" w14:textId="195C9308" w:rsidR="001C3BC8" w:rsidRPr="00F97360" w:rsidRDefault="001C3BC8" w:rsidP="00C12765">
      <w:pPr>
        <w:pStyle w:val="Untitledsubclause1"/>
        <w:numPr>
          <w:ilvl w:val="0"/>
          <w:numId w:val="0"/>
        </w:numPr>
        <w:ind w:left="720"/>
        <w:rPr>
          <w:rFonts w:ascii="Arial" w:hAnsi="Arial" w:cs="Arial"/>
          <w:sz w:val="20"/>
        </w:rPr>
      </w:pPr>
      <w:r w:rsidRPr="00F97360">
        <w:rPr>
          <w:rFonts w:ascii="Arial" w:hAnsi="Arial" w:cs="Arial"/>
          <w:sz w:val="20"/>
        </w:rPr>
        <w:t xml:space="preserve">save where </w:t>
      </w:r>
      <w:r w:rsidR="00C12765" w:rsidRPr="00F97360">
        <w:rPr>
          <w:rFonts w:ascii="Arial" w:hAnsi="Arial" w:cs="Arial"/>
          <w:sz w:val="20"/>
        </w:rPr>
        <w:t xml:space="preserve">the </w:t>
      </w:r>
      <w:r w:rsidRPr="00F97360">
        <w:rPr>
          <w:rFonts w:ascii="Arial" w:hAnsi="Arial" w:cs="Arial"/>
          <w:sz w:val="20"/>
        </w:rPr>
        <w:t xml:space="preserve">Award Holder becomes a Good Leaver </w:t>
      </w:r>
      <w:r w:rsidR="00FE0BE7" w:rsidRPr="00F97360">
        <w:rPr>
          <w:rFonts w:ascii="Arial" w:hAnsi="Arial" w:cs="Arial"/>
          <w:sz w:val="20"/>
        </w:rPr>
        <w:t xml:space="preserve">by </w:t>
      </w:r>
      <w:r w:rsidR="001B0A6F" w:rsidRPr="00F97360">
        <w:rPr>
          <w:rFonts w:ascii="Arial" w:hAnsi="Arial" w:cs="Arial"/>
          <w:sz w:val="20"/>
        </w:rPr>
        <w:t xml:space="preserve">reason of death, when the remainder of the Award (after the application of </w:t>
      </w:r>
      <w:r w:rsidR="001B0A6F" w:rsidRPr="00F97360">
        <w:rPr>
          <w:rFonts w:ascii="Arial" w:hAnsi="Arial" w:cs="Arial"/>
          <w:sz w:val="20"/>
        </w:rPr>
        <w:fldChar w:fldCharType="begin"/>
      </w:r>
      <w:r w:rsidR="001B0A6F" w:rsidRPr="00F97360">
        <w:rPr>
          <w:rFonts w:ascii="Arial" w:hAnsi="Arial" w:cs="Arial"/>
          <w:sz w:val="20"/>
        </w:rPr>
        <w:instrText>PAGEREF a818297\# "'rule '"  \h</w:instrText>
      </w:r>
      <w:r w:rsidR="001B0A6F" w:rsidRPr="00F97360">
        <w:rPr>
          <w:rFonts w:ascii="Arial" w:hAnsi="Arial" w:cs="Arial"/>
          <w:sz w:val="20"/>
        </w:rPr>
      </w:r>
      <w:r w:rsidR="001B0A6F" w:rsidRPr="00F97360">
        <w:rPr>
          <w:rFonts w:ascii="Arial" w:hAnsi="Arial" w:cs="Arial"/>
          <w:sz w:val="20"/>
        </w:rPr>
        <w:fldChar w:fldCharType="separate"/>
      </w:r>
      <w:r w:rsidR="00710210" w:rsidRPr="00F97360">
        <w:rPr>
          <w:rFonts w:ascii="Arial" w:hAnsi="Arial" w:cs="Arial"/>
          <w:sz w:val="20"/>
        </w:rPr>
        <w:t xml:space="preserve">rule </w:t>
      </w:r>
      <w:r w:rsidR="001B0A6F" w:rsidRPr="00F97360">
        <w:rPr>
          <w:rFonts w:ascii="Arial" w:hAnsi="Arial" w:cs="Arial"/>
          <w:sz w:val="20"/>
        </w:rPr>
        <w:fldChar w:fldCharType="end"/>
      </w:r>
      <w:r w:rsidR="001B0A6F" w:rsidRPr="00F97360">
        <w:rPr>
          <w:rFonts w:ascii="Arial" w:hAnsi="Arial" w:cs="Arial"/>
          <w:sz w:val="20"/>
        </w:rPr>
        <w:fldChar w:fldCharType="begin"/>
      </w:r>
      <w:r w:rsidR="001B0A6F" w:rsidRPr="00F97360">
        <w:rPr>
          <w:rFonts w:ascii="Arial" w:hAnsi="Arial" w:cs="Arial"/>
          <w:sz w:val="20"/>
        </w:rPr>
        <w:instrText xml:space="preserve">REF a818297 \h \w \* MERGEFORMAT </w:instrText>
      </w:r>
      <w:r w:rsidR="001B0A6F" w:rsidRPr="00F97360">
        <w:rPr>
          <w:rFonts w:ascii="Arial" w:hAnsi="Arial" w:cs="Arial"/>
          <w:sz w:val="20"/>
        </w:rPr>
      </w:r>
      <w:r w:rsidR="001B0A6F" w:rsidRPr="00F97360">
        <w:rPr>
          <w:rFonts w:ascii="Arial" w:hAnsi="Arial" w:cs="Arial"/>
          <w:sz w:val="20"/>
        </w:rPr>
        <w:fldChar w:fldCharType="separate"/>
      </w:r>
      <w:r w:rsidR="00710210" w:rsidRPr="00F97360">
        <w:rPr>
          <w:rFonts w:ascii="Arial" w:hAnsi="Arial" w:cs="Arial"/>
          <w:sz w:val="20"/>
        </w:rPr>
        <w:t>19.1</w:t>
      </w:r>
      <w:r w:rsidR="001B0A6F" w:rsidRPr="00F97360">
        <w:rPr>
          <w:rFonts w:ascii="Arial" w:hAnsi="Arial" w:cs="Arial"/>
          <w:sz w:val="20"/>
        </w:rPr>
        <w:fldChar w:fldCharType="end"/>
      </w:r>
      <w:r w:rsidR="001B0A6F" w:rsidRPr="00F97360">
        <w:rPr>
          <w:rFonts w:ascii="Arial" w:hAnsi="Arial" w:cs="Arial"/>
          <w:sz w:val="20"/>
        </w:rPr>
        <w:t xml:space="preserve">) will Vest </w:t>
      </w:r>
      <w:r w:rsidRPr="00F97360">
        <w:rPr>
          <w:rFonts w:ascii="Arial" w:hAnsi="Arial" w:cs="Arial"/>
          <w:sz w:val="20"/>
        </w:rPr>
        <w:t>as soon as practicable after their death</w:t>
      </w:r>
      <w:r w:rsidR="000D0B99" w:rsidRPr="00F97360">
        <w:rPr>
          <w:rFonts w:ascii="Arial" w:hAnsi="Arial" w:cs="Arial"/>
          <w:sz w:val="20"/>
        </w:rPr>
        <w:t xml:space="preserve"> in respect of a number of Shares determined by the Remuneration Committee, taking account of the extent to which any Performance Conditions has/have been achieved over the period to date (or would, in the opinion of the Remuneration Committee, have been achieved over the full Performance Period</w:t>
      </w:r>
      <w:r w:rsidRPr="00F97360">
        <w:rPr>
          <w:rFonts w:ascii="Arial" w:hAnsi="Arial" w:cs="Arial"/>
          <w:sz w:val="20"/>
        </w:rPr>
        <w:t>).</w:t>
      </w:r>
    </w:p>
    <w:p w14:paraId="1CEF3170" w14:textId="3C57F9FC" w:rsidR="00CD6C08" w:rsidRPr="00F97360" w:rsidRDefault="00CD6C08" w:rsidP="00CD6C08">
      <w:pPr>
        <w:pStyle w:val="Untitledsubclause1"/>
        <w:numPr>
          <w:ilvl w:val="1"/>
          <w:numId w:val="23"/>
        </w:numPr>
        <w:rPr>
          <w:rFonts w:ascii="Arial" w:hAnsi="Arial" w:cs="Arial"/>
          <w:sz w:val="20"/>
        </w:rPr>
      </w:pPr>
      <w:bookmarkStart w:id="338" w:name="a781420"/>
      <w:r w:rsidRPr="00F97360">
        <w:rPr>
          <w:rFonts w:ascii="Arial" w:hAnsi="Arial" w:cs="Arial"/>
          <w:sz w:val="20"/>
        </w:rPr>
        <w:t xml:space="preserve">If the relevant Award Certificate specifies different </w:t>
      </w:r>
      <w:r w:rsidR="00824870" w:rsidRPr="00F97360">
        <w:rPr>
          <w:rFonts w:ascii="Arial" w:hAnsi="Arial" w:cs="Arial"/>
          <w:sz w:val="20"/>
        </w:rPr>
        <w:t xml:space="preserve">Performance Periods and/or </w:t>
      </w:r>
      <w:r w:rsidRPr="00F97360">
        <w:rPr>
          <w:rFonts w:ascii="Arial" w:hAnsi="Arial" w:cs="Arial"/>
          <w:sz w:val="20"/>
        </w:rPr>
        <w:t xml:space="preserve">Vesting Periods for different parts of an Award, each part of that Award shall be treated as a separate Award for the purposes of </w:t>
      </w:r>
      <w:r w:rsidRPr="00F97360">
        <w:rPr>
          <w:rFonts w:ascii="Arial" w:hAnsi="Arial" w:cs="Arial"/>
          <w:sz w:val="20"/>
        </w:rPr>
        <w:fldChar w:fldCharType="begin"/>
      </w:r>
      <w:r w:rsidRPr="00F97360">
        <w:rPr>
          <w:rFonts w:ascii="Arial" w:hAnsi="Arial" w:cs="Arial"/>
          <w:sz w:val="20"/>
        </w:rPr>
        <w:instrText xml:space="preserve"> REF _Ref111219374 \r \h </w:instrText>
      </w:r>
      <w:r w:rsidR="004C1A6B"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19.1</w:t>
      </w:r>
      <w:r w:rsidRPr="00F97360">
        <w:rPr>
          <w:rFonts w:ascii="Arial" w:hAnsi="Arial" w:cs="Arial"/>
          <w:sz w:val="20"/>
        </w:rPr>
        <w:fldChar w:fldCharType="end"/>
      </w:r>
      <w:r w:rsidRPr="00F97360">
        <w:rPr>
          <w:rFonts w:ascii="Arial" w:hAnsi="Arial" w:cs="Arial"/>
          <w:sz w:val="20"/>
        </w:rPr>
        <w:t>.</w:t>
      </w:r>
    </w:p>
    <w:p w14:paraId="1F484B0A" w14:textId="5459BD33" w:rsidR="00CD6C08" w:rsidRPr="00F97360" w:rsidRDefault="00CD6C08" w:rsidP="00CD6C08">
      <w:pPr>
        <w:pStyle w:val="Untitledsubclause1"/>
        <w:rPr>
          <w:rFonts w:ascii="Arial" w:hAnsi="Arial" w:cs="Arial"/>
          <w:sz w:val="20"/>
        </w:rPr>
      </w:pPr>
      <w:bookmarkStart w:id="339" w:name="_Ref130804921"/>
      <w:r w:rsidRPr="00F97360">
        <w:rPr>
          <w:rFonts w:ascii="Arial" w:hAnsi="Arial" w:cs="Arial"/>
          <w:sz w:val="20"/>
        </w:rPr>
        <w:t xml:space="preserve">If the Award Holder becomes a Good Leaver before the Ordinary Vesting Date, they (or their personal representatives where they have died) may exercise the Option(s) during the </w:t>
      </w:r>
      <w:r w:rsidR="00D154AB" w:rsidRPr="00F97360">
        <w:rPr>
          <w:rFonts w:ascii="Arial" w:hAnsi="Arial" w:cs="Arial"/>
          <w:sz w:val="20"/>
        </w:rPr>
        <w:t xml:space="preserve">six-month </w:t>
      </w:r>
      <w:r w:rsidRPr="00F97360">
        <w:rPr>
          <w:rFonts w:ascii="Arial" w:hAnsi="Arial" w:cs="Arial"/>
          <w:sz w:val="20"/>
        </w:rPr>
        <w:t xml:space="preserve">period (or period of one year where the Award Holder has become a Good Leaver by reason of death) beginning on the date it Vests under rule </w:t>
      </w:r>
      <w:r w:rsidRPr="00F97360">
        <w:rPr>
          <w:rFonts w:ascii="Arial" w:hAnsi="Arial" w:cs="Arial"/>
          <w:sz w:val="20"/>
        </w:rPr>
        <w:fldChar w:fldCharType="begin"/>
      </w:r>
      <w:r w:rsidRPr="00F97360">
        <w:rPr>
          <w:rFonts w:ascii="Arial" w:hAnsi="Arial" w:cs="Arial"/>
          <w:sz w:val="20"/>
        </w:rPr>
        <w:instrText xml:space="preserve"> REF _Ref79504567 \r \h </w:instrText>
      </w:r>
      <w:r w:rsidR="004C1A6B"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19.2</w:t>
      </w:r>
      <w:r w:rsidRPr="00F97360">
        <w:rPr>
          <w:rFonts w:ascii="Arial" w:hAnsi="Arial" w:cs="Arial"/>
          <w:sz w:val="20"/>
        </w:rPr>
        <w:fldChar w:fldCharType="end"/>
      </w:r>
      <w:r w:rsidRPr="00F97360">
        <w:rPr>
          <w:rFonts w:ascii="Arial" w:hAnsi="Arial" w:cs="Arial"/>
          <w:sz w:val="20"/>
        </w:rPr>
        <w:t xml:space="preserve"> above. An Award Holder who becomes a Good Leaver (or their personal representatives) on or after the Ordinary Vesting Date may exercise the Option</w:t>
      </w:r>
      <w:r w:rsidR="00F81F64" w:rsidRPr="00F97360">
        <w:rPr>
          <w:rFonts w:ascii="Arial" w:hAnsi="Arial" w:cs="Arial"/>
          <w:sz w:val="20"/>
        </w:rPr>
        <w:t>(s)</w:t>
      </w:r>
      <w:r w:rsidRPr="00F97360">
        <w:rPr>
          <w:rFonts w:ascii="Arial" w:hAnsi="Arial" w:cs="Arial"/>
          <w:sz w:val="20"/>
        </w:rPr>
        <w:t xml:space="preserve"> during the </w:t>
      </w:r>
      <w:r w:rsidR="00D154AB" w:rsidRPr="00F97360">
        <w:rPr>
          <w:rFonts w:ascii="Arial" w:hAnsi="Arial" w:cs="Arial"/>
          <w:sz w:val="20"/>
        </w:rPr>
        <w:t xml:space="preserve">six-month </w:t>
      </w:r>
      <w:r w:rsidRPr="00F97360">
        <w:rPr>
          <w:rFonts w:ascii="Arial" w:hAnsi="Arial" w:cs="Arial"/>
          <w:sz w:val="20"/>
        </w:rPr>
        <w:t xml:space="preserve">period following the date </w:t>
      </w:r>
      <w:bookmarkStart w:id="340" w:name="a142377"/>
      <w:r w:rsidRPr="00F97360">
        <w:rPr>
          <w:rFonts w:ascii="Arial" w:hAnsi="Arial" w:cs="Arial"/>
          <w:sz w:val="20"/>
        </w:rPr>
        <w:t>the Award Holder becomes a Good Leaver</w:t>
      </w:r>
      <w:bookmarkStart w:id="341" w:name="a818966"/>
      <w:r w:rsidRPr="00F97360">
        <w:rPr>
          <w:rFonts w:ascii="Arial" w:hAnsi="Arial" w:cs="Arial"/>
          <w:sz w:val="20"/>
        </w:rPr>
        <w:t xml:space="preserve"> (or where the Award Holder has become a Good Leaver by reason of death, until the first anniversary of the </w:t>
      </w:r>
      <w:bookmarkEnd w:id="341"/>
      <w:r w:rsidRPr="00F97360">
        <w:rPr>
          <w:rFonts w:ascii="Arial" w:hAnsi="Arial" w:cs="Arial"/>
          <w:sz w:val="20"/>
        </w:rPr>
        <w:t>date of the Award Holder’s death).</w:t>
      </w:r>
      <w:bookmarkEnd w:id="338"/>
      <w:bookmarkEnd w:id="339"/>
      <w:bookmarkEnd w:id="340"/>
    </w:p>
    <w:p w14:paraId="69BEB45D" w14:textId="0B981220" w:rsidR="00C54DC5" w:rsidRPr="00F97360" w:rsidRDefault="00C54DC5" w:rsidP="00C54DC5">
      <w:pPr>
        <w:pStyle w:val="Untitledsubclause1"/>
        <w:rPr>
          <w:rFonts w:ascii="Arial" w:hAnsi="Arial" w:cs="Arial"/>
          <w:sz w:val="20"/>
        </w:rPr>
      </w:pPr>
      <w:r w:rsidRPr="00F97360">
        <w:rPr>
          <w:rFonts w:ascii="Arial" w:hAnsi="Arial" w:cs="Arial"/>
          <w:sz w:val="20"/>
        </w:rPr>
        <w:t xml:space="preserve">For the avoidance of doubt, when an Award Holder is a Good Leaver, </w:t>
      </w:r>
      <w:r w:rsidR="00A217F3" w:rsidRPr="00F97360">
        <w:rPr>
          <w:rFonts w:ascii="Arial" w:hAnsi="Arial" w:cs="Arial"/>
          <w:sz w:val="20"/>
        </w:rPr>
        <w:t xml:space="preserve">any Holding Period shall continue to apply, </w:t>
      </w:r>
      <w:r w:rsidRPr="00F97360">
        <w:rPr>
          <w:rFonts w:ascii="Arial" w:hAnsi="Arial" w:cs="Arial"/>
          <w:sz w:val="20"/>
        </w:rPr>
        <w:t>unless the Remuneration Committee decides otherwise.</w:t>
      </w:r>
    </w:p>
    <w:p w14:paraId="56712EC4" w14:textId="34072737" w:rsidR="001B21E5" w:rsidRPr="00F97360" w:rsidRDefault="00D8597D" w:rsidP="00E26C42">
      <w:pPr>
        <w:pStyle w:val="TitleClause"/>
        <w:numPr>
          <w:ilvl w:val="0"/>
          <w:numId w:val="36"/>
        </w:numPr>
        <w:rPr>
          <w:rFonts w:ascii="Arial" w:hAnsi="Arial" w:cs="Arial"/>
          <w:sz w:val="20"/>
        </w:rPr>
      </w:pPr>
      <w:bookmarkStart w:id="342" w:name="_Toc145339789"/>
      <w:bookmarkStart w:id="343" w:name="_Toc131682139"/>
      <w:bookmarkStart w:id="344" w:name="_Toc161658073"/>
      <w:r w:rsidRPr="00F97360">
        <w:rPr>
          <w:rFonts w:ascii="Arial" w:hAnsi="Arial" w:cs="Arial"/>
          <w:sz w:val="20"/>
        </w:rPr>
        <w:t>Termination of employment (</w:t>
      </w:r>
      <w:r w:rsidR="00A10022" w:rsidRPr="00F97360">
        <w:rPr>
          <w:rFonts w:ascii="Arial" w:hAnsi="Arial" w:cs="Arial"/>
          <w:sz w:val="20"/>
        </w:rPr>
        <w:t>timing</w:t>
      </w:r>
      <w:r w:rsidRPr="00F97360">
        <w:rPr>
          <w:rFonts w:ascii="Arial" w:hAnsi="Arial" w:cs="Arial"/>
          <w:sz w:val="20"/>
        </w:rPr>
        <w:t>)</w:t>
      </w:r>
      <w:bookmarkEnd w:id="320"/>
      <w:bookmarkEnd w:id="321"/>
      <w:bookmarkEnd w:id="322"/>
      <w:bookmarkEnd w:id="342"/>
      <w:bookmarkEnd w:id="343"/>
      <w:bookmarkEnd w:id="344"/>
    </w:p>
    <w:p w14:paraId="56712EC5" w14:textId="173ED979" w:rsidR="00D33C4E" w:rsidRPr="00F97360" w:rsidRDefault="00D024C9" w:rsidP="003D1697">
      <w:pPr>
        <w:pStyle w:val="Untitledsubclause1"/>
        <w:rPr>
          <w:rFonts w:ascii="Arial" w:hAnsi="Arial" w:cs="Arial"/>
          <w:sz w:val="20"/>
        </w:rPr>
      </w:pPr>
      <w:r w:rsidRPr="00F97360">
        <w:rPr>
          <w:rFonts w:ascii="Arial" w:hAnsi="Arial" w:cs="Arial"/>
          <w:sz w:val="20"/>
        </w:rPr>
        <w:t>F</w:t>
      </w:r>
      <w:r w:rsidR="00D8597D" w:rsidRPr="00F97360">
        <w:rPr>
          <w:rFonts w:ascii="Arial" w:hAnsi="Arial" w:cs="Arial"/>
          <w:sz w:val="20"/>
        </w:rPr>
        <w:t xml:space="preserve">or the purposes of rule </w:t>
      </w:r>
      <w:r w:rsidR="00D8597D" w:rsidRPr="00F97360">
        <w:rPr>
          <w:rFonts w:ascii="Arial" w:hAnsi="Arial" w:cs="Arial"/>
          <w:sz w:val="20"/>
        </w:rPr>
        <w:fldChar w:fldCharType="begin"/>
      </w:r>
      <w:r w:rsidR="00D8597D" w:rsidRPr="00F97360">
        <w:rPr>
          <w:rFonts w:ascii="Arial" w:hAnsi="Arial" w:cs="Arial"/>
          <w:sz w:val="20"/>
        </w:rPr>
        <w:instrText xml:space="preserve"> REF a870810 \r \h  \* MERGEFORMAT </w:instrText>
      </w:r>
      <w:r w:rsidR="00D8597D" w:rsidRPr="00F97360">
        <w:rPr>
          <w:rFonts w:ascii="Arial" w:hAnsi="Arial" w:cs="Arial"/>
          <w:sz w:val="20"/>
        </w:rPr>
      </w:r>
      <w:r w:rsidR="00D8597D" w:rsidRPr="00F97360">
        <w:rPr>
          <w:rFonts w:ascii="Arial" w:hAnsi="Arial" w:cs="Arial"/>
          <w:sz w:val="20"/>
        </w:rPr>
        <w:fldChar w:fldCharType="separate"/>
      </w:r>
      <w:r w:rsidR="00710210" w:rsidRPr="00F97360">
        <w:rPr>
          <w:rFonts w:ascii="Arial" w:hAnsi="Arial" w:cs="Arial"/>
          <w:sz w:val="20"/>
        </w:rPr>
        <w:t>19</w:t>
      </w:r>
      <w:r w:rsidR="00D8597D" w:rsidRPr="00F97360">
        <w:rPr>
          <w:rFonts w:ascii="Arial" w:hAnsi="Arial" w:cs="Arial"/>
          <w:sz w:val="20"/>
        </w:rPr>
        <w:fldChar w:fldCharType="end"/>
      </w:r>
      <w:r w:rsidR="00D8597D" w:rsidRPr="00F97360">
        <w:rPr>
          <w:rFonts w:ascii="Arial" w:hAnsi="Arial" w:cs="Arial"/>
          <w:sz w:val="20"/>
        </w:rPr>
        <w:t xml:space="preserve">, </w:t>
      </w:r>
      <w:r w:rsidR="00AA32FF" w:rsidRPr="00F97360">
        <w:rPr>
          <w:rFonts w:ascii="Arial" w:hAnsi="Arial" w:cs="Arial"/>
          <w:sz w:val="20"/>
        </w:rPr>
        <w:t>an Award Holder</w:t>
      </w:r>
      <w:r w:rsidR="00D8597D" w:rsidRPr="00F97360">
        <w:rPr>
          <w:rFonts w:ascii="Arial" w:hAnsi="Arial" w:cs="Arial"/>
          <w:sz w:val="20"/>
        </w:rPr>
        <w:t xml:space="preserve"> shall not be treated as ceasing to be an Employee until he or she no longer holds any office or employment with any Group Company. </w:t>
      </w:r>
      <w:r w:rsidR="00AA32FF" w:rsidRPr="00F97360">
        <w:rPr>
          <w:rFonts w:ascii="Arial" w:hAnsi="Arial" w:cs="Arial"/>
          <w:sz w:val="20"/>
        </w:rPr>
        <w:t>An Award Holder</w:t>
      </w:r>
      <w:r w:rsidR="00D8597D" w:rsidRPr="00F97360">
        <w:rPr>
          <w:rFonts w:ascii="Arial" w:hAnsi="Arial" w:cs="Arial"/>
          <w:sz w:val="20"/>
        </w:rPr>
        <w:t xml:space="preserve"> who ceases to be an Employee in circumstances where they retain a statutory right to return to work shall only be treated as having ceased to be an Employee from such time (if at all) as they cease to have such a right to return to work.</w:t>
      </w:r>
    </w:p>
    <w:bookmarkEnd w:id="323"/>
    <w:p w14:paraId="56712EC7" w14:textId="56A76E16" w:rsidR="007B4FB5" w:rsidRPr="00F97360" w:rsidRDefault="00D8597D" w:rsidP="007B4FB5">
      <w:pPr>
        <w:pStyle w:val="TitleClause"/>
        <w:rPr>
          <w:rFonts w:ascii="Arial" w:hAnsi="Arial" w:cs="Arial"/>
          <w:sz w:val="20"/>
        </w:rPr>
      </w:pPr>
      <w:r w:rsidRPr="00F97360">
        <w:rPr>
          <w:rFonts w:ascii="Arial" w:hAnsi="Arial" w:cs="Arial"/>
          <w:sz w:val="20"/>
        </w:rPr>
        <w:lastRenderedPageBreak/>
        <w:fldChar w:fldCharType="begin"/>
      </w:r>
      <w:r w:rsidRPr="00F97360">
        <w:rPr>
          <w:rFonts w:ascii="Arial" w:hAnsi="Arial" w:cs="Arial"/>
          <w:sz w:val="20"/>
        </w:rPr>
        <w:instrText>TC "20. Takeovers and liquidations" \l 1</w:instrText>
      </w:r>
      <w:r w:rsidRPr="00F97360">
        <w:rPr>
          <w:rFonts w:ascii="Arial" w:hAnsi="Arial" w:cs="Arial"/>
          <w:sz w:val="20"/>
        </w:rPr>
        <w:fldChar w:fldCharType="end"/>
      </w:r>
      <w:r w:rsidR="00D92BB4" w:rsidRPr="00F97360">
        <w:rPr>
          <w:rFonts w:ascii="Arial" w:hAnsi="Arial" w:cs="Arial"/>
          <w:sz w:val="20"/>
        </w:rPr>
        <w:fldChar w:fldCharType="begin"/>
      </w:r>
      <w:r w:rsidR="00D92BB4" w:rsidRPr="00F97360">
        <w:rPr>
          <w:rFonts w:ascii="Arial" w:hAnsi="Arial" w:cs="Arial"/>
          <w:sz w:val="20"/>
        </w:rPr>
        <w:instrText>TC "20. Takeovers and liquidations" \l 1</w:instrText>
      </w:r>
      <w:r w:rsidR="00D92BB4" w:rsidRPr="00F97360">
        <w:rPr>
          <w:rFonts w:ascii="Arial" w:hAnsi="Arial" w:cs="Arial"/>
          <w:sz w:val="20"/>
        </w:rPr>
        <w:fldChar w:fldCharType="end"/>
      </w:r>
      <w:bookmarkStart w:id="345" w:name="_Toc103273409"/>
      <w:bookmarkStart w:id="346" w:name="a1037750"/>
      <w:bookmarkStart w:id="347" w:name="_Toc107828234"/>
      <w:bookmarkStart w:id="348" w:name="_Toc109738474"/>
      <w:bookmarkStart w:id="349" w:name="_Toc145339791"/>
      <w:bookmarkStart w:id="350" w:name="_Toc131682141"/>
      <w:bookmarkStart w:id="351" w:name="_Toc161658074"/>
      <w:r w:rsidR="00D92BB4" w:rsidRPr="00F97360">
        <w:rPr>
          <w:rFonts w:ascii="Arial" w:hAnsi="Arial" w:cs="Arial"/>
          <w:sz w:val="20"/>
        </w:rPr>
        <w:t>Takeovers and liquidations</w:t>
      </w:r>
      <w:bookmarkEnd w:id="345"/>
      <w:bookmarkEnd w:id="346"/>
      <w:bookmarkEnd w:id="347"/>
      <w:bookmarkEnd w:id="348"/>
      <w:bookmarkEnd w:id="349"/>
      <w:bookmarkEnd w:id="350"/>
      <w:bookmarkEnd w:id="351"/>
    </w:p>
    <w:p w14:paraId="56712EC8" w14:textId="28987006" w:rsidR="007B4FB5" w:rsidRPr="00F97360" w:rsidRDefault="0028081B" w:rsidP="00632217">
      <w:pPr>
        <w:pStyle w:val="Untitledsubclause1"/>
        <w:rPr>
          <w:rFonts w:ascii="Arial" w:hAnsi="Arial" w:cs="Arial"/>
          <w:sz w:val="20"/>
        </w:rPr>
      </w:pPr>
      <w:bookmarkStart w:id="352" w:name="a324210"/>
      <w:r w:rsidRPr="00F97360">
        <w:rPr>
          <w:rFonts w:ascii="Arial" w:hAnsi="Arial" w:cs="Arial"/>
          <w:sz w:val="20"/>
        </w:rPr>
        <w:t xml:space="preserve">Where a Change of Control occurs during the </w:t>
      </w:r>
      <w:r w:rsidR="00E86743" w:rsidRPr="00F97360">
        <w:rPr>
          <w:rFonts w:ascii="Arial" w:hAnsi="Arial" w:cs="Arial"/>
          <w:sz w:val="20"/>
        </w:rPr>
        <w:t>Performance Period (or where the Award is not subject to Performance Conditions, the Vesting Period)</w:t>
      </w:r>
      <w:r w:rsidRPr="00F97360">
        <w:rPr>
          <w:rFonts w:ascii="Arial" w:hAnsi="Arial" w:cs="Arial"/>
          <w:sz w:val="20"/>
        </w:rPr>
        <w:t>, the Remuneration Committee will determine the number of Shares in respect of which a</w:t>
      </w:r>
      <w:r w:rsidR="00C0367E" w:rsidRPr="00F97360">
        <w:rPr>
          <w:rFonts w:ascii="Arial" w:hAnsi="Arial" w:cs="Arial"/>
          <w:sz w:val="20"/>
        </w:rPr>
        <w:t>n</w:t>
      </w:r>
      <w:r w:rsidRPr="00F97360">
        <w:rPr>
          <w:rFonts w:ascii="Arial" w:hAnsi="Arial" w:cs="Arial"/>
          <w:sz w:val="20"/>
        </w:rPr>
        <w:t xml:space="preserve"> </w:t>
      </w:r>
      <w:r w:rsidR="00D67DB9" w:rsidRPr="00F97360">
        <w:rPr>
          <w:rFonts w:ascii="Arial" w:hAnsi="Arial" w:cs="Arial"/>
          <w:sz w:val="20"/>
        </w:rPr>
        <w:t>Award</w:t>
      </w:r>
      <w:r w:rsidRPr="00F97360">
        <w:rPr>
          <w:rFonts w:ascii="Arial" w:hAnsi="Arial" w:cs="Arial"/>
          <w:sz w:val="20"/>
        </w:rPr>
        <w:t xml:space="preserve"> will Vest </w:t>
      </w:r>
      <w:r w:rsidR="00632217" w:rsidRPr="00F97360">
        <w:rPr>
          <w:rFonts w:ascii="Arial" w:hAnsi="Arial" w:cs="Arial"/>
          <w:sz w:val="20"/>
        </w:rPr>
        <w:t>(and in</w:t>
      </w:r>
      <w:r w:rsidR="00EE4058" w:rsidRPr="00F97360">
        <w:rPr>
          <w:rFonts w:ascii="Arial" w:hAnsi="Arial" w:cs="Arial"/>
          <w:sz w:val="20"/>
        </w:rPr>
        <w:t xml:space="preserve"> the</w:t>
      </w:r>
      <w:r w:rsidR="00632217" w:rsidRPr="00F97360">
        <w:rPr>
          <w:rFonts w:ascii="Arial" w:hAnsi="Arial" w:cs="Arial"/>
          <w:sz w:val="20"/>
        </w:rPr>
        <w:t xml:space="preserve"> case of a </w:t>
      </w:r>
      <w:r w:rsidR="00B8145D" w:rsidRPr="00F97360">
        <w:rPr>
          <w:rFonts w:ascii="Arial" w:hAnsi="Arial" w:cs="Arial"/>
          <w:sz w:val="20"/>
        </w:rPr>
        <w:t>Cash Award</w:t>
      </w:r>
      <w:r w:rsidR="00632217" w:rsidRPr="00F97360">
        <w:rPr>
          <w:rFonts w:ascii="Arial" w:hAnsi="Arial" w:cs="Arial"/>
          <w:sz w:val="20"/>
        </w:rPr>
        <w:t>, the number of notional Shares by reference to which the cash payment will be calculated)</w:t>
      </w:r>
      <w:r w:rsidR="00C0367E" w:rsidRPr="00F97360">
        <w:rPr>
          <w:rFonts w:ascii="Arial" w:hAnsi="Arial" w:cs="Arial"/>
          <w:sz w:val="20"/>
        </w:rPr>
        <w:t xml:space="preserve"> (the </w:t>
      </w:r>
      <w:r w:rsidR="00420BBF" w:rsidRPr="00F97360">
        <w:rPr>
          <w:rFonts w:ascii="Arial" w:hAnsi="Arial" w:cs="Arial"/>
          <w:sz w:val="20"/>
        </w:rPr>
        <w:t>“</w:t>
      </w:r>
      <w:r w:rsidR="00420BBF" w:rsidRPr="00F97360">
        <w:rPr>
          <w:rFonts w:ascii="Arial" w:hAnsi="Arial" w:cs="Arial"/>
          <w:b/>
          <w:bCs/>
          <w:sz w:val="20"/>
        </w:rPr>
        <w:t xml:space="preserve">Relevant </w:t>
      </w:r>
      <w:r w:rsidR="00C0367E" w:rsidRPr="00F97360">
        <w:rPr>
          <w:rFonts w:ascii="Arial" w:hAnsi="Arial" w:cs="Arial"/>
          <w:b/>
          <w:bCs/>
          <w:sz w:val="20"/>
        </w:rPr>
        <w:t>Number</w:t>
      </w:r>
      <w:r w:rsidR="00420BBF" w:rsidRPr="00F97360">
        <w:rPr>
          <w:rFonts w:ascii="Arial" w:hAnsi="Arial" w:cs="Arial"/>
          <w:sz w:val="20"/>
        </w:rPr>
        <w:t>”</w:t>
      </w:r>
      <w:r w:rsidR="00C0367E" w:rsidRPr="00F97360">
        <w:rPr>
          <w:rFonts w:ascii="Arial" w:hAnsi="Arial" w:cs="Arial"/>
          <w:sz w:val="20"/>
        </w:rPr>
        <w:t>)</w:t>
      </w:r>
      <w:r w:rsidR="00632217" w:rsidRPr="00F97360">
        <w:rPr>
          <w:rFonts w:ascii="Arial" w:hAnsi="Arial" w:cs="Arial"/>
          <w:sz w:val="20"/>
        </w:rPr>
        <w:t xml:space="preserve"> </w:t>
      </w:r>
      <w:r w:rsidR="00D8597D" w:rsidRPr="00F97360">
        <w:rPr>
          <w:rFonts w:ascii="Arial" w:hAnsi="Arial" w:cs="Arial"/>
          <w:sz w:val="20"/>
        </w:rPr>
        <w:t>as follows:</w:t>
      </w:r>
      <w:bookmarkEnd w:id="352"/>
    </w:p>
    <w:p w14:paraId="7306D337" w14:textId="047725C5" w:rsidR="00971F27" w:rsidRPr="00F97360" w:rsidRDefault="00971F27" w:rsidP="00F97360">
      <w:pPr>
        <w:pStyle w:val="Untitledsubclause2"/>
        <w:tabs>
          <w:tab w:val="clear" w:pos="1554"/>
          <w:tab w:val="num" w:pos="1985"/>
        </w:tabs>
        <w:ind w:left="1985"/>
        <w:rPr>
          <w:rFonts w:ascii="Arial" w:hAnsi="Arial" w:cs="Arial"/>
          <w:sz w:val="20"/>
        </w:rPr>
      </w:pPr>
      <w:bookmarkStart w:id="353" w:name="a354667"/>
      <w:r w:rsidRPr="00F97360">
        <w:rPr>
          <w:rFonts w:ascii="Arial" w:hAnsi="Arial" w:cs="Arial"/>
          <w:sz w:val="20"/>
        </w:rPr>
        <w:t>save (</w:t>
      </w:r>
      <w:proofErr w:type="spellStart"/>
      <w:r w:rsidRPr="00F97360">
        <w:rPr>
          <w:rFonts w:ascii="Arial" w:hAnsi="Arial" w:cs="Arial"/>
          <w:sz w:val="20"/>
        </w:rPr>
        <w:t>i</w:t>
      </w:r>
      <w:proofErr w:type="spellEnd"/>
      <w:r w:rsidRPr="00F97360">
        <w:rPr>
          <w:rFonts w:ascii="Arial" w:hAnsi="Arial" w:cs="Arial"/>
          <w:sz w:val="20"/>
        </w:rPr>
        <w:t xml:space="preserve">) to the extent the Remuneration Committee decides otherwise, and (ii) in respect of an Award held by a Good Leaver where the number of Shares subject to the Award was reduced under rule </w:t>
      </w:r>
      <w:r w:rsidRPr="00F97360">
        <w:rPr>
          <w:rFonts w:ascii="Arial" w:hAnsi="Arial" w:cs="Arial"/>
          <w:sz w:val="20"/>
        </w:rPr>
        <w:fldChar w:fldCharType="begin"/>
      </w:r>
      <w:r w:rsidRPr="00F97360">
        <w:rPr>
          <w:rFonts w:ascii="Arial" w:hAnsi="Arial" w:cs="Arial"/>
          <w:sz w:val="20"/>
        </w:rPr>
        <w:instrText xml:space="preserve"> REF _Ref111219374 \r \h </w:instrText>
      </w:r>
      <w:r w:rsidR="004C1A6B"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19.1</w:t>
      </w:r>
      <w:r w:rsidRPr="00F97360">
        <w:rPr>
          <w:rFonts w:ascii="Arial" w:hAnsi="Arial" w:cs="Arial"/>
          <w:sz w:val="20"/>
        </w:rPr>
        <w:fldChar w:fldCharType="end"/>
      </w:r>
      <w:r w:rsidR="0075048E" w:rsidRPr="00F97360">
        <w:rPr>
          <w:rFonts w:ascii="Arial" w:hAnsi="Arial" w:cs="Arial"/>
          <w:sz w:val="20"/>
        </w:rPr>
        <w:t xml:space="preserve">, </w:t>
      </w:r>
      <w:r w:rsidRPr="00F97360">
        <w:rPr>
          <w:rFonts w:ascii="Arial" w:hAnsi="Arial" w:cs="Arial"/>
          <w:sz w:val="20"/>
        </w:rPr>
        <w:t xml:space="preserve">multiply the number of Shares in relation to which the Award was originally granted, less any Shares </w:t>
      </w:r>
      <w:r w:rsidR="009C27E1" w:rsidRPr="00F97360">
        <w:rPr>
          <w:rFonts w:ascii="Arial" w:hAnsi="Arial" w:cs="Arial"/>
          <w:sz w:val="20"/>
        </w:rPr>
        <w:t>(</w:t>
      </w:r>
      <w:proofErr w:type="spellStart"/>
      <w:r w:rsidR="009C27E1" w:rsidRPr="00F97360">
        <w:rPr>
          <w:rFonts w:ascii="Arial" w:hAnsi="Arial" w:cs="Arial"/>
          <w:sz w:val="20"/>
        </w:rPr>
        <w:t>i</w:t>
      </w:r>
      <w:proofErr w:type="spellEnd"/>
      <w:r w:rsidR="009C27E1" w:rsidRPr="00F97360">
        <w:rPr>
          <w:rFonts w:ascii="Arial" w:hAnsi="Arial" w:cs="Arial"/>
          <w:sz w:val="20"/>
        </w:rPr>
        <w:t>) already received by the Award Holder pursuant to the Award</w:t>
      </w:r>
      <w:r w:rsidR="00C10A95" w:rsidRPr="00F97360">
        <w:rPr>
          <w:rFonts w:ascii="Arial" w:hAnsi="Arial" w:cs="Arial"/>
          <w:sz w:val="20"/>
        </w:rPr>
        <w:t xml:space="preserve"> and/or</w:t>
      </w:r>
      <w:r w:rsidR="009C27E1" w:rsidRPr="00F97360">
        <w:rPr>
          <w:rFonts w:ascii="Arial" w:hAnsi="Arial" w:cs="Arial"/>
          <w:sz w:val="20"/>
        </w:rPr>
        <w:t xml:space="preserve"> (ii) in respect of which the Award has lapsed or been surrendered</w:t>
      </w:r>
      <w:r w:rsidRPr="00F97360">
        <w:rPr>
          <w:rFonts w:ascii="Arial" w:hAnsi="Arial" w:cs="Arial"/>
          <w:sz w:val="20"/>
        </w:rPr>
        <w:t>, by X/Y (provided that this shall not exceed 1) where:</w:t>
      </w:r>
    </w:p>
    <w:p w14:paraId="67E1E5B5" w14:textId="081290F0" w:rsidR="00971F27" w:rsidRPr="00F97360" w:rsidRDefault="00971F27" w:rsidP="00971F27">
      <w:pPr>
        <w:pStyle w:val="Untitledsubclause3"/>
        <w:rPr>
          <w:rFonts w:ascii="Arial" w:hAnsi="Arial" w:cs="Arial"/>
          <w:sz w:val="20"/>
        </w:rPr>
      </w:pPr>
      <w:r w:rsidRPr="00F97360">
        <w:rPr>
          <w:rFonts w:ascii="Arial" w:hAnsi="Arial" w:cs="Arial"/>
          <w:sz w:val="20"/>
        </w:rPr>
        <w:t xml:space="preserve">X = the number of days between the </w:t>
      </w:r>
      <w:r w:rsidR="0022414D" w:rsidRPr="00F97360">
        <w:rPr>
          <w:rFonts w:ascii="Arial" w:hAnsi="Arial" w:cs="Arial"/>
          <w:sz w:val="20"/>
        </w:rPr>
        <w:t xml:space="preserve">first day of the Performance </w:t>
      </w:r>
      <w:r w:rsidRPr="00F97360">
        <w:rPr>
          <w:rFonts w:ascii="Arial" w:hAnsi="Arial" w:cs="Arial"/>
          <w:sz w:val="20"/>
        </w:rPr>
        <w:t>Period (or, where the Award is not subject to Performance Conditions, the Grant Date) and the date (or expected date) of the Change of Control</w:t>
      </w:r>
      <w:r w:rsidR="009B6C6B" w:rsidRPr="00F97360">
        <w:rPr>
          <w:rFonts w:ascii="Arial" w:hAnsi="Arial" w:cs="Arial"/>
          <w:sz w:val="20"/>
        </w:rPr>
        <w:t>;</w:t>
      </w:r>
      <w:r w:rsidRPr="00F97360">
        <w:rPr>
          <w:rFonts w:ascii="Arial" w:hAnsi="Arial" w:cs="Arial"/>
          <w:sz w:val="20"/>
        </w:rPr>
        <w:t xml:space="preserve"> and</w:t>
      </w:r>
    </w:p>
    <w:p w14:paraId="65D46DF9" w14:textId="2C698AC1" w:rsidR="00971F27" w:rsidRPr="00F97360" w:rsidRDefault="00971F27" w:rsidP="00971F27">
      <w:pPr>
        <w:pStyle w:val="Untitledsubclause3"/>
        <w:numPr>
          <w:ilvl w:val="3"/>
          <w:numId w:val="23"/>
        </w:numPr>
        <w:rPr>
          <w:rFonts w:ascii="Arial" w:hAnsi="Arial" w:cs="Arial"/>
          <w:sz w:val="20"/>
        </w:rPr>
      </w:pPr>
      <w:r w:rsidRPr="00F97360">
        <w:rPr>
          <w:rFonts w:ascii="Arial" w:hAnsi="Arial" w:cs="Arial"/>
          <w:sz w:val="20"/>
        </w:rPr>
        <w:t>Y = the number of days in the Performance Period (or where the Award is not subject to Performance Conditions, the Vesting Period)</w:t>
      </w:r>
      <w:r w:rsidR="00581B48" w:rsidRPr="00F97360">
        <w:rPr>
          <w:rFonts w:ascii="Arial" w:hAnsi="Arial" w:cs="Arial"/>
          <w:sz w:val="20"/>
        </w:rPr>
        <w:t>, and</w:t>
      </w:r>
    </w:p>
    <w:p w14:paraId="56712ECC" w14:textId="50B559CC" w:rsidR="007B4FB5" w:rsidRPr="00F97360" w:rsidRDefault="00DE7E5F" w:rsidP="00F97360">
      <w:pPr>
        <w:pStyle w:val="Untitledsubclause2"/>
        <w:tabs>
          <w:tab w:val="clear" w:pos="1554"/>
          <w:tab w:val="num" w:pos="1985"/>
        </w:tabs>
        <w:ind w:left="1985"/>
        <w:rPr>
          <w:rFonts w:ascii="Arial" w:hAnsi="Arial" w:cs="Arial"/>
          <w:sz w:val="20"/>
        </w:rPr>
      </w:pPr>
      <w:bookmarkStart w:id="354" w:name="a820283"/>
      <w:bookmarkStart w:id="355" w:name="_Ref80024637"/>
      <w:bookmarkEnd w:id="353"/>
      <w:r w:rsidRPr="00F97360">
        <w:rPr>
          <w:rFonts w:ascii="Arial" w:hAnsi="Arial" w:cs="Arial"/>
          <w:sz w:val="20"/>
        </w:rPr>
        <w:t xml:space="preserve">an Award which is subject to </w:t>
      </w:r>
      <w:r w:rsidR="00A81AE6" w:rsidRPr="00F97360">
        <w:rPr>
          <w:rFonts w:ascii="Arial" w:hAnsi="Arial" w:cs="Arial"/>
          <w:sz w:val="20"/>
        </w:rPr>
        <w:t xml:space="preserve">any </w:t>
      </w:r>
      <w:r w:rsidRPr="00F97360">
        <w:rPr>
          <w:rFonts w:ascii="Arial" w:hAnsi="Arial" w:cs="Arial"/>
          <w:sz w:val="20"/>
        </w:rPr>
        <w:t xml:space="preserve">Performance Conditions </w:t>
      </w:r>
      <w:r w:rsidR="008852CF" w:rsidRPr="00F97360">
        <w:rPr>
          <w:rFonts w:ascii="Arial" w:hAnsi="Arial" w:cs="Arial"/>
          <w:sz w:val="20"/>
        </w:rPr>
        <w:t xml:space="preserve">will Vest </w:t>
      </w:r>
      <w:r w:rsidR="00581B48" w:rsidRPr="00F97360">
        <w:rPr>
          <w:rFonts w:ascii="Arial" w:hAnsi="Arial" w:cs="Arial"/>
          <w:sz w:val="20"/>
        </w:rPr>
        <w:t>(</w:t>
      </w:r>
      <w:r w:rsidR="00C505B3" w:rsidRPr="00F97360">
        <w:rPr>
          <w:rFonts w:ascii="Arial" w:hAnsi="Arial" w:cs="Arial"/>
          <w:sz w:val="20"/>
        </w:rPr>
        <w:t xml:space="preserve">in accordance with the relevant rule(s) below, and </w:t>
      </w:r>
      <w:r w:rsidR="00581B48" w:rsidRPr="00F97360">
        <w:rPr>
          <w:rFonts w:ascii="Arial" w:hAnsi="Arial" w:cs="Arial"/>
          <w:sz w:val="20"/>
        </w:rPr>
        <w:t xml:space="preserve">after the application of rule </w:t>
      </w:r>
      <w:r w:rsidR="00581B48" w:rsidRPr="00F97360">
        <w:rPr>
          <w:rFonts w:ascii="Arial" w:hAnsi="Arial" w:cs="Arial"/>
          <w:sz w:val="20"/>
        </w:rPr>
        <w:fldChar w:fldCharType="begin"/>
      </w:r>
      <w:r w:rsidR="00581B48" w:rsidRPr="00F97360">
        <w:rPr>
          <w:rFonts w:ascii="Arial" w:hAnsi="Arial" w:cs="Arial"/>
          <w:sz w:val="20"/>
        </w:rPr>
        <w:instrText xml:space="preserve"> REF a324210 \r \h  \* MERGEFORMAT </w:instrText>
      </w:r>
      <w:r w:rsidR="00581B48" w:rsidRPr="00F97360">
        <w:rPr>
          <w:rFonts w:ascii="Arial" w:hAnsi="Arial" w:cs="Arial"/>
          <w:sz w:val="20"/>
        </w:rPr>
      </w:r>
      <w:r w:rsidR="00581B48" w:rsidRPr="00F97360">
        <w:rPr>
          <w:rFonts w:ascii="Arial" w:hAnsi="Arial" w:cs="Arial"/>
          <w:sz w:val="20"/>
        </w:rPr>
        <w:fldChar w:fldCharType="separate"/>
      </w:r>
      <w:r w:rsidR="00710210" w:rsidRPr="00F97360">
        <w:rPr>
          <w:rFonts w:ascii="Arial" w:hAnsi="Arial" w:cs="Arial"/>
          <w:sz w:val="20"/>
        </w:rPr>
        <w:t>21.1</w:t>
      </w:r>
      <w:r w:rsidR="00581B48" w:rsidRPr="00F97360">
        <w:rPr>
          <w:rFonts w:ascii="Arial" w:hAnsi="Arial" w:cs="Arial"/>
          <w:sz w:val="20"/>
        </w:rPr>
        <w:fldChar w:fldCharType="end"/>
      </w:r>
      <w:r w:rsidR="00581B48" w:rsidRPr="00F97360">
        <w:rPr>
          <w:rFonts w:ascii="Arial" w:hAnsi="Arial" w:cs="Arial"/>
          <w:sz w:val="20"/>
        </w:rPr>
        <w:fldChar w:fldCharType="begin"/>
      </w:r>
      <w:r w:rsidR="00581B48" w:rsidRPr="00F97360">
        <w:rPr>
          <w:rFonts w:ascii="Arial" w:hAnsi="Arial" w:cs="Arial"/>
          <w:sz w:val="20"/>
        </w:rPr>
        <w:instrText xml:space="preserve"> REF a354667 \r \h  \* MERGEFORMAT </w:instrText>
      </w:r>
      <w:r w:rsidR="00581B48" w:rsidRPr="00F97360">
        <w:rPr>
          <w:rFonts w:ascii="Arial" w:hAnsi="Arial" w:cs="Arial"/>
          <w:sz w:val="20"/>
        </w:rPr>
      </w:r>
      <w:r w:rsidR="00581B48" w:rsidRPr="00F97360">
        <w:rPr>
          <w:rFonts w:ascii="Arial" w:hAnsi="Arial" w:cs="Arial"/>
          <w:sz w:val="20"/>
        </w:rPr>
        <w:fldChar w:fldCharType="separate"/>
      </w:r>
      <w:r w:rsidR="00710210" w:rsidRPr="00F97360">
        <w:rPr>
          <w:rFonts w:ascii="Arial" w:hAnsi="Arial" w:cs="Arial"/>
          <w:sz w:val="20"/>
        </w:rPr>
        <w:t>(a)</w:t>
      </w:r>
      <w:r w:rsidR="00581B48" w:rsidRPr="00F97360">
        <w:rPr>
          <w:rFonts w:ascii="Arial" w:hAnsi="Arial" w:cs="Arial"/>
          <w:sz w:val="20"/>
        </w:rPr>
        <w:fldChar w:fldCharType="end"/>
      </w:r>
      <w:r w:rsidR="00581B48" w:rsidRPr="00F97360">
        <w:rPr>
          <w:rFonts w:ascii="Arial" w:hAnsi="Arial" w:cs="Arial"/>
          <w:sz w:val="20"/>
        </w:rPr>
        <w:t xml:space="preserve"> above</w:t>
      </w:r>
      <w:r w:rsidR="005E2CFA" w:rsidRPr="00F97360">
        <w:rPr>
          <w:rFonts w:ascii="Arial" w:hAnsi="Arial" w:cs="Arial"/>
          <w:sz w:val="20"/>
        </w:rPr>
        <w:t>, if applicable</w:t>
      </w:r>
      <w:r w:rsidR="00581B48" w:rsidRPr="00F97360">
        <w:rPr>
          <w:rFonts w:ascii="Arial" w:hAnsi="Arial" w:cs="Arial"/>
          <w:sz w:val="20"/>
        </w:rPr>
        <w:t xml:space="preserve">) </w:t>
      </w:r>
      <w:r w:rsidR="00EB4229" w:rsidRPr="00F97360">
        <w:rPr>
          <w:rFonts w:ascii="Arial" w:hAnsi="Arial" w:cs="Arial"/>
          <w:sz w:val="20"/>
        </w:rPr>
        <w:t xml:space="preserve">taking into account the extent to which </w:t>
      </w:r>
      <w:r w:rsidR="00FE5239" w:rsidRPr="00F97360">
        <w:rPr>
          <w:rFonts w:ascii="Arial" w:hAnsi="Arial" w:cs="Arial"/>
          <w:sz w:val="20"/>
        </w:rPr>
        <w:t>those</w:t>
      </w:r>
      <w:r w:rsidR="004F4E2F" w:rsidRPr="00F97360">
        <w:rPr>
          <w:rFonts w:ascii="Arial" w:hAnsi="Arial" w:cs="Arial"/>
          <w:sz w:val="20"/>
        </w:rPr>
        <w:t xml:space="preserve"> Performance Condition(s) has/have in the opinion of the Remuneration Committee been achieved over the period ending on the date (or expected date) of the Change of Control </w:t>
      </w:r>
      <w:r w:rsidR="001B6D76" w:rsidRPr="00F97360">
        <w:rPr>
          <w:rFonts w:ascii="Arial" w:hAnsi="Arial" w:cs="Arial"/>
          <w:sz w:val="20"/>
        </w:rPr>
        <w:t>(or would</w:t>
      </w:r>
      <w:r w:rsidR="00F129F6" w:rsidRPr="00F97360">
        <w:rPr>
          <w:rFonts w:ascii="Arial" w:hAnsi="Arial" w:cs="Arial"/>
          <w:sz w:val="20"/>
        </w:rPr>
        <w:t xml:space="preserve">, </w:t>
      </w:r>
      <w:r w:rsidR="001B6D76" w:rsidRPr="00F97360">
        <w:rPr>
          <w:rFonts w:ascii="Arial" w:hAnsi="Arial" w:cs="Arial"/>
          <w:sz w:val="20"/>
        </w:rPr>
        <w:t>in the opinion of the Remuneration Committee</w:t>
      </w:r>
      <w:r w:rsidR="00F129F6" w:rsidRPr="00F97360">
        <w:rPr>
          <w:rFonts w:ascii="Arial" w:hAnsi="Arial" w:cs="Arial"/>
          <w:sz w:val="20"/>
        </w:rPr>
        <w:t xml:space="preserve">, </w:t>
      </w:r>
      <w:r w:rsidR="001B6D76" w:rsidRPr="00F97360">
        <w:rPr>
          <w:rFonts w:ascii="Arial" w:hAnsi="Arial" w:cs="Arial"/>
          <w:sz w:val="20"/>
        </w:rPr>
        <w:t>have been achieved</w:t>
      </w:r>
      <w:r w:rsidRPr="00F97360">
        <w:rPr>
          <w:rFonts w:ascii="Arial" w:hAnsi="Arial" w:cs="Arial"/>
          <w:sz w:val="20"/>
        </w:rPr>
        <w:t xml:space="preserve"> over the full Performance Period</w:t>
      </w:r>
      <w:r w:rsidR="001B6D76" w:rsidRPr="00F97360">
        <w:rPr>
          <w:rFonts w:ascii="Arial" w:hAnsi="Arial" w:cs="Arial"/>
          <w:sz w:val="20"/>
        </w:rPr>
        <w:t>)</w:t>
      </w:r>
      <w:r w:rsidR="004F4E2F" w:rsidRPr="00F97360">
        <w:rPr>
          <w:rFonts w:ascii="Arial" w:hAnsi="Arial" w:cs="Arial"/>
          <w:sz w:val="20"/>
        </w:rPr>
        <w:t>,</w:t>
      </w:r>
      <w:r w:rsidR="00A920DC" w:rsidRPr="00F97360">
        <w:rPr>
          <w:rFonts w:ascii="Arial" w:hAnsi="Arial" w:cs="Arial"/>
          <w:sz w:val="20"/>
        </w:rPr>
        <w:t xml:space="preserve"> </w:t>
      </w:r>
      <w:r w:rsidR="00F3272B" w:rsidRPr="00F97360">
        <w:rPr>
          <w:rFonts w:ascii="Arial" w:hAnsi="Arial" w:cs="Arial"/>
          <w:sz w:val="20"/>
        </w:rPr>
        <w:t xml:space="preserve">and the Award shall lapse to the extent the </w:t>
      </w:r>
      <w:r w:rsidR="00B00B6F" w:rsidRPr="00F97360">
        <w:rPr>
          <w:rFonts w:ascii="Arial" w:hAnsi="Arial" w:cs="Arial"/>
          <w:sz w:val="20"/>
        </w:rPr>
        <w:t>Remuneration Committee</w:t>
      </w:r>
      <w:r w:rsidR="00F3272B" w:rsidRPr="00F97360">
        <w:rPr>
          <w:rFonts w:ascii="Arial" w:hAnsi="Arial" w:cs="Arial"/>
          <w:sz w:val="20"/>
        </w:rPr>
        <w:t xml:space="preserve"> decides that the Award shall not</w:t>
      </w:r>
      <w:r w:rsidR="00161C43" w:rsidRPr="00F97360">
        <w:rPr>
          <w:rFonts w:ascii="Arial" w:hAnsi="Arial" w:cs="Arial"/>
          <w:sz w:val="20"/>
        </w:rPr>
        <w:t xml:space="preserve"> </w:t>
      </w:r>
      <w:r w:rsidR="00317282" w:rsidRPr="00F97360">
        <w:rPr>
          <w:rFonts w:ascii="Arial" w:hAnsi="Arial" w:cs="Arial"/>
          <w:sz w:val="20"/>
        </w:rPr>
        <w:t>Vest</w:t>
      </w:r>
      <w:r w:rsidR="00F3272B" w:rsidRPr="00F97360">
        <w:rPr>
          <w:rFonts w:ascii="Arial" w:hAnsi="Arial" w:cs="Arial"/>
          <w:sz w:val="20"/>
        </w:rPr>
        <w:t>.</w:t>
      </w:r>
      <w:bookmarkEnd w:id="354"/>
      <w:bookmarkEnd w:id="355"/>
    </w:p>
    <w:p w14:paraId="1328D314" w14:textId="3F0D7E7B" w:rsidR="007B4FB5" w:rsidRPr="00F97360" w:rsidRDefault="007B4FB5" w:rsidP="00F95028">
      <w:pPr>
        <w:pStyle w:val="Untitledsubclause1"/>
        <w:numPr>
          <w:ilvl w:val="1"/>
          <w:numId w:val="46"/>
        </w:numPr>
        <w:rPr>
          <w:rFonts w:ascii="Arial" w:hAnsi="Arial" w:cs="Arial"/>
          <w:sz w:val="20"/>
        </w:rPr>
      </w:pPr>
      <w:bookmarkStart w:id="356" w:name="a131175"/>
      <w:r w:rsidRPr="00F97360">
        <w:rPr>
          <w:rFonts w:ascii="Arial" w:hAnsi="Arial" w:cs="Arial"/>
          <w:sz w:val="20"/>
        </w:rPr>
        <w:t xml:space="preserve">Where the </w:t>
      </w:r>
      <w:r w:rsidR="00B00B6F" w:rsidRPr="00F97360">
        <w:rPr>
          <w:rFonts w:ascii="Arial" w:hAnsi="Arial" w:cs="Arial"/>
          <w:sz w:val="20"/>
        </w:rPr>
        <w:t>Remuneration Committee</w:t>
      </w:r>
      <w:r w:rsidRPr="00F97360">
        <w:rPr>
          <w:rFonts w:ascii="Arial" w:hAnsi="Arial" w:cs="Arial"/>
          <w:sz w:val="20"/>
        </w:rPr>
        <w:t xml:space="preserve"> is required by </w:t>
      </w:r>
      <w:r w:rsidRPr="00F97360">
        <w:rPr>
          <w:rFonts w:ascii="Arial" w:hAnsi="Arial" w:cs="Arial"/>
          <w:sz w:val="20"/>
        </w:rPr>
        <w:fldChar w:fldCharType="begin"/>
      </w:r>
      <w:r w:rsidRPr="00F97360">
        <w:rPr>
          <w:rFonts w:ascii="Arial" w:hAnsi="Arial" w:cs="Arial"/>
          <w:sz w:val="20"/>
        </w:rPr>
        <w:instrText>PAGEREF a324210\# "'rule '"  \h</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 xml:space="preserve">rule </w:t>
      </w:r>
      <w:r w:rsidRPr="00F97360">
        <w:rPr>
          <w:rFonts w:ascii="Arial" w:hAnsi="Arial" w:cs="Arial"/>
          <w:sz w:val="20"/>
        </w:rPr>
        <w:fldChar w:fldCharType="end"/>
      </w:r>
      <w:r w:rsidRPr="00F97360">
        <w:rPr>
          <w:rFonts w:ascii="Arial" w:hAnsi="Arial" w:cs="Arial"/>
          <w:sz w:val="20"/>
        </w:rPr>
        <w:fldChar w:fldCharType="begin"/>
      </w:r>
      <w:r w:rsidRPr="00F97360">
        <w:rPr>
          <w:rFonts w:ascii="Arial" w:hAnsi="Arial" w:cs="Arial"/>
          <w:sz w:val="20"/>
          <w:highlight w:val="lightGray"/>
        </w:rPr>
        <w:instrText>REF a324210 \h \w</w:instrText>
      </w:r>
      <w:r w:rsidR="0037270F"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highlight w:val="lightGray"/>
        </w:rPr>
        <w:t>21.1</w:t>
      </w:r>
      <w:r w:rsidRPr="00F97360">
        <w:rPr>
          <w:rFonts w:ascii="Arial" w:hAnsi="Arial" w:cs="Arial"/>
          <w:sz w:val="20"/>
        </w:rPr>
        <w:fldChar w:fldCharType="end"/>
      </w:r>
      <w:r w:rsidRPr="00F97360">
        <w:rPr>
          <w:rFonts w:ascii="Arial" w:hAnsi="Arial" w:cs="Arial"/>
          <w:sz w:val="20"/>
        </w:rPr>
        <w:t xml:space="preserve"> to determine the </w:t>
      </w:r>
      <w:r w:rsidR="00420BBF" w:rsidRPr="00F97360">
        <w:rPr>
          <w:rFonts w:ascii="Arial" w:hAnsi="Arial" w:cs="Arial"/>
          <w:sz w:val="20"/>
        </w:rPr>
        <w:t>Relevant Number</w:t>
      </w:r>
      <w:r w:rsidRPr="00F97360">
        <w:rPr>
          <w:rFonts w:ascii="Arial" w:hAnsi="Arial" w:cs="Arial"/>
          <w:sz w:val="20"/>
        </w:rPr>
        <w:t xml:space="preserve">, and the relevant </w:t>
      </w:r>
      <w:r w:rsidR="00CE51D0" w:rsidRPr="00F97360">
        <w:rPr>
          <w:rFonts w:ascii="Arial" w:hAnsi="Arial" w:cs="Arial"/>
          <w:sz w:val="20"/>
        </w:rPr>
        <w:t>Award Certificate</w:t>
      </w:r>
      <w:r w:rsidRPr="00F97360">
        <w:rPr>
          <w:rFonts w:ascii="Arial" w:hAnsi="Arial" w:cs="Arial"/>
          <w:sz w:val="20"/>
        </w:rPr>
        <w:t xml:space="preserve"> specifies different Performance Periods or </w:t>
      </w:r>
      <w:r w:rsidR="00FF69A8" w:rsidRPr="00F97360">
        <w:rPr>
          <w:rFonts w:ascii="Arial" w:hAnsi="Arial" w:cs="Arial"/>
          <w:sz w:val="20"/>
        </w:rPr>
        <w:t>Vesting</w:t>
      </w:r>
      <w:r w:rsidRPr="00F97360">
        <w:rPr>
          <w:rFonts w:ascii="Arial" w:hAnsi="Arial" w:cs="Arial"/>
          <w:sz w:val="20"/>
        </w:rPr>
        <w:t xml:space="preserve"> Periods for different parts of an Award, the </w:t>
      </w:r>
      <w:r w:rsidR="00B00B6F" w:rsidRPr="00F97360">
        <w:rPr>
          <w:rFonts w:ascii="Arial" w:hAnsi="Arial" w:cs="Arial"/>
          <w:sz w:val="20"/>
        </w:rPr>
        <w:t>Remuneration Committee</w:t>
      </w:r>
      <w:r w:rsidRPr="00F97360">
        <w:rPr>
          <w:rFonts w:ascii="Arial" w:hAnsi="Arial" w:cs="Arial"/>
          <w:sz w:val="20"/>
        </w:rPr>
        <w:t xml:space="preserve"> shall treat each part of that Award as a separate Award.</w:t>
      </w:r>
      <w:bookmarkEnd w:id="356"/>
    </w:p>
    <w:p w14:paraId="55BD9D27" w14:textId="77777777" w:rsidR="004555CB" w:rsidRPr="00F97360" w:rsidRDefault="004555CB" w:rsidP="004555CB">
      <w:pPr>
        <w:pStyle w:val="Untitledsubclause1"/>
        <w:numPr>
          <w:ilvl w:val="0"/>
          <w:numId w:val="0"/>
        </w:numPr>
        <w:rPr>
          <w:rFonts w:ascii="Arial" w:hAnsi="Arial" w:cs="Arial"/>
          <w:b/>
          <w:i/>
          <w:sz w:val="20"/>
        </w:rPr>
      </w:pPr>
      <w:bookmarkStart w:id="357" w:name="_Toc112149436"/>
      <w:bookmarkStart w:id="358" w:name="a99160"/>
      <w:bookmarkStart w:id="359" w:name="_Ref107828509"/>
      <w:bookmarkStart w:id="360" w:name="a403621"/>
      <w:r w:rsidRPr="00F97360">
        <w:rPr>
          <w:rFonts w:ascii="Arial" w:hAnsi="Arial" w:cs="Arial"/>
          <w:b/>
          <w:i/>
          <w:sz w:val="20"/>
        </w:rPr>
        <w:t xml:space="preserve">Change of Control where the Acquiror does not agree to </w:t>
      </w:r>
      <w:proofErr w:type="gramStart"/>
      <w:r w:rsidRPr="00F97360">
        <w:rPr>
          <w:rFonts w:ascii="Arial" w:hAnsi="Arial" w:cs="Arial"/>
          <w:b/>
          <w:i/>
          <w:sz w:val="20"/>
        </w:rPr>
        <w:t>rollover</w:t>
      </w:r>
      <w:bookmarkEnd w:id="357"/>
      <w:proofErr w:type="gramEnd"/>
    </w:p>
    <w:p w14:paraId="6642BCA7" w14:textId="06AEFEC3" w:rsidR="004555CB" w:rsidRPr="00F97360" w:rsidRDefault="004555CB" w:rsidP="004555CB">
      <w:pPr>
        <w:pStyle w:val="Untitledsubclause1"/>
        <w:rPr>
          <w:rFonts w:ascii="Arial" w:hAnsi="Arial" w:cs="Arial"/>
          <w:sz w:val="20"/>
        </w:rPr>
      </w:pPr>
      <w:bookmarkStart w:id="361" w:name="_Ref131425770"/>
      <w:r w:rsidRPr="00F97360">
        <w:rPr>
          <w:rFonts w:ascii="Arial" w:hAnsi="Arial" w:cs="Arial"/>
          <w:sz w:val="20"/>
        </w:rPr>
        <w:t xml:space="preserve">Subject to rule </w:t>
      </w:r>
      <w:r w:rsidRPr="00F97360">
        <w:rPr>
          <w:rFonts w:ascii="Arial" w:hAnsi="Arial" w:cs="Arial"/>
          <w:sz w:val="20"/>
        </w:rPr>
        <w:fldChar w:fldCharType="begin"/>
      </w:r>
      <w:r w:rsidRPr="00F97360">
        <w:rPr>
          <w:rFonts w:ascii="Arial" w:hAnsi="Arial" w:cs="Arial"/>
          <w:sz w:val="20"/>
        </w:rPr>
        <w:instrText xml:space="preserve"> REF _Ref81584425 \r \h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21.9</w:t>
      </w:r>
      <w:r w:rsidRPr="00F97360">
        <w:rPr>
          <w:rFonts w:ascii="Arial" w:hAnsi="Arial" w:cs="Arial"/>
          <w:sz w:val="20"/>
        </w:rPr>
        <w:fldChar w:fldCharType="end"/>
      </w:r>
      <w:r w:rsidRPr="00F97360">
        <w:rPr>
          <w:rFonts w:ascii="Arial" w:hAnsi="Arial" w:cs="Arial"/>
          <w:sz w:val="20"/>
        </w:rPr>
        <w:t xml:space="preserve"> and </w:t>
      </w:r>
      <w:r w:rsidRPr="00F97360">
        <w:rPr>
          <w:rFonts w:ascii="Arial" w:hAnsi="Arial" w:cs="Arial"/>
          <w:sz w:val="20"/>
        </w:rPr>
        <w:fldChar w:fldCharType="begin"/>
      </w:r>
      <w:r w:rsidRPr="00F97360">
        <w:rPr>
          <w:rFonts w:ascii="Arial" w:hAnsi="Arial" w:cs="Arial"/>
          <w:sz w:val="20"/>
        </w:rPr>
        <w:instrText xml:space="preserve"> REF _Ref161048899 \r \h </w:instrText>
      </w:r>
      <w:r w:rsidR="00C82B63" w:rsidRPr="0059105D">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21.10</w:t>
      </w:r>
      <w:r w:rsidRPr="00F97360">
        <w:rPr>
          <w:rFonts w:ascii="Arial" w:hAnsi="Arial" w:cs="Arial"/>
          <w:sz w:val="20"/>
        </w:rPr>
        <w:fldChar w:fldCharType="end"/>
      </w:r>
      <w:r w:rsidRPr="00F97360">
        <w:rPr>
          <w:rFonts w:ascii="Arial" w:hAnsi="Arial" w:cs="Arial"/>
          <w:sz w:val="20"/>
        </w:rPr>
        <w:t>, if (</w:t>
      </w:r>
      <w:proofErr w:type="spellStart"/>
      <w:r w:rsidRPr="00F97360">
        <w:rPr>
          <w:rFonts w:ascii="Arial" w:hAnsi="Arial" w:cs="Arial"/>
          <w:sz w:val="20"/>
        </w:rPr>
        <w:t>i</w:t>
      </w:r>
      <w:proofErr w:type="spellEnd"/>
      <w:r w:rsidRPr="00F97360">
        <w:rPr>
          <w:rFonts w:ascii="Arial" w:hAnsi="Arial" w:cs="Arial"/>
          <w:sz w:val="20"/>
        </w:rPr>
        <w:t xml:space="preserve">) the Remuneration Committee does not decide under rule </w:t>
      </w:r>
      <w:r w:rsidRPr="00F97360">
        <w:rPr>
          <w:rFonts w:ascii="Arial" w:hAnsi="Arial" w:cs="Arial"/>
          <w:sz w:val="20"/>
        </w:rPr>
        <w:fldChar w:fldCharType="begin"/>
      </w:r>
      <w:r w:rsidRPr="00F97360">
        <w:rPr>
          <w:rFonts w:ascii="Arial" w:hAnsi="Arial" w:cs="Arial"/>
          <w:sz w:val="20"/>
        </w:rPr>
        <w:instrText xml:space="preserve"> REF a271198 \r \h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21.6(a)</w:t>
      </w:r>
      <w:r w:rsidRPr="00F97360">
        <w:rPr>
          <w:rFonts w:ascii="Arial" w:hAnsi="Arial" w:cs="Arial"/>
          <w:sz w:val="20"/>
        </w:rPr>
        <w:fldChar w:fldCharType="end"/>
      </w:r>
      <w:r w:rsidRPr="00F97360">
        <w:rPr>
          <w:rFonts w:ascii="Arial" w:hAnsi="Arial" w:cs="Arial"/>
          <w:sz w:val="20"/>
        </w:rPr>
        <w:t xml:space="preserve"> that Awards shall Vest in advance of the Change of Control, and (ii) the Acquiror is not willing to make an agreement under rule </w:t>
      </w:r>
      <w:r w:rsidRPr="00F97360">
        <w:rPr>
          <w:rFonts w:ascii="Arial" w:hAnsi="Arial" w:cs="Arial"/>
          <w:sz w:val="20"/>
        </w:rPr>
        <w:fldChar w:fldCharType="begin"/>
      </w:r>
      <w:r w:rsidRPr="00F97360">
        <w:rPr>
          <w:rFonts w:ascii="Arial" w:hAnsi="Arial" w:cs="Arial"/>
          <w:sz w:val="20"/>
        </w:rPr>
        <w:instrText xml:space="preserve"> REF _Ref105601363 \r \h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21.4</w:t>
      </w:r>
      <w:r w:rsidRPr="00F97360">
        <w:rPr>
          <w:rFonts w:ascii="Arial" w:hAnsi="Arial" w:cs="Arial"/>
          <w:sz w:val="20"/>
        </w:rPr>
        <w:fldChar w:fldCharType="end"/>
      </w:r>
      <w:r w:rsidRPr="00F97360">
        <w:rPr>
          <w:rFonts w:ascii="Arial" w:hAnsi="Arial" w:cs="Arial"/>
          <w:sz w:val="20"/>
        </w:rPr>
        <w:t>:</w:t>
      </w:r>
      <w:bookmarkEnd w:id="358"/>
      <w:bookmarkEnd w:id="359"/>
      <w:bookmarkEnd w:id="361"/>
    </w:p>
    <w:p w14:paraId="294C4A8E" w14:textId="77777777" w:rsidR="004555CB" w:rsidRPr="00F97360" w:rsidRDefault="004555CB" w:rsidP="004555CB">
      <w:pPr>
        <w:pStyle w:val="Untitledsubclause2"/>
        <w:rPr>
          <w:rFonts w:ascii="Arial" w:hAnsi="Arial" w:cs="Arial"/>
          <w:sz w:val="20"/>
        </w:rPr>
      </w:pPr>
      <w:bookmarkStart w:id="362" w:name="a400828"/>
      <w:r w:rsidRPr="00F97360">
        <w:rPr>
          <w:rFonts w:ascii="Arial" w:hAnsi="Arial" w:cs="Arial"/>
          <w:sz w:val="20"/>
        </w:rPr>
        <w:t xml:space="preserve">all Awards </w:t>
      </w:r>
      <w:r w:rsidRPr="00F97360">
        <w:rPr>
          <w:rFonts w:ascii="Arial" w:hAnsi="Arial"/>
          <w:sz w:val="20"/>
        </w:rPr>
        <w:t>which are not Vested</w:t>
      </w:r>
      <w:r w:rsidRPr="00F97360">
        <w:rPr>
          <w:rFonts w:ascii="Arial" w:hAnsi="Arial" w:cs="Arial"/>
          <w:sz w:val="20"/>
        </w:rPr>
        <w:t xml:space="preserve"> shall Vest as soon as practicable after the Change of Control in relation to the Relevant Number of Shares and lapse in relation to the balance; and</w:t>
      </w:r>
      <w:bookmarkEnd w:id="362"/>
    </w:p>
    <w:p w14:paraId="6ED4F509" w14:textId="0482C5BA" w:rsidR="004555CB" w:rsidRPr="0059105D" w:rsidRDefault="004555CB" w:rsidP="004555CB">
      <w:pPr>
        <w:pStyle w:val="Untitledsubclause2"/>
        <w:rPr>
          <w:rFonts w:ascii="Arial" w:hAnsi="Arial" w:cs="Arial"/>
          <w:sz w:val="20"/>
        </w:rPr>
      </w:pPr>
      <w:bookmarkStart w:id="363" w:name="a1026981"/>
      <w:r w:rsidRPr="00F97360">
        <w:rPr>
          <w:rFonts w:ascii="Arial" w:hAnsi="Arial" w:cs="Arial"/>
          <w:sz w:val="20"/>
        </w:rPr>
        <w:lastRenderedPageBreak/>
        <w:t xml:space="preserve">an Award Holder may exercise all or any part of any Option which has Vested under (a) above (where rule </w:t>
      </w:r>
      <w:r w:rsidRPr="00F97360">
        <w:rPr>
          <w:rFonts w:ascii="Arial" w:hAnsi="Arial" w:cs="Arial"/>
          <w:sz w:val="20"/>
        </w:rPr>
        <w:fldChar w:fldCharType="begin"/>
      </w:r>
      <w:r w:rsidRPr="00F97360">
        <w:rPr>
          <w:rFonts w:ascii="Arial" w:hAnsi="Arial" w:cs="Arial"/>
          <w:sz w:val="20"/>
        </w:rPr>
        <w:instrText xml:space="preserve"> REF a324210 \r \h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21.1</w:t>
      </w:r>
      <w:r w:rsidRPr="00F97360">
        <w:rPr>
          <w:rFonts w:ascii="Arial" w:hAnsi="Arial" w:cs="Arial"/>
          <w:sz w:val="20"/>
        </w:rPr>
        <w:fldChar w:fldCharType="end"/>
      </w:r>
      <w:r w:rsidRPr="00F97360">
        <w:rPr>
          <w:rFonts w:ascii="Arial" w:hAnsi="Arial" w:cs="Arial"/>
          <w:sz w:val="20"/>
        </w:rPr>
        <w:t xml:space="preserve"> applies, in respect of not more than the Relevant Number of Shares or notional Shares) within the period of 30 days following Vesting, </w:t>
      </w:r>
      <w:bookmarkEnd w:id="363"/>
      <w:r w:rsidRPr="00F97360">
        <w:rPr>
          <w:rFonts w:ascii="Arial" w:hAnsi="Arial" w:cs="Arial"/>
          <w:sz w:val="20"/>
        </w:rPr>
        <w:t>and all Options (including any Options which were already Vested at the time of the Change of Control) shall lapse to the extent unexercised by the end of that 30 day period.</w:t>
      </w:r>
    </w:p>
    <w:p w14:paraId="23C8D0A1" w14:textId="77777777" w:rsidR="00046DF8" w:rsidRPr="00F97360" w:rsidRDefault="00046DF8" w:rsidP="00046DF8">
      <w:pPr>
        <w:pStyle w:val="Untitledsubclause1"/>
        <w:numPr>
          <w:ilvl w:val="0"/>
          <w:numId w:val="0"/>
        </w:numPr>
        <w:rPr>
          <w:rFonts w:ascii="Arial" w:hAnsi="Arial" w:cs="Arial"/>
          <w:i/>
          <w:sz w:val="20"/>
        </w:rPr>
      </w:pPr>
      <w:bookmarkStart w:id="364" w:name="_Toc81843398"/>
      <w:r w:rsidRPr="00F97360">
        <w:rPr>
          <w:rFonts w:ascii="Arial" w:hAnsi="Arial" w:cs="Arial"/>
          <w:b/>
          <w:i/>
          <w:sz w:val="20"/>
        </w:rPr>
        <w:t>Change of Control where the Acquiror agrees to rollover</w:t>
      </w:r>
      <w:bookmarkEnd w:id="364"/>
    </w:p>
    <w:p w14:paraId="69F8635D" w14:textId="1F1424CD" w:rsidR="00046DF8" w:rsidRPr="00F97360" w:rsidRDefault="00046DF8" w:rsidP="00046DF8">
      <w:pPr>
        <w:pStyle w:val="Untitledsubclause1"/>
        <w:rPr>
          <w:rFonts w:ascii="Arial" w:hAnsi="Arial" w:cs="Arial"/>
          <w:sz w:val="20"/>
        </w:rPr>
      </w:pPr>
      <w:bookmarkStart w:id="365" w:name="a366089"/>
      <w:bookmarkStart w:id="366" w:name="_Ref105601363"/>
      <w:r w:rsidRPr="00F97360">
        <w:rPr>
          <w:rFonts w:ascii="Arial" w:hAnsi="Arial" w:cs="Arial"/>
          <w:sz w:val="20"/>
        </w:rPr>
        <w:t xml:space="preserve">Subject to rule </w:t>
      </w:r>
      <w:r w:rsidRPr="00F97360">
        <w:rPr>
          <w:rFonts w:ascii="Arial" w:hAnsi="Arial" w:cs="Arial"/>
          <w:sz w:val="20"/>
        </w:rPr>
        <w:fldChar w:fldCharType="begin"/>
      </w:r>
      <w:r w:rsidRPr="00F97360">
        <w:rPr>
          <w:rFonts w:ascii="Arial" w:hAnsi="Arial" w:cs="Arial"/>
          <w:sz w:val="20"/>
        </w:rPr>
        <w:instrText xml:space="preserve"> REF _Ref81584425 \r \h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21.9</w:t>
      </w:r>
      <w:r w:rsidRPr="00F97360">
        <w:rPr>
          <w:rFonts w:ascii="Arial" w:hAnsi="Arial" w:cs="Arial"/>
          <w:sz w:val="20"/>
        </w:rPr>
        <w:fldChar w:fldCharType="end"/>
      </w:r>
      <w:r w:rsidRPr="00F97360">
        <w:rPr>
          <w:rFonts w:ascii="Arial" w:hAnsi="Arial" w:cs="Arial"/>
          <w:sz w:val="20"/>
        </w:rPr>
        <w:t xml:space="preserve"> and </w:t>
      </w:r>
      <w:r w:rsidRPr="00F97360">
        <w:rPr>
          <w:rFonts w:ascii="Arial" w:hAnsi="Arial" w:cs="Arial"/>
          <w:sz w:val="20"/>
        </w:rPr>
        <w:fldChar w:fldCharType="begin"/>
      </w:r>
      <w:r w:rsidRPr="00F97360">
        <w:rPr>
          <w:rFonts w:ascii="Arial" w:hAnsi="Arial" w:cs="Arial"/>
          <w:sz w:val="20"/>
        </w:rPr>
        <w:instrText xml:space="preserve"> REF _Ref161048899 \r \h </w:instrText>
      </w:r>
      <w:r w:rsidR="00C82B63" w:rsidRPr="0059105D">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21.10</w:t>
      </w:r>
      <w:r w:rsidRPr="00F97360">
        <w:rPr>
          <w:rFonts w:ascii="Arial" w:hAnsi="Arial" w:cs="Arial"/>
          <w:sz w:val="20"/>
        </w:rPr>
        <w:fldChar w:fldCharType="end"/>
      </w:r>
      <w:r w:rsidRPr="00F97360">
        <w:rPr>
          <w:rFonts w:ascii="Arial" w:hAnsi="Arial" w:cs="Arial"/>
          <w:sz w:val="20"/>
        </w:rPr>
        <w:t>, if a Change of Control occurs and (</w:t>
      </w:r>
      <w:proofErr w:type="spellStart"/>
      <w:r w:rsidRPr="00F97360">
        <w:rPr>
          <w:rFonts w:ascii="Arial" w:hAnsi="Arial" w:cs="Arial"/>
          <w:sz w:val="20"/>
        </w:rPr>
        <w:t>i</w:t>
      </w:r>
      <w:proofErr w:type="spellEnd"/>
      <w:r w:rsidRPr="00F97360">
        <w:rPr>
          <w:rFonts w:ascii="Arial" w:hAnsi="Arial" w:cs="Arial"/>
          <w:sz w:val="20"/>
        </w:rPr>
        <w:t xml:space="preserve">) the Remuneration Committee has not decided under rule </w:t>
      </w:r>
      <w:r w:rsidRPr="00F97360">
        <w:rPr>
          <w:rFonts w:ascii="Arial" w:hAnsi="Arial" w:cs="Arial"/>
          <w:sz w:val="20"/>
        </w:rPr>
        <w:fldChar w:fldCharType="begin"/>
      </w:r>
      <w:r w:rsidRPr="00F97360">
        <w:rPr>
          <w:rFonts w:ascii="Arial" w:hAnsi="Arial" w:cs="Arial"/>
          <w:sz w:val="20"/>
        </w:rPr>
        <w:instrText xml:space="preserve"> REF a271198 \r \h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21.6(a)</w:t>
      </w:r>
      <w:r w:rsidRPr="00F97360">
        <w:rPr>
          <w:rFonts w:ascii="Arial" w:hAnsi="Arial" w:cs="Arial"/>
          <w:sz w:val="20"/>
        </w:rPr>
        <w:fldChar w:fldCharType="end"/>
      </w:r>
      <w:r w:rsidRPr="00F97360">
        <w:rPr>
          <w:rFonts w:ascii="Arial" w:hAnsi="Arial" w:cs="Arial"/>
          <w:sz w:val="20"/>
        </w:rPr>
        <w:t xml:space="preserve"> that Awards shall Vest in advance of the Change of Control and (ii) the Acquiror has </w:t>
      </w:r>
      <w:bookmarkStart w:id="367" w:name="a486366"/>
      <w:bookmarkStart w:id="368" w:name="a190510"/>
      <w:bookmarkStart w:id="369" w:name="a308554"/>
      <w:bookmarkEnd w:id="365"/>
      <w:r w:rsidRPr="00F97360">
        <w:rPr>
          <w:rFonts w:ascii="Arial" w:hAnsi="Arial" w:cs="Arial"/>
          <w:sz w:val="20"/>
        </w:rPr>
        <w:t>agreed that each Award Holder may, within the Rollover Period, surrender any Award in exchange for a replacement right (“</w:t>
      </w:r>
      <w:r w:rsidRPr="00F97360">
        <w:rPr>
          <w:rStyle w:val="DefTerm"/>
          <w:color w:val="auto"/>
          <w:sz w:val="20"/>
        </w:rPr>
        <w:t>New Award</w:t>
      </w:r>
      <w:r w:rsidRPr="00F97360">
        <w:rPr>
          <w:rStyle w:val="DefTerm"/>
          <w:b w:val="0"/>
          <w:bCs/>
          <w:color w:val="auto"/>
          <w:sz w:val="20"/>
        </w:rPr>
        <w:t>”</w:t>
      </w:r>
      <w:r w:rsidRPr="00F97360">
        <w:rPr>
          <w:rFonts w:ascii="Arial" w:hAnsi="Arial" w:cs="Arial"/>
          <w:sz w:val="20"/>
        </w:rPr>
        <w:t>)</w:t>
      </w:r>
      <w:bookmarkEnd w:id="367"/>
      <w:r w:rsidRPr="00F97360">
        <w:rPr>
          <w:rFonts w:ascii="Arial" w:hAnsi="Arial" w:cs="Arial"/>
          <w:sz w:val="20"/>
        </w:rPr>
        <w:t xml:space="preserve"> </w:t>
      </w:r>
      <w:bookmarkStart w:id="370" w:name="a681340"/>
      <w:r w:rsidRPr="00F97360">
        <w:rPr>
          <w:rFonts w:ascii="Arial" w:hAnsi="Arial" w:cs="Arial"/>
          <w:sz w:val="20"/>
        </w:rPr>
        <w:t xml:space="preserve">to be granted on such terms and in relation to such shares of such company as the </w:t>
      </w:r>
      <w:bookmarkEnd w:id="368"/>
      <w:r w:rsidRPr="00F97360">
        <w:rPr>
          <w:rFonts w:ascii="Arial" w:hAnsi="Arial" w:cs="Arial"/>
          <w:sz w:val="20"/>
        </w:rPr>
        <w:t>Acquiror and the Award Holder may agree, Awards may be so exchanged until the end of the Rollover Period.</w:t>
      </w:r>
      <w:bookmarkEnd w:id="366"/>
      <w:bookmarkEnd w:id="370"/>
    </w:p>
    <w:p w14:paraId="7908CD6F" w14:textId="0E7400C7" w:rsidR="00046DF8" w:rsidRPr="00F97360" w:rsidRDefault="00046DF8" w:rsidP="00046DF8">
      <w:pPr>
        <w:pStyle w:val="Untitledsubclause1"/>
        <w:rPr>
          <w:rFonts w:ascii="Arial" w:hAnsi="Arial" w:cs="Arial"/>
          <w:sz w:val="20"/>
        </w:rPr>
      </w:pPr>
      <w:bookmarkStart w:id="371" w:name="_Ref81582513"/>
      <w:bookmarkEnd w:id="369"/>
      <w:r w:rsidRPr="00F97360">
        <w:rPr>
          <w:rFonts w:ascii="Arial" w:hAnsi="Arial" w:cs="Arial"/>
          <w:sz w:val="20"/>
        </w:rPr>
        <w:t>Any Awards that are not so exchanged shall Vest in relation to the Relevant Number of Shares immediately following the end of the Rollover Period and lapse in relation to the balance, and</w:t>
      </w:r>
      <w:bookmarkEnd w:id="371"/>
      <w:r w:rsidRPr="00F97360">
        <w:rPr>
          <w:rFonts w:ascii="Arial" w:hAnsi="Arial" w:cs="Arial"/>
          <w:sz w:val="20"/>
        </w:rPr>
        <w:t xml:space="preserve"> any unexchanged Options which so Vest (or have already Vested) may be exercised (where rule </w:t>
      </w:r>
      <w:r w:rsidRPr="00F97360">
        <w:rPr>
          <w:rFonts w:ascii="Arial" w:hAnsi="Arial" w:cs="Arial"/>
          <w:sz w:val="20"/>
        </w:rPr>
        <w:fldChar w:fldCharType="begin"/>
      </w:r>
      <w:r w:rsidRPr="00F97360">
        <w:rPr>
          <w:rFonts w:ascii="Arial" w:hAnsi="Arial" w:cs="Arial"/>
          <w:sz w:val="20"/>
        </w:rPr>
        <w:instrText xml:space="preserve"> REF a324210 \r \h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21.1</w:t>
      </w:r>
      <w:r w:rsidRPr="00F97360">
        <w:rPr>
          <w:rFonts w:ascii="Arial" w:hAnsi="Arial" w:cs="Arial"/>
          <w:sz w:val="20"/>
        </w:rPr>
        <w:fldChar w:fldCharType="end"/>
      </w:r>
      <w:r w:rsidRPr="00F97360">
        <w:rPr>
          <w:rFonts w:ascii="Arial" w:hAnsi="Arial" w:cs="Arial"/>
          <w:sz w:val="20"/>
        </w:rPr>
        <w:t xml:space="preserve"> applies, in respect of not more than the Relevant Number of Shares or notional Shares) within 30 days following the end of the Rollover Period and shall lapse to the extent unexercised by the end of that 30 day period.</w:t>
      </w:r>
    </w:p>
    <w:p w14:paraId="56712ECD" w14:textId="6CDC01F4" w:rsidR="00C442A2" w:rsidRPr="00F97360" w:rsidRDefault="00D8597D" w:rsidP="00C442A2">
      <w:pPr>
        <w:pStyle w:val="Untitledsubclause1"/>
        <w:numPr>
          <w:ilvl w:val="0"/>
          <w:numId w:val="0"/>
        </w:numPr>
        <w:rPr>
          <w:rFonts w:ascii="Arial" w:hAnsi="Arial" w:cs="Arial"/>
          <w:b/>
          <w:bCs/>
          <w:i/>
          <w:iCs/>
          <w:sz w:val="20"/>
        </w:rPr>
      </w:pPr>
      <w:r w:rsidRPr="00F97360">
        <w:rPr>
          <w:rFonts w:ascii="Arial" w:hAnsi="Arial" w:cs="Arial"/>
          <w:b/>
          <w:bCs/>
          <w:i/>
          <w:iCs/>
          <w:sz w:val="20"/>
        </w:rPr>
        <w:t xml:space="preserve">Vesting in advance of the </w:t>
      </w:r>
      <w:r w:rsidR="00593A2C" w:rsidRPr="00F97360">
        <w:rPr>
          <w:rFonts w:ascii="Arial" w:hAnsi="Arial" w:cs="Arial"/>
          <w:b/>
          <w:bCs/>
          <w:i/>
          <w:iCs/>
          <w:sz w:val="20"/>
        </w:rPr>
        <w:t>Change of Control</w:t>
      </w:r>
    </w:p>
    <w:p w14:paraId="56712ECE" w14:textId="16D5C149" w:rsidR="007B4FB5" w:rsidRPr="00F97360" w:rsidRDefault="00D8597D" w:rsidP="007B4FB5">
      <w:pPr>
        <w:pStyle w:val="Untitledsubclause1"/>
        <w:rPr>
          <w:rFonts w:ascii="Arial" w:hAnsi="Arial" w:cs="Arial"/>
          <w:sz w:val="20"/>
        </w:rPr>
      </w:pPr>
      <w:bookmarkStart w:id="372" w:name="_Ref81583485"/>
      <w:r w:rsidRPr="00F97360">
        <w:rPr>
          <w:rFonts w:ascii="Arial" w:hAnsi="Arial" w:cs="Arial"/>
          <w:sz w:val="20"/>
        </w:rPr>
        <w:t xml:space="preserve">If the </w:t>
      </w:r>
      <w:r w:rsidR="00623047" w:rsidRPr="00F97360">
        <w:rPr>
          <w:rFonts w:ascii="Arial" w:hAnsi="Arial" w:cs="Arial"/>
          <w:sz w:val="20"/>
        </w:rPr>
        <w:t>Remuneration Committee</w:t>
      </w:r>
      <w:r w:rsidRPr="00F97360">
        <w:rPr>
          <w:rFonts w:ascii="Arial" w:hAnsi="Arial" w:cs="Arial"/>
          <w:sz w:val="20"/>
        </w:rPr>
        <w:t xml:space="preserve"> considers that a </w:t>
      </w:r>
      <w:r w:rsidR="00593A2C" w:rsidRPr="00F97360">
        <w:rPr>
          <w:rFonts w:ascii="Arial" w:hAnsi="Arial" w:cs="Arial"/>
          <w:sz w:val="20"/>
        </w:rPr>
        <w:t>Change of Control</w:t>
      </w:r>
      <w:r w:rsidR="00023E66" w:rsidRPr="00F97360">
        <w:rPr>
          <w:rFonts w:ascii="Arial" w:hAnsi="Arial" w:cs="Arial"/>
          <w:sz w:val="20"/>
        </w:rPr>
        <w:t xml:space="preserve"> </w:t>
      </w:r>
      <w:r w:rsidRPr="00F97360">
        <w:rPr>
          <w:rFonts w:ascii="Arial" w:hAnsi="Arial" w:cs="Arial"/>
          <w:sz w:val="20"/>
        </w:rPr>
        <w:t xml:space="preserve">is likely to occur, the </w:t>
      </w:r>
      <w:r w:rsidR="00623047" w:rsidRPr="00F97360">
        <w:rPr>
          <w:rFonts w:ascii="Arial" w:hAnsi="Arial" w:cs="Arial"/>
          <w:sz w:val="20"/>
        </w:rPr>
        <w:t>Remuneration Committee</w:t>
      </w:r>
      <w:r w:rsidRPr="00F97360">
        <w:rPr>
          <w:rFonts w:ascii="Arial" w:hAnsi="Arial" w:cs="Arial"/>
          <w:sz w:val="20"/>
        </w:rPr>
        <w:t xml:space="preserve"> may in its absolute discretion:</w:t>
      </w:r>
      <w:bookmarkEnd w:id="360"/>
      <w:bookmarkEnd w:id="372"/>
    </w:p>
    <w:p w14:paraId="56712ECF" w14:textId="207C8AA5" w:rsidR="007B4FB5" w:rsidRPr="00F97360" w:rsidRDefault="00D8597D" w:rsidP="007B4FB5">
      <w:pPr>
        <w:pStyle w:val="Untitledsubclause2"/>
        <w:rPr>
          <w:rFonts w:ascii="Arial" w:hAnsi="Arial" w:cs="Arial"/>
          <w:sz w:val="20"/>
        </w:rPr>
      </w:pPr>
      <w:bookmarkStart w:id="373" w:name="a271198"/>
      <w:r w:rsidRPr="00F97360">
        <w:rPr>
          <w:rFonts w:ascii="Arial" w:hAnsi="Arial" w:cs="Arial"/>
          <w:sz w:val="20"/>
        </w:rPr>
        <w:t xml:space="preserve">decide that all </w:t>
      </w:r>
      <w:r w:rsidR="00D67DB9" w:rsidRPr="00F97360">
        <w:rPr>
          <w:rFonts w:ascii="Arial" w:hAnsi="Arial" w:cs="Arial"/>
          <w:sz w:val="20"/>
        </w:rPr>
        <w:t>Award</w:t>
      </w:r>
      <w:r w:rsidR="00D62C51" w:rsidRPr="00F97360">
        <w:rPr>
          <w:rFonts w:ascii="Arial" w:hAnsi="Arial" w:cs="Arial"/>
          <w:sz w:val="20"/>
        </w:rPr>
        <w:t>s</w:t>
      </w:r>
      <w:r w:rsidRPr="00F97360">
        <w:rPr>
          <w:rFonts w:ascii="Arial" w:hAnsi="Arial" w:cs="Arial"/>
          <w:sz w:val="20"/>
        </w:rPr>
        <w:t xml:space="preserve"> </w:t>
      </w:r>
      <w:r w:rsidR="002002FD" w:rsidRPr="00F97360">
        <w:rPr>
          <w:rFonts w:ascii="Arial" w:hAnsi="Arial"/>
          <w:sz w:val="20"/>
        </w:rPr>
        <w:t xml:space="preserve">which are not Vested </w:t>
      </w:r>
      <w:r w:rsidRPr="00F97360">
        <w:rPr>
          <w:rFonts w:ascii="Arial" w:hAnsi="Arial" w:cs="Arial"/>
          <w:sz w:val="20"/>
        </w:rPr>
        <w:t xml:space="preserve">shall </w:t>
      </w:r>
      <w:r w:rsidR="00D44FC6" w:rsidRPr="00F97360">
        <w:rPr>
          <w:rFonts w:ascii="Arial" w:hAnsi="Arial" w:cs="Arial"/>
          <w:sz w:val="20"/>
        </w:rPr>
        <w:t>Vest</w:t>
      </w:r>
      <w:r w:rsidRPr="00F97360">
        <w:rPr>
          <w:rFonts w:ascii="Arial" w:hAnsi="Arial" w:cs="Arial"/>
          <w:sz w:val="20"/>
        </w:rPr>
        <w:t xml:space="preserve"> in relation to the</w:t>
      </w:r>
      <w:r w:rsidR="0061212D" w:rsidRPr="00F97360">
        <w:rPr>
          <w:rFonts w:ascii="Arial" w:hAnsi="Arial" w:cs="Arial"/>
          <w:sz w:val="20"/>
        </w:rPr>
        <w:t xml:space="preserve"> </w:t>
      </w:r>
      <w:r w:rsidR="00420BBF" w:rsidRPr="00F97360">
        <w:rPr>
          <w:rFonts w:ascii="Arial" w:hAnsi="Arial" w:cs="Arial"/>
          <w:sz w:val="20"/>
        </w:rPr>
        <w:t>Relevant Number</w:t>
      </w:r>
      <w:r w:rsidR="007B4FB5" w:rsidRPr="00F97360">
        <w:rPr>
          <w:rFonts w:ascii="Arial" w:hAnsi="Arial" w:cs="Arial"/>
          <w:sz w:val="20"/>
        </w:rPr>
        <w:t xml:space="preserve"> of Shares</w:t>
      </w:r>
      <w:r w:rsidR="0061212D" w:rsidRPr="00F97360">
        <w:rPr>
          <w:rFonts w:ascii="Arial" w:hAnsi="Arial" w:cs="Arial"/>
          <w:sz w:val="20"/>
        </w:rPr>
        <w:t xml:space="preserve"> (or notional Shares)</w:t>
      </w:r>
      <w:r w:rsidR="004E1DC0" w:rsidRPr="00F97360">
        <w:rPr>
          <w:rFonts w:ascii="Arial" w:hAnsi="Arial" w:cs="Arial"/>
          <w:sz w:val="20"/>
        </w:rPr>
        <w:t xml:space="preserve">, </w:t>
      </w:r>
      <w:r w:rsidRPr="00F97360">
        <w:rPr>
          <w:rFonts w:ascii="Arial" w:hAnsi="Arial" w:cs="Arial"/>
          <w:sz w:val="20"/>
        </w:rPr>
        <w:t>and</w:t>
      </w:r>
      <w:bookmarkEnd w:id="373"/>
    </w:p>
    <w:p w14:paraId="56712ED0" w14:textId="185C58C8" w:rsidR="007B4FB5" w:rsidRPr="00F97360" w:rsidRDefault="00D8597D" w:rsidP="006D3077">
      <w:pPr>
        <w:pStyle w:val="Untitledsubclause2"/>
        <w:rPr>
          <w:rFonts w:ascii="Arial" w:hAnsi="Arial" w:cs="Arial"/>
          <w:sz w:val="20"/>
        </w:rPr>
      </w:pPr>
      <w:bookmarkStart w:id="374" w:name="a478188"/>
      <w:bookmarkStart w:id="375" w:name="_Ref104571385"/>
      <w:r w:rsidRPr="00F97360">
        <w:rPr>
          <w:rFonts w:ascii="Arial" w:hAnsi="Arial" w:cs="Arial"/>
          <w:sz w:val="20"/>
        </w:rPr>
        <w:t xml:space="preserve">in respect of Options which </w:t>
      </w:r>
      <w:r w:rsidR="00D44FC6" w:rsidRPr="00F97360">
        <w:rPr>
          <w:rFonts w:ascii="Arial" w:hAnsi="Arial" w:cs="Arial"/>
          <w:sz w:val="20"/>
        </w:rPr>
        <w:t>Vest</w:t>
      </w:r>
      <w:r w:rsidRPr="00F97360">
        <w:rPr>
          <w:rFonts w:ascii="Arial" w:hAnsi="Arial" w:cs="Arial"/>
          <w:sz w:val="20"/>
        </w:rPr>
        <w:t xml:space="preserve"> pursuant to rule</w:t>
      </w:r>
      <w:r w:rsidR="00227D4C" w:rsidRPr="00F97360">
        <w:rPr>
          <w:rFonts w:ascii="Arial" w:hAnsi="Arial" w:cs="Arial"/>
          <w:sz w:val="20"/>
        </w:rPr>
        <w:t xml:space="preserve"> </w:t>
      </w:r>
      <w:r w:rsidR="00227D4C" w:rsidRPr="00F97360">
        <w:rPr>
          <w:rFonts w:ascii="Arial" w:hAnsi="Arial" w:cs="Arial"/>
          <w:sz w:val="20"/>
        </w:rPr>
        <w:fldChar w:fldCharType="begin"/>
      </w:r>
      <w:r w:rsidR="00227D4C" w:rsidRPr="00F97360">
        <w:rPr>
          <w:rFonts w:ascii="Arial" w:hAnsi="Arial" w:cs="Arial"/>
          <w:sz w:val="20"/>
        </w:rPr>
        <w:instrText xml:space="preserve"> REF _Ref81583485 \r \h </w:instrText>
      </w:r>
      <w:r w:rsidR="0037270F" w:rsidRPr="00F97360">
        <w:rPr>
          <w:rFonts w:ascii="Arial" w:hAnsi="Arial" w:cs="Arial"/>
          <w:sz w:val="20"/>
        </w:rPr>
        <w:instrText xml:space="preserve"> \* MERGEFORMAT </w:instrText>
      </w:r>
      <w:r w:rsidR="00227D4C" w:rsidRPr="00F97360">
        <w:rPr>
          <w:rFonts w:ascii="Arial" w:hAnsi="Arial" w:cs="Arial"/>
          <w:sz w:val="20"/>
        </w:rPr>
      </w:r>
      <w:r w:rsidR="00227D4C" w:rsidRPr="00F97360">
        <w:rPr>
          <w:rFonts w:ascii="Arial" w:hAnsi="Arial" w:cs="Arial"/>
          <w:sz w:val="20"/>
        </w:rPr>
        <w:fldChar w:fldCharType="separate"/>
      </w:r>
      <w:r w:rsidR="00710210" w:rsidRPr="00F97360">
        <w:rPr>
          <w:rFonts w:ascii="Arial" w:hAnsi="Arial" w:cs="Arial"/>
          <w:sz w:val="20"/>
        </w:rPr>
        <w:t>21.6</w:t>
      </w:r>
      <w:r w:rsidR="00227D4C" w:rsidRPr="00F97360">
        <w:rPr>
          <w:rFonts w:ascii="Arial" w:hAnsi="Arial" w:cs="Arial"/>
          <w:sz w:val="20"/>
        </w:rPr>
        <w:fldChar w:fldCharType="end"/>
      </w:r>
      <w:r w:rsidRPr="00F97360">
        <w:rPr>
          <w:rFonts w:ascii="Arial" w:hAnsi="Arial" w:cs="Arial"/>
          <w:sz w:val="20"/>
        </w:rPr>
        <w:fldChar w:fldCharType="begin"/>
      </w:r>
      <w:r w:rsidRPr="00F97360">
        <w:rPr>
          <w:rFonts w:ascii="Arial" w:hAnsi="Arial" w:cs="Arial"/>
          <w:sz w:val="20"/>
        </w:rPr>
        <w:instrText xml:space="preserve"> REF a271198 \r \h </w:instrText>
      </w:r>
      <w:r w:rsidR="000359D2"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(a)</w:t>
      </w:r>
      <w:r w:rsidRPr="00F97360">
        <w:rPr>
          <w:rFonts w:ascii="Arial" w:hAnsi="Arial" w:cs="Arial"/>
          <w:sz w:val="20"/>
        </w:rPr>
        <w:fldChar w:fldCharType="end"/>
      </w:r>
      <w:r w:rsidR="00227D4C" w:rsidRPr="00F97360">
        <w:rPr>
          <w:rFonts w:ascii="Arial" w:hAnsi="Arial" w:cs="Arial"/>
          <w:sz w:val="20"/>
        </w:rPr>
        <w:t xml:space="preserve"> above</w:t>
      </w:r>
      <w:r w:rsidR="00F72657" w:rsidRPr="00F97360">
        <w:rPr>
          <w:rFonts w:ascii="Arial" w:hAnsi="Arial" w:cs="Arial"/>
          <w:sz w:val="20"/>
        </w:rPr>
        <w:t xml:space="preserve"> (or have already </w:t>
      </w:r>
      <w:r w:rsidR="00D44FC6" w:rsidRPr="00F97360">
        <w:rPr>
          <w:rFonts w:ascii="Arial" w:hAnsi="Arial" w:cs="Arial"/>
          <w:sz w:val="20"/>
        </w:rPr>
        <w:t>Vested</w:t>
      </w:r>
      <w:r w:rsidR="00F72657" w:rsidRPr="00F97360">
        <w:rPr>
          <w:rFonts w:ascii="Arial" w:hAnsi="Arial" w:cs="Arial"/>
          <w:sz w:val="20"/>
        </w:rPr>
        <w:t>)</w:t>
      </w:r>
      <w:r w:rsidR="000359D2" w:rsidRPr="00F97360">
        <w:rPr>
          <w:rFonts w:ascii="Arial" w:hAnsi="Arial" w:cs="Arial"/>
          <w:sz w:val="20"/>
        </w:rPr>
        <w:t>,</w:t>
      </w:r>
      <w:r w:rsidRPr="00F97360">
        <w:rPr>
          <w:rFonts w:ascii="Arial" w:hAnsi="Arial" w:cs="Arial"/>
          <w:sz w:val="20"/>
        </w:rPr>
        <w:t xml:space="preserve"> </w:t>
      </w:r>
      <w:r w:rsidR="000359D2" w:rsidRPr="00F97360">
        <w:rPr>
          <w:rFonts w:ascii="Arial" w:hAnsi="Arial" w:cs="Arial"/>
          <w:sz w:val="20"/>
        </w:rPr>
        <w:t xml:space="preserve">request in writing that Award Holders give an Exercise Notice </w:t>
      </w:r>
      <w:r w:rsidRPr="00F97360">
        <w:rPr>
          <w:rFonts w:ascii="Arial" w:hAnsi="Arial" w:cs="Arial"/>
          <w:sz w:val="20"/>
        </w:rPr>
        <w:t xml:space="preserve">within a period to be specified by the </w:t>
      </w:r>
      <w:r w:rsidR="00623047" w:rsidRPr="00F97360">
        <w:rPr>
          <w:rFonts w:ascii="Arial" w:hAnsi="Arial" w:cs="Arial"/>
          <w:sz w:val="20"/>
        </w:rPr>
        <w:t>Remuneration Committee</w:t>
      </w:r>
      <w:r w:rsidRPr="00F97360">
        <w:rPr>
          <w:rFonts w:ascii="Arial" w:hAnsi="Arial" w:cs="Arial"/>
          <w:sz w:val="20"/>
        </w:rPr>
        <w:t xml:space="preserve"> ending before the </w:t>
      </w:r>
      <w:r w:rsidR="000359D2" w:rsidRPr="00F97360">
        <w:rPr>
          <w:rFonts w:ascii="Arial" w:hAnsi="Arial" w:cs="Arial"/>
          <w:sz w:val="20"/>
        </w:rPr>
        <w:t>A</w:t>
      </w:r>
      <w:r w:rsidRPr="00F97360">
        <w:rPr>
          <w:rFonts w:ascii="Arial" w:hAnsi="Arial" w:cs="Arial"/>
          <w:sz w:val="20"/>
        </w:rPr>
        <w:t>cquiror obtains Control of the Company</w:t>
      </w:r>
      <w:bookmarkEnd w:id="374"/>
      <w:r w:rsidR="00827306" w:rsidRPr="00F97360">
        <w:rPr>
          <w:rFonts w:ascii="Arial" w:hAnsi="Arial" w:cs="Arial"/>
          <w:sz w:val="20"/>
        </w:rPr>
        <w:t>.</w:t>
      </w:r>
      <w:bookmarkEnd w:id="375"/>
    </w:p>
    <w:p w14:paraId="56712ED1" w14:textId="3E3B95F9" w:rsidR="003F38C3" w:rsidRPr="00F97360" w:rsidRDefault="00D8597D" w:rsidP="00B82141">
      <w:pPr>
        <w:pStyle w:val="Untitledsubclause1"/>
        <w:rPr>
          <w:rFonts w:ascii="Arial" w:hAnsi="Arial" w:cs="Arial"/>
          <w:sz w:val="20"/>
        </w:rPr>
      </w:pPr>
      <w:bookmarkStart w:id="376" w:name="_Ref131425138"/>
      <w:r w:rsidRPr="00F97360">
        <w:rPr>
          <w:rFonts w:ascii="Arial" w:hAnsi="Arial" w:cs="Arial"/>
          <w:sz w:val="20"/>
        </w:rPr>
        <w:t xml:space="preserve">If the </w:t>
      </w:r>
      <w:r w:rsidR="00623047" w:rsidRPr="00F97360">
        <w:rPr>
          <w:rFonts w:ascii="Arial" w:hAnsi="Arial" w:cs="Arial"/>
          <w:sz w:val="20"/>
        </w:rPr>
        <w:t>Remuneration Committee</w:t>
      </w:r>
      <w:r w:rsidR="007B4FB5" w:rsidRPr="00F97360">
        <w:rPr>
          <w:rFonts w:ascii="Arial" w:hAnsi="Arial" w:cs="Arial"/>
          <w:sz w:val="20"/>
        </w:rPr>
        <w:t xml:space="preserve"> decide</w:t>
      </w:r>
      <w:r w:rsidR="0078130F" w:rsidRPr="00F97360">
        <w:rPr>
          <w:rFonts w:ascii="Arial" w:hAnsi="Arial" w:cs="Arial"/>
          <w:sz w:val="20"/>
        </w:rPr>
        <w:t>s</w:t>
      </w:r>
      <w:r w:rsidR="00B82141" w:rsidRPr="00F97360">
        <w:rPr>
          <w:rFonts w:ascii="Arial" w:hAnsi="Arial" w:cs="Arial"/>
          <w:sz w:val="20"/>
        </w:rPr>
        <w:t xml:space="preserve"> under rule</w:t>
      </w:r>
      <w:r w:rsidR="006C69EE" w:rsidRPr="00F97360">
        <w:rPr>
          <w:rFonts w:ascii="Arial" w:hAnsi="Arial" w:cs="Arial"/>
          <w:sz w:val="20"/>
        </w:rPr>
        <w:t xml:space="preserve"> </w:t>
      </w:r>
      <w:r w:rsidR="006C69EE" w:rsidRPr="00F97360">
        <w:rPr>
          <w:rFonts w:ascii="Arial" w:hAnsi="Arial" w:cs="Arial"/>
          <w:sz w:val="20"/>
        </w:rPr>
        <w:fldChar w:fldCharType="begin"/>
      </w:r>
      <w:r w:rsidR="006C69EE" w:rsidRPr="00F97360">
        <w:rPr>
          <w:rFonts w:ascii="Arial" w:hAnsi="Arial" w:cs="Arial"/>
          <w:sz w:val="20"/>
        </w:rPr>
        <w:instrText xml:space="preserve"> REF _Ref81583485 \r \h  \* MERGEFORMAT </w:instrText>
      </w:r>
      <w:r w:rsidR="006C69EE" w:rsidRPr="00F97360">
        <w:rPr>
          <w:rFonts w:ascii="Arial" w:hAnsi="Arial" w:cs="Arial"/>
          <w:sz w:val="20"/>
        </w:rPr>
      </w:r>
      <w:r w:rsidR="006C69EE" w:rsidRPr="00F97360">
        <w:rPr>
          <w:rFonts w:ascii="Arial" w:hAnsi="Arial" w:cs="Arial"/>
          <w:sz w:val="20"/>
        </w:rPr>
        <w:fldChar w:fldCharType="separate"/>
      </w:r>
      <w:r w:rsidR="00710210" w:rsidRPr="00F97360">
        <w:rPr>
          <w:rFonts w:ascii="Arial" w:hAnsi="Arial" w:cs="Arial"/>
          <w:sz w:val="20"/>
        </w:rPr>
        <w:t>21.6</w:t>
      </w:r>
      <w:r w:rsidR="006C69EE" w:rsidRPr="00F97360">
        <w:rPr>
          <w:rFonts w:ascii="Arial" w:hAnsi="Arial" w:cs="Arial"/>
          <w:sz w:val="20"/>
        </w:rPr>
        <w:fldChar w:fldCharType="end"/>
      </w:r>
      <w:r w:rsidR="006C69EE" w:rsidRPr="00F97360">
        <w:rPr>
          <w:rFonts w:ascii="Arial" w:hAnsi="Arial" w:cs="Arial"/>
          <w:sz w:val="20"/>
        </w:rPr>
        <w:fldChar w:fldCharType="begin"/>
      </w:r>
      <w:r w:rsidR="006C69EE" w:rsidRPr="00F97360">
        <w:rPr>
          <w:rFonts w:ascii="Arial" w:hAnsi="Arial" w:cs="Arial"/>
          <w:sz w:val="20"/>
        </w:rPr>
        <w:instrText xml:space="preserve"> REF a271198 \r \h  \* MERGEFORMAT </w:instrText>
      </w:r>
      <w:r w:rsidR="006C69EE" w:rsidRPr="00F97360">
        <w:rPr>
          <w:rFonts w:ascii="Arial" w:hAnsi="Arial" w:cs="Arial"/>
          <w:sz w:val="20"/>
        </w:rPr>
      </w:r>
      <w:r w:rsidR="006C69EE" w:rsidRPr="00F97360">
        <w:rPr>
          <w:rFonts w:ascii="Arial" w:hAnsi="Arial" w:cs="Arial"/>
          <w:sz w:val="20"/>
        </w:rPr>
        <w:fldChar w:fldCharType="separate"/>
      </w:r>
      <w:r w:rsidR="00710210" w:rsidRPr="00F97360">
        <w:rPr>
          <w:rFonts w:ascii="Arial" w:hAnsi="Arial" w:cs="Arial"/>
          <w:sz w:val="20"/>
        </w:rPr>
        <w:t>(a)</w:t>
      </w:r>
      <w:r w:rsidR="006C69EE" w:rsidRPr="00F97360">
        <w:rPr>
          <w:rFonts w:ascii="Arial" w:hAnsi="Arial" w:cs="Arial"/>
          <w:sz w:val="20"/>
        </w:rPr>
        <w:fldChar w:fldCharType="end"/>
      </w:r>
      <w:r w:rsidR="00611F05" w:rsidRPr="00F97360">
        <w:rPr>
          <w:rFonts w:ascii="Arial" w:hAnsi="Arial" w:cs="Arial"/>
          <w:sz w:val="20"/>
        </w:rPr>
        <w:t xml:space="preserve"> </w:t>
      </w:r>
      <w:r w:rsidR="00B82141" w:rsidRPr="00F97360">
        <w:rPr>
          <w:rFonts w:ascii="Arial" w:hAnsi="Arial" w:cs="Arial"/>
          <w:sz w:val="20"/>
        </w:rPr>
        <w:t xml:space="preserve">that </w:t>
      </w:r>
      <w:r w:rsidR="00D67DB9" w:rsidRPr="00F97360">
        <w:rPr>
          <w:rFonts w:ascii="Arial" w:hAnsi="Arial" w:cs="Arial"/>
          <w:sz w:val="20"/>
        </w:rPr>
        <w:t>Award</w:t>
      </w:r>
      <w:r w:rsidR="00D62C51" w:rsidRPr="00F97360">
        <w:rPr>
          <w:rFonts w:ascii="Arial" w:hAnsi="Arial" w:cs="Arial"/>
          <w:sz w:val="20"/>
        </w:rPr>
        <w:t>s</w:t>
      </w:r>
      <w:r w:rsidR="00B82141" w:rsidRPr="00F97360">
        <w:rPr>
          <w:rFonts w:ascii="Arial" w:hAnsi="Arial" w:cs="Arial"/>
          <w:sz w:val="20"/>
        </w:rPr>
        <w:t xml:space="preserve"> shall </w:t>
      </w:r>
      <w:r w:rsidR="00D44FC6" w:rsidRPr="00F97360">
        <w:rPr>
          <w:rFonts w:ascii="Arial" w:hAnsi="Arial" w:cs="Arial"/>
          <w:sz w:val="20"/>
        </w:rPr>
        <w:t>Vest</w:t>
      </w:r>
      <w:r w:rsidR="00B82141" w:rsidRPr="00F97360">
        <w:rPr>
          <w:rFonts w:ascii="Arial" w:hAnsi="Arial" w:cs="Arial"/>
          <w:sz w:val="20"/>
        </w:rPr>
        <w:t xml:space="preserve"> and</w:t>
      </w:r>
      <w:r w:rsidR="00FF75C9" w:rsidRPr="00F97360">
        <w:rPr>
          <w:rFonts w:ascii="Arial" w:hAnsi="Arial" w:cs="Arial"/>
          <w:sz w:val="20"/>
        </w:rPr>
        <w:t>/or</w:t>
      </w:r>
      <w:r w:rsidR="00B82141" w:rsidRPr="00F97360">
        <w:rPr>
          <w:rFonts w:ascii="Arial" w:hAnsi="Arial" w:cs="Arial"/>
          <w:sz w:val="20"/>
        </w:rPr>
        <w:t xml:space="preserve"> make</w:t>
      </w:r>
      <w:r w:rsidR="00227D4C" w:rsidRPr="00F97360">
        <w:rPr>
          <w:rFonts w:ascii="Arial" w:hAnsi="Arial" w:cs="Arial"/>
          <w:sz w:val="20"/>
        </w:rPr>
        <w:t>s</w:t>
      </w:r>
      <w:r w:rsidR="00B82141" w:rsidRPr="00F97360">
        <w:rPr>
          <w:rFonts w:ascii="Arial" w:hAnsi="Arial" w:cs="Arial"/>
          <w:sz w:val="20"/>
        </w:rPr>
        <w:t xml:space="preserve"> a request pursuant to rule </w:t>
      </w:r>
      <w:r w:rsidR="00520814" w:rsidRPr="00F97360">
        <w:rPr>
          <w:rFonts w:ascii="Arial" w:hAnsi="Arial" w:cs="Arial"/>
          <w:sz w:val="20"/>
        </w:rPr>
        <w:fldChar w:fldCharType="begin"/>
      </w:r>
      <w:r w:rsidR="00520814" w:rsidRPr="00F97360">
        <w:rPr>
          <w:rFonts w:ascii="Arial" w:hAnsi="Arial" w:cs="Arial"/>
          <w:sz w:val="20"/>
        </w:rPr>
        <w:instrText xml:space="preserve"> REF _Ref81583485 \r \h  \* MERGEFORMAT </w:instrText>
      </w:r>
      <w:r w:rsidR="00520814" w:rsidRPr="00F97360">
        <w:rPr>
          <w:rFonts w:ascii="Arial" w:hAnsi="Arial" w:cs="Arial"/>
          <w:sz w:val="20"/>
        </w:rPr>
      </w:r>
      <w:r w:rsidR="00520814" w:rsidRPr="00F97360">
        <w:rPr>
          <w:rFonts w:ascii="Arial" w:hAnsi="Arial" w:cs="Arial"/>
          <w:sz w:val="20"/>
        </w:rPr>
        <w:fldChar w:fldCharType="separate"/>
      </w:r>
      <w:r w:rsidR="00710210" w:rsidRPr="00F97360">
        <w:rPr>
          <w:rFonts w:ascii="Arial" w:hAnsi="Arial" w:cs="Arial"/>
          <w:sz w:val="20"/>
        </w:rPr>
        <w:t>21.6</w:t>
      </w:r>
      <w:r w:rsidR="00520814" w:rsidRPr="00F97360">
        <w:rPr>
          <w:rFonts w:ascii="Arial" w:hAnsi="Arial" w:cs="Arial"/>
          <w:sz w:val="20"/>
        </w:rPr>
        <w:fldChar w:fldCharType="end"/>
      </w:r>
      <w:r w:rsidR="00641CAD" w:rsidRPr="00F97360">
        <w:rPr>
          <w:rFonts w:ascii="Arial" w:hAnsi="Arial" w:cs="Arial"/>
          <w:sz w:val="20"/>
        </w:rPr>
        <w:fldChar w:fldCharType="begin"/>
      </w:r>
      <w:r w:rsidR="00641CAD" w:rsidRPr="00F97360">
        <w:rPr>
          <w:rFonts w:ascii="Arial" w:hAnsi="Arial" w:cs="Arial"/>
          <w:sz w:val="20"/>
        </w:rPr>
        <w:instrText xml:space="preserve"> REF _Ref104571385 \r \h </w:instrText>
      </w:r>
      <w:r w:rsidR="004C1A6B" w:rsidRPr="00F97360">
        <w:rPr>
          <w:rFonts w:ascii="Arial" w:hAnsi="Arial" w:cs="Arial"/>
          <w:sz w:val="20"/>
        </w:rPr>
        <w:instrText xml:space="preserve"> \* MERGEFORMAT</w:instrText>
      </w:r>
      <w:r w:rsidR="00641CAD" w:rsidRPr="00F97360">
        <w:rPr>
          <w:rFonts w:ascii="Arial" w:hAnsi="Arial" w:cs="Arial"/>
          <w:sz w:val="20"/>
        </w:rPr>
        <w:instrText xml:space="preserve"> </w:instrText>
      </w:r>
      <w:r w:rsidR="00641CAD" w:rsidRPr="00F97360">
        <w:rPr>
          <w:rFonts w:ascii="Arial" w:hAnsi="Arial" w:cs="Arial"/>
          <w:sz w:val="20"/>
        </w:rPr>
      </w:r>
      <w:r w:rsidR="00641CAD" w:rsidRPr="00F97360">
        <w:rPr>
          <w:rFonts w:ascii="Arial" w:hAnsi="Arial" w:cs="Arial"/>
          <w:sz w:val="20"/>
        </w:rPr>
        <w:fldChar w:fldCharType="separate"/>
      </w:r>
      <w:r w:rsidR="00710210" w:rsidRPr="00F97360">
        <w:rPr>
          <w:rFonts w:ascii="Arial" w:hAnsi="Arial" w:cs="Arial"/>
          <w:sz w:val="20"/>
        </w:rPr>
        <w:t>(b)</w:t>
      </w:r>
      <w:r w:rsidR="00641CAD" w:rsidRPr="00F97360">
        <w:rPr>
          <w:rFonts w:ascii="Arial" w:hAnsi="Arial" w:cs="Arial"/>
          <w:sz w:val="20"/>
        </w:rPr>
        <w:fldChar w:fldCharType="end"/>
      </w:r>
      <w:r w:rsidR="00B82141" w:rsidRPr="00F97360">
        <w:rPr>
          <w:rFonts w:ascii="Arial" w:hAnsi="Arial" w:cs="Arial"/>
          <w:sz w:val="20"/>
        </w:rPr>
        <w:t>:</w:t>
      </w:r>
      <w:bookmarkEnd w:id="376"/>
    </w:p>
    <w:p w14:paraId="56712ED2" w14:textId="7F3397B0" w:rsidR="000359D2" w:rsidRPr="00F97360" w:rsidRDefault="00D8597D" w:rsidP="00E26C42">
      <w:pPr>
        <w:pStyle w:val="Untitledsubclause2"/>
        <w:numPr>
          <w:ilvl w:val="2"/>
          <w:numId w:val="32"/>
        </w:numPr>
        <w:rPr>
          <w:rFonts w:ascii="Arial" w:hAnsi="Arial" w:cs="Arial"/>
          <w:sz w:val="20"/>
        </w:rPr>
      </w:pPr>
      <w:bookmarkStart w:id="377" w:name="_Ref104571509"/>
      <w:r w:rsidRPr="00F97360">
        <w:rPr>
          <w:rFonts w:ascii="Arial" w:hAnsi="Arial" w:cs="Arial"/>
          <w:sz w:val="20"/>
        </w:rPr>
        <w:t>the</w:t>
      </w:r>
      <w:r w:rsidR="003D6BE2" w:rsidRPr="00F97360">
        <w:rPr>
          <w:rFonts w:ascii="Arial" w:hAnsi="Arial" w:cs="Arial"/>
          <w:sz w:val="20"/>
        </w:rPr>
        <w:t xml:space="preserve"> </w:t>
      </w:r>
      <w:r w:rsidR="00D44FC6" w:rsidRPr="00F97360">
        <w:rPr>
          <w:rFonts w:ascii="Arial" w:hAnsi="Arial" w:cs="Arial"/>
          <w:sz w:val="20"/>
        </w:rPr>
        <w:t>Vesting of</w:t>
      </w:r>
      <w:r w:rsidR="003D6BE2" w:rsidRPr="00F97360">
        <w:rPr>
          <w:rFonts w:ascii="Arial" w:hAnsi="Arial" w:cs="Arial"/>
          <w:sz w:val="20"/>
        </w:rPr>
        <w:t xml:space="preserve"> </w:t>
      </w:r>
      <w:r w:rsidR="00D67DB9" w:rsidRPr="00F97360">
        <w:rPr>
          <w:rFonts w:ascii="Arial" w:hAnsi="Arial" w:cs="Arial"/>
          <w:sz w:val="20"/>
        </w:rPr>
        <w:t>Award</w:t>
      </w:r>
      <w:r w:rsidR="00D62C51" w:rsidRPr="00F97360">
        <w:rPr>
          <w:rFonts w:ascii="Arial" w:hAnsi="Arial" w:cs="Arial"/>
          <w:sz w:val="20"/>
        </w:rPr>
        <w:t>s</w:t>
      </w:r>
      <w:r w:rsidR="00ED3C0F" w:rsidRPr="00F97360">
        <w:rPr>
          <w:rFonts w:ascii="Arial" w:hAnsi="Arial" w:cs="Arial"/>
          <w:sz w:val="20"/>
        </w:rPr>
        <w:t xml:space="preserve">, </w:t>
      </w:r>
      <w:r w:rsidR="003D6BE2" w:rsidRPr="00F97360">
        <w:rPr>
          <w:rFonts w:ascii="Arial" w:hAnsi="Arial" w:cs="Arial"/>
          <w:sz w:val="20"/>
        </w:rPr>
        <w:t xml:space="preserve">and </w:t>
      </w:r>
      <w:r w:rsidRPr="00F97360">
        <w:rPr>
          <w:rFonts w:ascii="Arial" w:hAnsi="Arial" w:cs="Arial"/>
          <w:sz w:val="20"/>
        </w:rPr>
        <w:t xml:space="preserve">the </w:t>
      </w:r>
      <w:r w:rsidR="003D6BE2" w:rsidRPr="00F97360">
        <w:rPr>
          <w:rFonts w:ascii="Arial" w:hAnsi="Arial" w:cs="Arial"/>
          <w:sz w:val="20"/>
        </w:rPr>
        <w:t>exercise of Options</w:t>
      </w:r>
      <w:r w:rsidR="00B82141" w:rsidRPr="00F97360">
        <w:rPr>
          <w:rFonts w:ascii="Arial" w:hAnsi="Arial" w:cs="Arial"/>
          <w:sz w:val="20"/>
        </w:rPr>
        <w:t xml:space="preserve"> in respect of which a valid Exercise Notice has been received by the Company by the relevant deadline</w:t>
      </w:r>
      <w:r w:rsidR="00ED3C0F" w:rsidRPr="00F97360">
        <w:rPr>
          <w:rFonts w:ascii="Arial" w:hAnsi="Arial" w:cs="Arial"/>
          <w:sz w:val="20"/>
        </w:rPr>
        <w:t xml:space="preserve">, </w:t>
      </w:r>
      <w:r w:rsidR="003D6BE2" w:rsidRPr="00F97360">
        <w:rPr>
          <w:rFonts w:ascii="Arial" w:hAnsi="Arial" w:cs="Arial"/>
          <w:sz w:val="20"/>
        </w:rPr>
        <w:t xml:space="preserve">shall </w:t>
      </w:r>
      <w:r w:rsidRPr="00F97360">
        <w:rPr>
          <w:rFonts w:ascii="Arial" w:hAnsi="Arial" w:cs="Arial"/>
          <w:sz w:val="20"/>
        </w:rPr>
        <w:t>take effect</w:t>
      </w:r>
      <w:r w:rsidR="003D6BE2" w:rsidRPr="00F97360">
        <w:rPr>
          <w:rFonts w:ascii="Arial" w:hAnsi="Arial" w:cs="Arial"/>
          <w:sz w:val="20"/>
        </w:rPr>
        <w:t xml:space="preserve"> immediately before the </w:t>
      </w:r>
      <w:r w:rsidR="00593A2C" w:rsidRPr="00F97360">
        <w:rPr>
          <w:rFonts w:ascii="Arial" w:hAnsi="Arial" w:cs="Arial"/>
          <w:sz w:val="20"/>
        </w:rPr>
        <w:t>Change of Control</w:t>
      </w:r>
      <w:r w:rsidR="00827306" w:rsidRPr="00F97360">
        <w:rPr>
          <w:rFonts w:ascii="Arial" w:hAnsi="Arial" w:cs="Arial"/>
          <w:sz w:val="20"/>
        </w:rPr>
        <w:t xml:space="preserve"> (or, in the case of </w:t>
      </w:r>
      <w:r w:rsidR="001A7573" w:rsidRPr="00F97360">
        <w:rPr>
          <w:rFonts w:ascii="Arial" w:hAnsi="Arial" w:cs="Arial"/>
          <w:sz w:val="20"/>
        </w:rPr>
        <w:t xml:space="preserve">a </w:t>
      </w:r>
      <w:r w:rsidR="00827306" w:rsidRPr="00F97360">
        <w:rPr>
          <w:rFonts w:ascii="Arial" w:hAnsi="Arial" w:cs="Arial"/>
          <w:sz w:val="20"/>
        </w:rPr>
        <w:t>Scheme of Arrangement,</w:t>
      </w:r>
      <w:r w:rsidR="00B82141" w:rsidRPr="00F97360">
        <w:rPr>
          <w:rFonts w:ascii="Arial" w:hAnsi="Arial" w:cs="Arial"/>
          <w:sz w:val="20"/>
        </w:rPr>
        <w:t xml:space="preserve"> </w:t>
      </w:r>
      <w:r w:rsidR="00227D4C" w:rsidRPr="00F97360">
        <w:rPr>
          <w:rFonts w:ascii="Arial" w:hAnsi="Arial" w:cs="Arial"/>
          <w:sz w:val="20"/>
        </w:rPr>
        <w:t>with</w:t>
      </w:r>
      <w:r w:rsidR="00B82141" w:rsidRPr="00F97360">
        <w:rPr>
          <w:rFonts w:ascii="Arial" w:hAnsi="Arial" w:cs="Arial"/>
          <w:sz w:val="20"/>
        </w:rPr>
        <w:t xml:space="preserve">in the period beginning with the </w:t>
      </w:r>
      <w:r w:rsidR="001A7573" w:rsidRPr="00F97360">
        <w:rPr>
          <w:rFonts w:ascii="Arial" w:hAnsi="Arial" w:cs="Arial"/>
          <w:sz w:val="20"/>
        </w:rPr>
        <w:t xml:space="preserve">time the Court sanctions the Scheme of Arrangement and </w:t>
      </w:r>
      <w:r w:rsidR="00B82141" w:rsidRPr="00F97360">
        <w:rPr>
          <w:rFonts w:ascii="Arial" w:hAnsi="Arial" w:cs="Arial"/>
          <w:sz w:val="20"/>
        </w:rPr>
        <w:t xml:space="preserve">ending on </w:t>
      </w:r>
      <w:r w:rsidR="00827306" w:rsidRPr="00F97360">
        <w:rPr>
          <w:rFonts w:ascii="Arial" w:hAnsi="Arial" w:cs="Arial"/>
          <w:sz w:val="20"/>
        </w:rPr>
        <w:t xml:space="preserve">the scheme record </w:t>
      </w:r>
      <w:r w:rsidR="00996EE2" w:rsidRPr="00F97360">
        <w:rPr>
          <w:rFonts w:ascii="Arial" w:hAnsi="Arial" w:cs="Arial"/>
          <w:sz w:val="20"/>
        </w:rPr>
        <w:t>time</w:t>
      </w:r>
      <w:proofErr w:type="gramStart"/>
      <w:r w:rsidR="00827306" w:rsidRPr="00F97360">
        <w:rPr>
          <w:rFonts w:ascii="Arial" w:hAnsi="Arial" w:cs="Arial"/>
          <w:sz w:val="20"/>
        </w:rPr>
        <w:t>)</w:t>
      </w:r>
      <w:r w:rsidR="00B82141" w:rsidRPr="00F97360">
        <w:rPr>
          <w:rFonts w:ascii="Arial" w:hAnsi="Arial" w:cs="Arial"/>
          <w:sz w:val="20"/>
        </w:rPr>
        <w:t>;</w:t>
      </w:r>
      <w:bookmarkEnd w:id="377"/>
      <w:proofErr w:type="gramEnd"/>
    </w:p>
    <w:p w14:paraId="56712ED3" w14:textId="342D7A2B" w:rsidR="001A7573" w:rsidRPr="00F97360" w:rsidRDefault="00D8597D" w:rsidP="003F38C3">
      <w:pPr>
        <w:pStyle w:val="Untitledsubclause2"/>
        <w:rPr>
          <w:rFonts w:ascii="Arial" w:hAnsi="Arial" w:cs="Arial"/>
          <w:sz w:val="20"/>
        </w:rPr>
      </w:pPr>
      <w:r w:rsidRPr="00F97360">
        <w:rPr>
          <w:rFonts w:ascii="Arial" w:hAnsi="Arial" w:cs="Arial"/>
          <w:sz w:val="20"/>
        </w:rPr>
        <w:t>i</w:t>
      </w:r>
      <w:r w:rsidR="005E5BF9" w:rsidRPr="00F97360">
        <w:rPr>
          <w:rFonts w:ascii="Arial" w:hAnsi="Arial" w:cs="Arial"/>
          <w:sz w:val="20"/>
        </w:rPr>
        <w:t xml:space="preserve">f </w:t>
      </w:r>
      <w:r w:rsidR="00AA32FF" w:rsidRPr="00F97360">
        <w:rPr>
          <w:rFonts w:ascii="Arial" w:hAnsi="Arial" w:cs="Arial"/>
          <w:sz w:val="20"/>
        </w:rPr>
        <w:t>an Award Holder</w:t>
      </w:r>
      <w:r w:rsidR="005E5BF9" w:rsidRPr="00F97360">
        <w:rPr>
          <w:rFonts w:ascii="Arial" w:hAnsi="Arial" w:cs="Arial"/>
          <w:sz w:val="20"/>
        </w:rPr>
        <w:t xml:space="preserve"> fails to give an </w:t>
      </w:r>
      <w:r w:rsidR="000359D2" w:rsidRPr="00F97360">
        <w:rPr>
          <w:rFonts w:ascii="Arial" w:hAnsi="Arial" w:cs="Arial"/>
          <w:sz w:val="20"/>
        </w:rPr>
        <w:t xml:space="preserve">Exercise </w:t>
      </w:r>
      <w:r w:rsidR="005E5BF9" w:rsidRPr="00F97360">
        <w:rPr>
          <w:rFonts w:ascii="Arial" w:hAnsi="Arial" w:cs="Arial"/>
          <w:sz w:val="20"/>
        </w:rPr>
        <w:t>Notice</w:t>
      </w:r>
      <w:r w:rsidR="000359D2" w:rsidRPr="00F97360">
        <w:rPr>
          <w:rFonts w:ascii="Arial" w:hAnsi="Arial" w:cs="Arial"/>
          <w:sz w:val="20"/>
        </w:rPr>
        <w:t xml:space="preserve"> in respect of their Option </w:t>
      </w:r>
      <w:r w:rsidR="005E5BF9" w:rsidRPr="00F97360">
        <w:rPr>
          <w:rFonts w:ascii="Arial" w:hAnsi="Arial" w:cs="Arial"/>
          <w:sz w:val="20"/>
        </w:rPr>
        <w:t xml:space="preserve">within the time period specified by the </w:t>
      </w:r>
      <w:r w:rsidR="00623047" w:rsidRPr="00F97360">
        <w:rPr>
          <w:rFonts w:ascii="Arial" w:hAnsi="Arial" w:cs="Arial"/>
          <w:sz w:val="20"/>
        </w:rPr>
        <w:t>Remuneration Committee</w:t>
      </w:r>
      <w:r w:rsidR="005E5BF9" w:rsidRPr="00F97360">
        <w:rPr>
          <w:rFonts w:ascii="Arial" w:hAnsi="Arial" w:cs="Arial"/>
          <w:sz w:val="20"/>
        </w:rPr>
        <w:t xml:space="preserve"> in any written request made </w:t>
      </w:r>
      <w:r w:rsidR="005E5BF9" w:rsidRPr="00F97360">
        <w:rPr>
          <w:rFonts w:ascii="Arial" w:hAnsi="Arial" w:cs="Arial"/>
          <w:sz w:val="20"/>
        </w:rPr>
        <w:lastRenderedPageBreak/>
        <w:t xml:space="preserve">pursuant to </w:t>
      </w:r>
      <w:r w:rsidR="000359D2" w:rsidRPr="00F97360">
        <w:rPr>
          <w:rFonts w:ascii="Arial" w:hAnsi="Arial" w:cs="Arial"/>
          <w:sz w:val="20"/>
        </w:rPr>
        <w:t>r</w:t>
      </w:r>
      <w:r w:rsidR="005E5BF9" w:rsidRPr="00F97360">
        <w:rPr>
          <w:rFonts w:ascii="Arial" w:hAnsi="Arial" w:cs="Arial"/>
          <w:sz w:val="20"/>
        </w:rPr>
        <w:t xml:space="preserve">ule </w:t>
      </w:r>
      <w:r w:rsidR="000359D2" w:rsidRPr="00F97360">
        <w:rPr>
          <w:rFonts w:ascii="Arial" w:hAnsi="Arial" w:cs="Arial"/>
          <w:sz w:val="20"/>
        </w:rPr>
        <w:fldChar w:fldCharType="begin"/>
      </w:r>
      <w:r w:rsidR="000359D2" w:rsidRPr="00F97360">
        <w:rPr>
          <w:rFonts w:ascii="Arial" w:hAnsi="Arial" w:cs="Arial"/>
          <w:sz w:val="20"/>
        </w:rPr>
        <w:instrText xml:space="preserve"> REF a478188 \r \h  \* MERGEFORMAT </w:instrText>
      </w:r>
      <w:r w:rsidR="000359D2" w:rsidRPr="00F97360">
        <w:rPr>
          <w:rFonts w:ascii="Arial" w:hAnsi="Arial" w:cs="Arial"/>
          <w:sz w:val="20"/>
        </w:rPr>
      </w:r>
      <w:r w:rsidR="000359D2" w:rsidRPr="00F97360">
        <w:rPr>
          <w:rFonts w:ascii="Arial" w:hAnsi="Arial" w:cs="Arial"/>
          <w:sz w:val="20"/>
        </w:rPr>
        <w:fldChar w:fldCharType="separate"/>
      </w:r>
      <w:r w:rsidR="00710210" w:rsidRPr="00F97360">
        <w:rPr>
          <w:rFonts w:ascii="Arial" w:hAnsi="Arial" w:cs="Arial"/>
          <w:sz w:val="20"/>
        </w:rPr>
        <w:t>21.6(b)</w:t>
      </w:r>
      <w:r w:rsidR="000359D2" w:rsidRPr="00F97360">
        <w:rPr>
          <w:rFonts w:ascii="Arial" w:hAnsi="Arial" w:cs="Arial"/>
          <w:sz w:val="20"/>
        </w:rPr>
        <w:fldChar w:fldCharType="end"/>
      </w:r>
      <w:r w:rsidR="005E5BF9" w:rsidRPr="00F97360">
        <w:rPr>
          <w:rFonts w:ascii="Arial" w:hAnsi="Arial" w:cs="Arial"/>
          <w:sz w:val="20"/>
        </w:rPr>
        <w:t xml:space="preserve">, </w:t>
      </w:r>
      <w:r w:rsidRPr="00F97360">
        <w:rPr>
          <w:rFonts w:ascii="Arial" w:hAnsi="Arial" w:cs="Arial"/>
          <w:sz w:val="20"/>
        </w:rPr>
        <w:t xml:space="preserve">then unless before the occurrence of the </w:t>
      </w:r>
      <w:r w:rsidR="00593A2C" w:rsidRPr="00F97360">
        <w:rPr>
          <w:rFonts w:ascii="Arial" w:hAnsi="Arial" w:cs="Arial"/>
          <w:sz w:val="20"/>
        </w:rPr>
        <w:t>Change of Control</w:t>
      </w:r>
      <w:r w:rsidRPr="00F97360">
        <w:rPr>
          <w:rFonts w:ascii="Arial" w:hAnsi="Arial" w:cs="Arial"/>
          <w:sz w:val="20"/>
        </w:rPr>
        <w:t xml:space="preserve"> the Award Holder has irrevocably agreed with the prospective Acquiror to surrender the Option pursuant to</w:t>
      </w:r>
      <w:r w:rsidR="00153F52" w:rsidRPr="00F97360">
        <w:rPr>
          <w:rFonts w:ascii="Arial" w:hAnsi="Arial" w:cs="Arial"/>
          <w:sz w:val="20"/>
        </w:rPr>
        <w:t xml:space="preserve"> rule</w:t>
      </w:r>
      <w:r w:rsidR="006C16F4" w:rsidRPr="00F97360">
        <w:rPr>
          <w:rFonts w:ascii="Arial" w:hAnsi="Arial" w:cs="Arial"/>
          <w:sz w:val="20"/>
        </w:rPr>
        <w:t xml:space="preserve"> </w:t>
      </w:r>
      <w:r w:rsidR="00423449" w:rsidRPr="00F97360">
        <w:rPr>
          <w:rFonts w:ascii="Arial" w:hAnsi="Arial" w:cs="Arial"/>
          <w:sz w:val="20"/>
        </w:rPr>
        <w:fldChar w:fldCharType="begin"/>
      </w:r>
      <w:r w:rsidR="00423449" w:rsidRPr="00F97360">
        <w:rPr>
          <w:rFonts w:ascii="Arial" w:hAnsi="Arial" w:cs="Arial"/>
          <w:sz w:val="20"/>
        </w:rPr>
        <w:instrText xml:space="preserve"> REF _Ref105601363 \r \h </w:instrText>
      </w:r>
      <w:r w:rsidR="004C1A6B" w:rsidRPr="00F97360">
        <w:rPr>
          <w:rFonts w:ascii="Arial" w:hAnsi="Arial" w:cs="Arial"/>
          <w:sz w:val="20"/>
        </w:rPr>
        <w:instrText xml:space="preserve"> \* MERGEFORMAT </w:instrText>
      </w:r>
      <w:r w:rsidR="00423449" w:rsidRPr="00F97360">
        <w:rPr>
          <w:rFonts w:ascii="Arial" w:hAnsi="Arial" w:cs="Arial"/>
          <w:sz w:val="20"/>
        </w:rPr>
      </w:r>
      <w:r w:rsidR="00423449" w:rsidRPr="00F97360">
        <w:rPr>
          <w:rFonts w:ascii="Arial" w:hAnsi="Arial" w:cs="Arial"/>
          <w:sz w:val="20"/>
        </w:rPr>
        <w:fldChar w:fldCharType="separate"/>
      </w:r>
      <w:r w:rsidR="00710210" w:rsidRPr="00F97360">
        <w:rPr>
          <w:rFonts w:ascii="Arial" w:hAnsi="Arial" w:cs="Arial"/>
          <w:sz w:val="20"/>
        </w:rPr>
        <w:t>21.4</w:t>
      </w:r>
      <w:r w:rsidR="00423449" w:rsidRPr="00F97360">
        <w:rPr>
          <w:rFonts w:ascii="Arial" w:hAnsi="Arial" w:cs="Arial"/>
          <w:sz w:val="20"/>
        </w:rPr>
        <w:fldChar w:fldCharType="end"/>
      </w:r>
      <w:r w:rsidRPr="00F97360">
        <w:rPr>
          <w:rFonts w:ascii="Arial" w:hAnsi="Arial" w:cs="Arial"/>
          <w:sz w:val="20"/>
        </w:rPr>
        <w:t xml:space="preserve">, </w:t>
      </w:r>
      <w:r w:rsidR="005E5BF9" w:rsidRPr="00F97360">
        <w:rPr>
          <w:rFonts w:ascii="Arial" w:hAnsi="Arial" w:cs="Arial"/>
          <w:sz w:val="20"/>
        </w:rPr>
        <w:t xml:space="preserve">his </w:t>
      </w:r>
      <w:r w:rsidR="00E11C32" w:rsidRPr="00F97360">
        <w:rPr>
          <w:rFonts w:ascii="Arial" w:hAnsi="Arial" w:cs="Arial"/>
          <w:sz w:val="20"/>
        </w:rPr>
        <w:t xml:space="preserve">or her </w:t>
      </w:r>
      <w:r w:rsidR="005E5BF9" w:rsidRPr="00F97360">
        <w:rPr>
          <w:rFonts w:ascii="Arial" w:hAnsi="Arial" w:cs="Arial"/>
          <w:sz w:val="20"/>
        </w:rPr>
        <w:t xml:space="preserve">Option shall lapse on the occurrence of the </w:t>
      </w:r>
      <w:r w:rsidR="00593A2C" w:rsidRPr="00F97360">
        <w:rPr>
          <w:rFonts w:ascii="Arial" w:hAnsi="Arial" w:cs="Arial"/>
          <w:sz w:val="20"/>
        </w:rPr>
        <w:t>Change of Control</w:t>
      </w:r>
      <w:r w:rsidR="000359D2" w:rsidRPr="00F97360">
        <w:rPr>
          <w:rFonts w:ascii="Arial" w:hAnsi="Arial" w:cs="Arial"/>
          <w:sz w:val="20"/>
        </w:rPr>
        <w:t xml:space="preserve"> </w:t>
      </w:r>
      <w:r w:rsidR="005E5BF9" w:rsidRPr="00F97360">
        <w:rPr>
          <w:rFonts w:ascii="Arial" w:hAnsi="Arial" w:cs="Arial"/>
          <w:sz w:val="20"/>
        </w:rPr>
        <w:t>(</w:t>
      </w:r>
      <w:r w:rsidRPr="00F97360">
        <w:rPr>
          <w:rFonts w:ascii="Arial" w:hAnsi="Arial" w:cs="Arial"/>
          <w:sz w:val="20"/>
        </w:rPr>
        <w:t>which in respect of a Scheme of Arrangement shall for the purposes of this rule be deemed to be</w:t>
      </w:r>
      <w:r w:rsidR="00363672" w:rsidRPr="00F97360">
        <w:rPr>
          <w:rFonts w:ascii="Arial" w:hAnsi="Arial" w:cs="Arial"/>
          <w:sz w:val="20"/>
        </w:rPr>
        <w:t xml:space="preserve"> when the scheme becomes effective</w:t>
      </w:r>
      <w:r w:rsidR="008E3E46" w:rsidRPr="00F97360">
        <w:rPr>
          <w:rFonts w:ascii="Arial" w:hAnsi="Arial" w:cs="Arial"/>
          <w:sz w:val="20"/>
        </w:rPr>
        <w:t>)</w:t>
      </w:r>
      <w:r w:rsidR="00363672" w:rsidRPr="00F97360">
        <w:rPr>
          <w:rFonts w:ascii="Arial" w:hAnsi="Arial" w:cs="Arial"/>
          <w:sz w:val="20"/>
        </w:rPr>
        <w:t>, and</w:t>
      </w:r>
    </w:p>
    <w:p w14:paraId="56712ED4" w14:textId="047D2666" w:rsidR="000359D2" w:rsidRPr="00F97360" w:rsidRDefault="00D8597D" w:rsidP="003F38C3">
      <w:pPr>
        <w:pStyle w:val="Untitledsubclause2"/>
        <w:rPr>
          <w:rFonts w:ascii="Arial" w:hAnsi="Arial" w:cs="Arial"/>
          <w:sz w:val="20"/>
        </w:rPr>
      </w:pPr>
      <w:r w:rsidRPr="00F97360">
        <w:rPr>
          <w:rFonts w:ascii="Arial" w:hAnsi="Arial" w:cs="Arial"/>
          <w:sz w:val="20"/>
        </w:rPr>
        <w:t xml:space="preserve">if the anticipated </w:t>
      </w:r>
      <w:r w:rsidR="00593A2C" w:rsidRPr="00F97360">
        <w:rPr>
          <w:rFonts w:ascii="Arial" w:hAnsi="Arial" w:cs="Arial"/>
          <w:sz w:val="20"/>
        </w:rPr>
        <w:t>Change of Control</w:t>
      </w:r>
      <w:r w:rsidR="00C20160" w:rsidRPr="00F97360">
        <w:rPr>
          <w:rFonts w:ascii="Arial" w:hAnsi="Arial" w:cs="Arial"/>
          <w:sz w:val="20"/>
        </w:rPr>
        <w:t xml:space="preserve"> </w:t>
      </w:r>
      <w:r w:rsidRPr="00F97360">
        <w:rPr>
          <w:rFonts w:ascii="Arial" w:hAnsi="Arial" w:cs="Arial"/>
          <w:sz w:val="20"/>
        </w:rPr>
        <w:t xml:space="preserve">does not occur, the </w:t>
      </w:r>
      <w:r w:rsidR="00D44FC6" w:rsidRPr="00F97360">
        <w:rPr>
          <w:rFonts w:ascii="Arial" w:hAnsi="Arial" w:cs="Arial"/>
          <w:sz w:val="20"/>
        </w:rPr>
        <w:t>Vesting of</w:t>
      </w:r>
      <w:r w:rsidRPr="00F97360">
        <w:rPr>
          <w:rFonts w:ascii="Arial" w:hAnsi="Arial" w:cs="Arial"/>
          <w:sz w:val="20"/>
        </w:rPr>
        <w:t xml:space="preserve"> </w:t>
      </w:r>
      <w:r w:rsidR="00D67DB9" w:rsidRPr="00F97360">
        <w:rPr>
          <w:rFonts w:ascii="Arial" w:hAnsi="Arial" w:cs="Arial"/>
          <w:sz w:val="20"/>
        </w:rPr>
        <w:t>Award</w:t>
      </w:r>
      <w:r w:rsidR="00D62C51" w:rsidRPr="00F97360">
        <w:rPr>
          <w:rFonts w:ascii="Arial" w:hAnsi="Arial" w:cs="Arial"/>
          <w:sz w:val="20"/>
        </w:rPr>
        <w:t>s</w:t>
      </w:r>
      <w:r w:rsidRPr="00F97360">
        <w:rPr>
          <w:rFonts w:ascii="Arial" w:hAnsi="Arial" w:cs="Arial"/>
          <w:sz w:val="20"/>
        </w:rPr>
        <w:t xml:space="preserve"> </w:t>
      </w:r>
      <w:r w:rsidR="009C4C5C" w:rsidRPr="00F97360">
        <w:rPr>
          <w:rFonts w:ascii="Arial" w:hAnsi="Arial" w:cs="Arial"/>
          <w:sz w:val="20"/>
        </w:rPr>
        <w:t xml:space="preserve">pursuant to rule </w:t>
      </w:r>
      <w:r w:rsidR="00C01833" w:rsidRPr="00F97360">
        <w:rPr>
          <w:rFonts w:ascii="Arial" w:hAnsi="Arial" w:cs="Arial"/>
          <w:sz w:val="20"/>
        </w:rPr>
        <w:fldChar w:fldCharType="begin"/>
      </w:r>
      <w:r w:rsidR="00C01833" w:rsidRPr="00F97360">
        <w:rPr>
          <w:rFonts w:ascii="Arial" w:hAnsi="Arial" w:cs="Arial"/>
          <w:sz w:val="20"/>
        </w:rPr>
        <w:instrText xml:space="preserve"> REF _Ref81583485 \r \h  \* MERGEFORMAT </w:instrText>
      </w:r>
      <w:r w:rsidR="00C01833" w:rsidRPr="00F97360">
        <w:rPr>
          <w:rFonts w:ascii="Arial" w:hAnsi="Arial" w:cs="Arial"/>
          <w:sz w:val="20"/>
        </w:rPr>
      </w:r>
      <w:r w:rsidR="00C01833" w:rsidRPr="00F97360">
        <w:rPr>
          <w:rFonts w:ascii="Arial" w:hAnsi="Arial" w:cs="Arial"/>
          <w:sz w:val="20"/>
        </w:rPr>
        <w:fldChar w:fldCharType="separate"/>
      </w:r>
      <w:r w:rsidR="00710210" w:rsidRPr="00F97360">
        <w:rPr>
          <w:rFonts w:ascii="Arial" w:hAnsi="Arial" w:cs="Arial"/>
          <w:sz w:val="20"/>
        </w:rPr>
        <w:t>21.6</w:t>
      </w:r>
      <w:r w:rsidR="00C01833" w:rsidRPr="00F97360">
        <w:rPr>
          <w:rFonts w:ascii="Arial" w:hAnsi="Arial" w:cs="Arial"/>
          <w:sz w:val="20"/>
        </w:rPr>
        <w:fldChar w:fldCharType="end"/>
      </w:r>
      <w:r w:rsidR="00C01833" w:rsidRPr="00F97360">
        <w:rPr>
          <w:rFonts w:ascii="Arial" w:hAnsi="Arial" w:cs="Arial"/>
          <w:sz w:val="20"/>
        </w:rPr>
        <w:fldChar w:fldCharType="begin"/>
      </w:r>
      <w:r w:rsidR="00C01833" w:rsidRPr="00F97360">
        <w:rPr>
          <w:rFonts w:ascii="Arial" w:hAnsi="Arial" w:cs="Arial"/>
          <w:sz w:val="20"/>
        </w:rPr>
        <w:instrText xml:space="preserve"> REF a271198 \r \h  \* MERGEFORMAT </w:instrText>
      </w:r>
      <w:r w:rsidR="00C01833" w:rsidRPr="00F97360">
        <w:rPr>
          <w:rFonts w:ascii="Arial" w:hAnsi="Arial" w:cs="Arial"/>
          <w:sz w:val="20"/>
        </w:rPr>
      </w:r>
      <w:r w:rsidR="00C01833" w:rsidRPr="00F97360">
        <w:rPr>
          <w:rFonts w:ascii="Arial" w:hAnsi="Arial" w:cs="Arial"/>
          <w:sz w:val="20"/>
        </w:rPr>
        <w:fldChar w:fldCharType="separate"/>
      </w:r>
      <w:r w:rsidR="00710210" w:rsidRPr="00F97360">
        <w:rPr>
          <w:rFonts w:ascii="Arial" w:hAnsi="Arial" w:cs="Arial"/>
          <w:sz w:val="20"/>
        </w:rPr>
        <w:t>21.6(a)</w:t>
      </w:r>
      <w:r w:rsidR="00C01833" w:rsidRPr="00F97360">
        <w:rPr>
          <w:rFonts w:ascii="Arial" w:hAnsi="Arial" w:cs="Arial"/>
          <w:sz w:val="20"/>
        </w:rPr>
        <w:fldChar w:fldCharType="end"/>
      </w:r>
      <w:r w:rsidR="00C01833" w:rsidRPr="00F97360">
        <w:rPr>
          <w:rFonts w:ascii="Arial" w:hAnsi="Arial" w:cs="Arial"/>
          <w:sz w:val="20"/>
        </w:rPr>
        <w:t xml:space="preserve"> and </w:t>
      </w:r>
      <w:r w:rsidR="009C4C5C" w:rsidRPr="00F97360">
        <w:rPr>
          <w:rFonts w:ascii="Arial" w:hAnsi="Arial" w:cs="Arial"/>
          <w:sz w:val="20"/>
        </w:rPr>
        <w:fldChar w:fldCharType="begin"/>
      </w:r>
      <w:r w:rsidR="009C4C5C" w:rsidRPr="00F97360">
        <w:rPr>
          <w:rFonts w:ascii="Arial" w:hAnsi="Arial" w:cs="Arial"/>
          <w:sz w:val="20"/>
        </w:rPr>
        <w:instrText xml:space="preserve"> REF _Ref104571509 \w \h </w:instrText>
      </w:r>
      <w:r w:rsidR="004C1A6B" w:rsidRPr="00F97360">
        <w:rPr>
          <w:rFonts w:ascii="Arial" w:hAnsi="Arial" w:cs="Arial"/>
          <w:sz w:val="20"/>
        </w:rPr>
        <w:instrText xml:space="preserve"> \* MERGEFORMAT </w:instrText>
      </w:r>
      <w:r w:rsidR="009C4C5C" w:rsidRPr="00F97360">
        <w:rPr>
          <w:rFonts w:ascii="Arial" w:hAnsi="Arial" w:cs="Arial"/>
          <w:sz w:val="20"/>
        </w:rPr>
      </w:r>
      <w:r w:rsidR="009C4C5C" w:rsidRPr="00F97360">
        <w:rPr>
          <w:rFonts w:ascii="Arial" w:hAnsi="Arial" w:cs="Arial"/>
          <w:sz w:val="20"/>
        </w:rPr>
        <w:fldChar w:fldCharType="separate"/>
      </w:r>
      <w:r w:rsidR="00710210" w:rsidRPr="00F97360">
        <w:rPr>
          <w:rFonts w:ascii="Arial" w:hAnsi="Arial" w:cs="Arial"/>
          <w:sz w:val="20"/>
        </w:rPr>
        <w:t>21.7(a)</w:t>
      </w:r>
      <w:r w:rsidR="009C4C5C" w:rsidRPr="00F97360">
        <w:rPr>
          <w:rFonts w:ascii="Arial" w:hAnsi="Arial" w:cs="Arial"/>
          <w:sz w:val="20"/>
        </w:rPr>
        <w:fldChar w:fldCharType="end"/>
      </w:r>
      <w:r w:rsidR="009C4C5C" w:rsidRPr="00F97360">
        <w:rPr>
          <w:rFonts w:ascii="Arial" w:hAnsi="Arial" w:cs="Arial"/>
          <w:sz w:val="20"/>
        </w:rPr>
        <w:t xml:space="preserve"> </w:t>
      </w:r>
      <w:r w:rsidRPr="00F97360">
        <w:rPr>
          <w:rFonts w:ascii="Arial" w:hAnsi="Arial" w:cs="Arial"/>
          <w:sz w:val="20"/>
        </w:rPr>
        <w:t xml:space="preserve">shall be treated as having no effect, any Exercise Notice given pursuant to rule </w:t>
      </w:r>
      <w:r w:rsidRPr="00F97360">
        <w:rPr>
          <w:rFonts w:ascii="Arial" w:hAnsi="Arial" w:cs="Arial"/>
          <w:sz w:val="20"/>
        </w:rPr>
        <w:fldChar w:fldCharType="begin"/>
      </w:r>
      <w:r w:rsidRPr="00F97360">
        <w:rPr>
          <w:rFonts w:ascii="Arial" w:hAnsi="Arial" w:cs="Arial"/>
          <w:sz w:val="20"/>
        </w:rPr>
        <w:instrText xml:space="preserve"> REF a478188 \r \h </w:instrText>
      </w:r>
      <w:r w:rsidR="00AB16C9"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21.6(b)</w:t>
      </w:r>
      <w:r w:rsidRPr="00F97360">
        <w:rPr>
          <w:rFonts w:ascii="Arial" w:hAnsi="Arial" w:cs="Arial"/>
          <w:sz w:val="20"/>
        </w:rPr>
        <w:fldChar w:fldCharType="end"/>
      </w:r>
      <w:r w:rsidRPr="00F97360">
        <w:rPr>
          <w:rFonts w:ascii="Arial" w:hAnsi="Arial" w:cs="Arial"/>
          <w:sz w:val="20"/>
        </w:rPr>
        <w:t xml:space="preserve"> shall be deemed never to have been given, and </w:t>
      </w:r>
      <w:r w:rsidR="000359D2" w:rsidRPr="00F97360">
        <w:rPr>
          <w:rFonts w:ascii="Arial" w:hAnsi="Arial" w:cs="Arial"/>
          <w:sz w:val="20"/>
        </w:rPr>
        <w:t>all Awards</w:t>
      </w:r>
      <w:r w:rsidRPr="00F97360">
        <w:rPr>
          <w:rFonts w:ascii="Arial" w:hAnsi="Arial" w:cs="Arial"/>
          <w:sz w:val="20"/>
        </w:rPr>
        <w:t xml:space="preserve"> shall continue on their terms.</w:t>
      </w:r>
    </w:p>
    <w:p w14:paraId="56712EDF" w14:textId="77777777" w:rsidR="00C442A2" w:rsidRPr="00F97360" w:rsidRDefault="00D8597D" w:rsidP="00677459">
      <w:pPr>
        <w:pStyle w:val="Untitledsubclause1"/>
        <w:numPr>
          <w:ilvl w:val="0"/>
          <w:numId w:val="0"/>
        </w:numPr>
        <w:rPr>
          <w:rFonts w:ascii="Arial" w:hAnsi="Arial" w:cs="Arial"/>
          <w:b/>
          <w:bCs/>
          <w:i/>
          <w:iCs/>
          <w:sz w:val="20"/>
        </w:rPr>
      </w:pPr>
      <w:r w:rsidRPr="00F97360">
        <w:rPr>
          <w:rFonts w:ascii="Arial" w:hAnsi="Arial" w:cs="Arial"/>
          <w:b/>
          <w:i/>
          <w:sz w:val="20"/>
        </w:rPr>
        <w:t>Compulsory</w:t>
      </w:r>
      <w:r w:rsidRPr="00F97360">
        <w:rPr>
          <w:rFonts w:ascii="Arial" w:hAnsi="Arial" w:cs="Arial"/>
          <w:b/>
          <w:bCs/>
          <w:i/>
          <w:iCs/>
          <w:sz w:val="20"/>
        </w:rPr>
        <w:t xml:space="preserve"> acquisitions</w:t>
      </w:r>
    </w:p>
    <w:p w14:paraId="56712EE0" w14:textId="77777777" w:rsidR="007B4FB5" w:rsidRPr="00F97360" w:rsidRDefault="00D8597D" w:rsidP="007B4FB5">
      <w:pPr>
        <w:pStyle w:val="Untitledsubclause1"/>
        <w:rPr>
          <w:rFonts w:ascii="Arial" w:hAnsi="Arial" w:cs="Arial"/>
          <w:sz w:val="20"/>
        </w:rPr>
      </w:pPr>
      <w:bookmarkStart w:id="378" w:name="a285375"/>
      <w:r w:rsidRPr="00F97360">
        <w:rPr>
          <w:rFonts w:ascii="Arial" w:hAnsi="Arial" w:cs="Arial"/>
          <w:sz w:val="20"/>
        </w:rPr>
        <w:t>If any person becomes bound or entitled to acquire Shares under sections 979 to 982 or 983 to 985 of the Companies Act 2006:</w:t>
      </w:r>
      <w:bookmarkEnd w:id="378"/>
    </w:p>
    <w:p w14:paraId="56712EE1" w14:textId="53194CB7" w:rsidR="007B4FB5" w:rsidRPr="00F97360" w:rsidRDefault="00D8597D" w:rsidP="007B4FB5">
      <w:pPr>
        <w:pStyle w:val="Untitledsubclause2"/>
        <w:rPr>
          <w:rFonts w:ascii="Arial" w:hAnsi="Arial" w:cs="Arial"/>
          <w:sz w:val="20"/>
        </w:rPr>
      </w:pPr>
      <w:bookmarkStart w:id="379" w:name="a966938"/>
      <w:r w:rsidRPr="00F97360">
        <w:rPr>
          <w:rFonts w:ascii="Arial" w:hAnsi="Arial" w:cs="Arial"/>
          <w:sz w:val="20"/>
        </w:rPr>
        <w:t xml:space="preserve">all </w:t>
      </w:r>
      <w:r w:rsidR="00D67DB9" w:rsidRPr="00F97360">
        <w:rPr>
          <w:rFonts w:ascii="Arial" w:hAnsi="Arial" w:cs="Arial"/>
          <w:sz w:val="20"/>
        </w:rPr>
        <w:t>Award</w:t>
      </w:r>
      <w:r w:rsidR="00D62C51" w:rsidRPr="00F97360">
        <w:rPr>
          <w:rFonts w:ascii="Arial" w:hAnsi="Arial" w:cs="Arial"/>
          <w:sz w:val="20"/>
        </w:rPr>
        <w:t>s</w:t>
      </w:r>
      <w:r w:rsidRPr="00F97360">
        <w:rPr>
          <w:rFonts w:ascii="Arial" w:hAnsi="Arial" w:cs="Arial"/>
          <w:sz w:val="20"/>
        </w:rPr>
        <w:t xml:space="preserve"> shall </w:t>
      </w:r>
      <w:r w:rsidR="00D44FC6" w:rsidRPr="00F97360">
        <w:rPr>
          <w:rFonts w:ascii="Arial" w:hAnsi="Arial" w:cs="Arial"/>
          <w:sz w:val="20"/>
        </w:rPr>
        <w:t>Vest</w:t>
      </w:r>
      <w:r w:rsidRPr="00F97360">
        <w:rPr>
          <w:rFonts w:ascii="Arial" w:hAnsi="Arial" w:cs="Arial"/>
          <w:sz w:val="20"/>
        </w:rPr>
        <w:t xml:space="preserve"> in relation to the </w:t>
      </w:r>
      <w:r w:rsidR="00420BBF" w:rsidRPr="00F97360">
        <w:rPr>
          <w:rFonts w:ascii="Arial" w:hAnsi="Arial" w:cs="Arial"/>
          <w:sz w:val="20"/>
        </w:rPr>
        <w:t>Relevant Number</w:t>
      </w:r>
      <w:r w:rsidR="00E913EE" w:rsidRPr="00F97360">
        <w:rPr>
          <w:rFonts w:ascii="Arial" w:hAnsi="Arial" w:cs="Arial"/>
          <w:sz w:val="20"/>
        </w:rPr>
        <w:t xml:space="preserve"> of Shares (or notional Shares)</w:t>
      </w:r>
      <w:r w:rsidRPr="00F97360">
        <w:rPr>
          <w:rFonts w:ascii="Arial" w:hAnsi="Arial" w:cs="Arial"/>
          <w:sz w:val="20"/>
        </w:rPr>
        <w:t xml:space="preserve"> and lapse in relation to the balance; and</w:t>
      </w:r>
      <w:bookmarkEnd w:id="379"/>
    </w:p>
    <w:p w14:paraId="56712EE2" w14:textId="54C4D582" w:rsidR="007B4FB5" w:rsidRPr="00F97360" w:rsidRDefault="00D8597D" w:rsidP="00192C81">
      <w:pPr>
        <w:pStyle w:val="Untitledsubclause2"/>
        <w:rPr>
          <w:rFonts w:ascii="Arial" w:hAnsi="Arial" w:cs="Arial"/>
          <w:sz w:val="20"/>
        </w:rPr>
      </w:pPr>
      <w:bookmarkStart w:id="380" w:name="a63071"/>
      <w:r w:rsidRPr="00F97360">
        <w:rPr>
          <w:rFonts w:ascii="Arial" w:hAnsi="Arial" w:cs="Arial"/>
          <w:sz w:val="20"/>
        </w:rPr>
        <w:t>an Award Holder may exercise all or any part of any Option (</w:t>
      </w:r>
      <w:r w:rsidR="00E83E10" w:rsidRPr="00F97360">
        <w:rPr>
          <w:rFonts w:ascii="Arial" w:hAnsi="Arial" w:cs="Arial"/>
          <w:sz w:val="20"/>
        </w:rPr>
        <w:t xml:space="preserve">where rule </w:t>
      </w:r>
      <w:r w:rsidR="00E83E10" w:rsidRPr="00F97360">
        <w:rPr>
          <w:rFonts w:ascii="Arial" w:hAnsi="Arial" w:cs="Arial"/>
          <w:sz w:val="20"/>
        </w:rPr>
        <w:fldChar w:fldCharType="begin"/>
      </w:r>
      <w:r w:rsidR="00E83E10" w:rsidRPr="00F97360">
        <w:rPr>
          <w:rFonts w:ascii="Arial" w:hAnsi="Arial" w:cs="Arial"/>
          <w:sz w:val="20"/>
        </w:rPr>
        <w:instrText xml:space="preserve"> REF a324210 \r \h </w:instrText>
      </w:r>
      <w:r w:rsidR="00623047" w:rsidRPr="00F97360">
        <w:rPr>
          <w:rFonts w:ascii="Arial" w:hAnsi="Arial" w:cs="Arial"/>
          <w:sz w:val="20"/>
        </w:rPr>
        <w:instrText xml:space="preserve"> \* MERGEFORMAT </w:instrText>
      </w:r>
      <w:r w:rsidR="00E83E10" w:rsidRPr="00F97360">
        <w:rPr>
          <w:rFonts w:ascii="Arial" w:hAnsi="Arial" w:cs="Arial"/>
          <w:sz w:val="20"/>
        </w:rPr>
      </w:r>
      <w:r w:rsidR="00E83E10" w:rsidRPr="00F97360">
        <w:rPr>
          <w:rFonts w:ascii="Arial" w:hAnsi="Arial" w:cs="Arial"/>
          <w:sz w:val="20"/>
        </w:rPr>
        <w:fldChar w:fldCharType="separate"/>
      </w:r>
      <w:r w:rsidR="00710210" w:rsidRPr="00F97360">
        <w:rPr>
          <w:rFonts w:ascii="Arial" w:hAnsi="Arial" w:cs="Arial"/>
          <w:sz w:val="20"/>
        </w:rPr>
        <w:t>21.1</w:t>
      </w:r>
      <w:r w:rsidR="00E83E10" w:rsidRPr="00F97360">
        <w:rPr>
          <w:rFonts w:ascii="Arial" w:hAnsi="Arial" w:cs="Arial"/>
          <w:sz w:val="20"/>
        </w:rPr>
        <w:fldChar w:fldCharType="end"/>
      </w:r>
      <w:r w:rsidR="00E83E10" w:rsidRPr="00F97360">
        <w:rPr>
          <w:rFonts w:ascii="Arial" w:hAnsi="Arial" w:cs="Arial"/>
          <w:sz w:val="20"/>
        </w:rPr>
        <w:t xml:space="preserve"> applies,</w:t>
      </w:r>
      <w:r w:rsidRPr="00F97360">
        <w:rPr>
          <w:rFonts w:ascii="Arial" w:hAnsi="Arial" w:cs="Arial"/>
          <w:sz w:val="20"/>
        </w:rPr>
        <w:t xml:space="preserve"> in respect of </w:t>
      </w:r>
      <w:r w:rsidR="00E83E10" w:rsidRPr="00F97360">
        <w:rPr>
          <w:rFonts w:ascii="Arial" w:hAnsi="Arial" w:cs="Arial"/>
          <w:sz w:val="20"/>
        </w:rPr>
        <w:t xml:space="preserve">not </w:t>
      </w:r>
      <w:r w:rsidRPr="00F97360">
        <w:rPr>
          <w:rFonts w:ascii="Arial" w:hAnsi="Arial" w:cs="Arial"/>
          <w:sz w:val="20"/>
        </w:rPr>
        <w:t xml:space="preserve">more than the </w:t>
      </w:r>
      <w:r w:rsidR="00420BBF" w:rsidRPr="00F97360">
        <w:rPr>
          <w:rFonts w:ascii="Arial" w:hAnsi="Arial" w:cs="Arial"/>
          <w:sz w:val="20"/>
        </w:rPr>
        <w:t>Relevant Number</w:t>
      </w:r>
      <w:r w:rsidR="007B4FB5" w:rsidRPr="00F97360">
        <w:rPr>
          <w:rFonts w:ascii="Arial" w:hAnsi="Arial" w:cs="Arial"/>
          <w:sz w:val="20"/>
        </w:rPr>
        <w:t xml:space="preserve"> of Shares</w:t>
      </w:r>
      <w:r w:rsidR="00112255" w:rsidRPr="00F97360">
        <w:rPr>
          <w:rFonts w:ascii="Arial" w:hAnsi="Arial" w:cs="Arial"/>
          <w:sz w:val="20"/>
        </w:rPr>
        <w:t xml:space="preserve"> </w:t>
      </w:r>
      <w:r w:rsidR="00E913EE" w:rsidRPr="00F97360">
        <w:rPr>
          <w:rFonts w:ascii="Arial" w:hAnsi="Arial" w:cs="Arial"/>
          <w:sz w:val="20"/>
        </w:rPr>
        <w:t>or notional Shares)</w:t>
      </w:r>
      <w:r w:rsidRPr="00F97360">
        <w:rPr>
          <w:rFonts w:ascii="Arial" w:hAnsi="Arial" w:cs="Arial"/>
          <w:sz w:val="20"/>
        </w:rPr>
        <w:t xml:space="preserve"> at any time when the person remains so bound or entitled</w:t>
      </w:r>
      <w:bookmarkEnd w:id="380"/>
      <w:r w:rsidR="00192C81" w:rsidRPr="00F97360">
        <w:rPr>
          <w:rFonts w:ascii="Arial" w:hAnsi="Arial" w:cs="Arial"/>
          <w:sz w:val="20"/>
        </w:rPr>
        <w:t xml:space="preserve"> and </w:t>
      </w:r>
      <w:r w:rsidR="00FE7661" w:rsidRPr="00F97360">
        <w:rPr>
          <w:rFonts w:ascii="Arial" w:hAnsi="Arial" w:cs="Arial"/>
          <w:sz w:val="20"/>
        </w:rPr>
        <w:t xml:space="preserve">the Option </w:t>
      </w:r>
      <w:r w:rsidR="00192C81" w:rsidRPr="00F97360">
        <w:rPr>
          <w:rFonts w:ascii="Arial" w:hAnsi="Arial" w:cs="Arial"/>
          <w:sz w:val="20"/>
        </w:rPr>
        <w:t xml:space="preserve">shall lapse to the extent unexercised </w:t>
      </w:r>
      <w:r w:rsidRPr="00F97360">
        <w:rPr>
          <w:rFonts w:ascii="Arial" w:hAnsi="Arial" w:cs="Arial"/>
          <w:sz w:val="20"/>
        </w:rPr>
        <w:t xml:space="preserve">at the end of the period during which that person </w:t>
      </w:r>
      <w:r w:rsidR="00192C81" w:rsidRPr="00F97360">
        <w:rPr>
          <w:rFonts w:ascii="Arial" w:hAnsi="Arial" w:cs="Arial"/>
          <w:sz w:val="20"/>
        </w:rPr>
        <w:t xml:space="preserve">first becomes </w:t>
      </w:r>
      <w:r w:rsidRPr="00F97360">
        <w:rPr>
          <w:rFonts w:ascii="Arial" w:hAnsi="Arial" w:cs="Arial"/>
          <w:sz w:val="20"/>
        </w:rPr>
        <w:t xml:space="preserve">bound or entitled (unless it is exchanged under </w:t>
      </w:r>
      <w:r w:rsidR="00E96E6F" w:rsidRPr="00F97360">
        <w:rPr>
          <w:rFonts w:ascii="Arial" w:hAnsi="Arial" w:cs="Arial"/>
          <w:sz w:val="20"/>
        </w:rPr>
        <w:t xml:space="preserve">rule </w:t>
      </w:r>
      <w:r w:rsidR="0022206A" w:rsidRPr="00F97360">
        <w:rPr>
          <w:rFonts w:ascii="Arial" w:hAnsi="Arial" w:cs="Arial"/>
          <w:sz w:val="20"/>
        </w:rPr>
        <w:fldChar w:fldCharType="begin"/>
      </w:r>
      <w:r w:rsidR="0022206A" w:rsidRPr="00F97360">
        <w:rPr>
          <w:rFonts w:ascii="Arial" w:hAnsi="Arial" w:cs="Arial"/>
          <w:sz w:val="20"/>
        </w:rPr>
        <w:instrText xml:space="preserve"> REF _Ref105601363 \r \h </w:instrText>
      </w:r>
      <w:r w:rsidR="004C1A6B" w:rsidRPr="00F97360">
        <w:rPr>
          <w:rFonts w:ascii="Arial" w:hAnsi="Arial" w:cs="Arial"/>
          <w:sz w:val="20"/>
        </w:rPr>
        <w:instrText xml:space="preserve"> \* MERGEFORMAT </w:instrText>
      </w:r>
      <w:r w:rsidR="0022206A" w:rsidRPr="00F97360">
        <w:rPr>
          <w:rFonts w:ascii="Arial" w:hAnsi="Arial" w:cs="Arial"/>
          <w:sz w:val="20"/>
        </w:rPr>
      </w:r>
      <w:r w:rsidR="0022206A" w:rsidRPr="00F97360">
        <w:rPr>
          <w:rFonts w:ascii="Arial" w:hAnsi="Arial" w:cs="Arial"/>
          <w:sz w:val="20"/>
        </w:rPr>
        <w:fldChar w:fldCharType="separate"/>
      </w:r>
      <w:r w:rsidR="00710210" w:rsidRPr="00F97360">
        <w:rPr>
          <w:rFonts w:ascii="Arial" w:hAnsi="Arial" w:cs="Arial"/>
          <w:sz w:val="20"/>
        </w:rPr>
        <w:t>21.4</w:t>
      </w:r>
      <w:r w:rsidR="0022206A" w:rsidRPr="00F97360">
        <w:rPr>
          <w:rFonts w:ascii="Arial" w:hAnsi="Arial" w:cs="Arial"/>
          <w:sz w:val="20"/>
        </w:rPr>
        <w:fldChar w:fldCharType="end"/>
      </w:r>
      <w:r w:rsidRPr="00F97360">
        <w:rPr>
          <w:rFonts w:ascii="Arial" w:hAnsi="Arial" w:cs="Arial"/>
          <w:sz w:val="20"/>
        </w:rPr>
        <w:t>).</w:t>
      </w:r>
    </w:p>
    <w:p w14:paraId="56712EE3" w14:textId="40E5695E" w:rsidR="00C442A2" w:rsidRPr="00F97360" w:rsidRDefault="00D8597D" w:rsidP="00C442A2">
      <w:pPr>
        <w:pStyle w:val="Untitledsubclause1"/>
        <w:numPr>
          <w:ilvl w:val="0"/>
          <w:numId w:val="0"/>
        </w:numPr>
        <w:ind w:left="720" w:hanging="720"/>
        <w:rPr>
          <w:rFonts w:ascii="Arial" w:hAnsi="Arial" w:cs="Arial"/>
          <w:b/>
          <w:bCs/>
          <w:i/>
          <w:iCs/>
          <w:sz w:val="20"/>
        </w:rPr>
      </w:pPr>
      <w:bookmarkStart w:id="381" w:name="a103251"/>
      <w:r w:rsidRPr="00F97360">
        <w:rPr>
          <w:rFonts w:ascii="Arial" w:hAnsi="Arial" w:cs="Arial"/>
          <w:b/>
          <w:bCs/>
          <w:i/>
          <w:iCs/>
          <w:sz w:val="20"/>
        </w:rPr>
        <w:t>Internal reorganisations</w:t>
      </w:r>
      <w:r w:rsidR="001101A1" w:rsidRPr="00F97360">
        <w:rPr>
          <w:rFonts w:ascii="Arial" w:hAnsi="Arial" w:cs="Arial"/>
          <w:b/>
          <w:bCs/>
          <w:i/>
          <w:iCs/>
          <w:sz w:val="20"/>
        </w:rPr>
        <w:t xml:space="preserve"> and compulsory rollover</w:t>
      </w:r>
    </w:p>
    <w:p w14:paraId="56712EE5" w14:textId="247BF596" w:rsidR="006253D4" w:rsidRPr="00F97360" w:rsidRDefault="00D8597D" w:rsidP="00B34CA8">
      <w:pPr>
        <w:pStyle w:val="Untitledsubclause1"/>
        <w:rPr>
          <w:rFonts w:ascii="Arial" w:hAnsi="Arial" w:cs="Arial"/>
          <w:sz w:val="20"/>
        </w:rPr>
      </w:pPr>
      <w:bookmarkStart w:id="382" w:name="_Ref81584425"/>
      <w:bookmarkStart w:id="383" w:name="_Ref105592924"/>
      <w:bookmarkStart w:id="384" w:name="_Ref161051200"/>
      <w:r w:rsidRPr="00F97360">
        <w:rPr>
          <w:rFonts w:ascii="Arial" w:hAnsi="Arial" w:cs="Arial"/>
          <w:sz w:val="20"/>
        </w:rPr>
        <w:t xml:space="preserve">If the </w:t>
      </w:r>
      <w:r w:rsidR="00173086" w:rsidRPr="00F97360">
        <w:rPr>
          <w:rFonts w:ascii="Arial" w:hAnsi="Arial" w:cs="Arial"/>
          <w:sz w:val="20"/>
        </w:rPr>
        <w:t xml:space="preserve">Acquiror </w:t>
      </w:r>
      <w:r w:rsidRPr="00F97360">
        <w:rPr>
          <w:rFonts w:ascii="Arial" w:hAnsi="Arial" w:cs="Arial"/>
          <w:sz w:val="20"/>
        </w:rPr>
        <w:t xml:space="preserve">is a company and its shareholders and the proportion of its shares held by each of them following completion of the </w:t>
      </w:r>
      <w:bookmarkStart w:id="385" w:name="_Hlk161051132"/>
      <w:r w:rsidR="00DB22EE" w:rsidRPr="00F97360">
        <w:rPr>
          <w:rFonts w:ascii="Arial" w:hAnsi="Arial" w:cs="Arial"/>
          <w:sz w:val="20"/>
        </w:rPr>
        <w:t>Change of Control</w:t>
      </w:r>
      <w:r w:rsidRPr="00F97360">
        <w:rPr>
          <w:rFonts w:ascii="Arial" w:hAnsi="Arial" w:cs="Arial"/>
          <w:sz w:val="20"/>
        </w:rPr>
        <w:t xml:space="preserve"> </w:t>
      </w:r>
      <w:bookmarkEnd w:id="385"/>
      <w:r w:rsidRPr="00F97360">
        <w:rPr>
          <w:rFonts w:ascii="Arial" w:hAnsi="Arial" w:cs="Arial"/>
          <w:sz w:val="20"/>
        </w:rPr>
        <w:t xml:space="preserve">are substantially the same as the shareholders and their shareholdings in the Company immediately before the </w:t>
      </w:r>
      <w:r w:rsidR="00DB22EE" w:rsidRPr="00F97360">
        <w:rPr>
          <w:rFonts w:ascii="Arial" w:hAnsi="Arial" w:cs="Arial"/>
          <w:sz w:val="20"/>
        </w:rPr>
        <w:t>Change of Control</w:t>
      </w:r>
      <w:bookmarkEnd w:id="381"/>
      <w:bookmarkEnd w:id="382"/>
      <w:r w:rsidR="00DB22EE" w:rsidRPr="00F97360">
        <w:rPr>
          <w:rFonts w:ascii="Arial" w:hAnsi="Arial" w:cs="Arial"/>
          <w:sz w:val="20"/>
        </w:rPr>
        <w:t xml:space="preserve">, </w:t>
      </w:r>
      <w:r w:rsidR="00522E9F" w:rsidRPr="00F97360">
        <w:rPr>
          <w:rFonts w:ascii="Arial" w:hAnsi="Arial" w:cs="Arial"/>
          <w:sz w:val="20"/>
        </w:rPr>
        <w:t>a</w:t>
      </w:r>
      <w:r w:rsidR="00646879" w:rsidRPr="00F97360">
        <w:rPr>
          <w:rFonts w:ascii="Arial" w:hAnsi="Arial" w:cs="Arial"/>
          <w:sz w:val="20"/>
        </w:rPr>
        <w:t xml:space="preserve">ny outstanding </w:t>
      </w:r>
      <w:r w:rsidR="00D67DB9" w:rsidRPr="00F97360">
        <w:rPr>
          <w:rFonts w:ascii="Arial" w:hAnsi="Arial" w:cs="Arial"/>
          <w:sz w:val="20"/>
        </w:rPr>
        <w:t>Award</w:t>
      </w:r>
      <w:r w:rsidR="00D62C51" w:rsidRPr="00F97360">
        <w:rPr>
          <w:rFonts w:ascii="Arial" w:hAnsi="Arial" w:cs="Arial"/>
          <w:sz w:val="20"/>
        </w:rPr>
        <w:t>s</w:t>
      </w:r>
      <w:r w:rsidR="00F06CB3" w:rsidRPr="00F97360">
        <w:rPr>
          <w:rFonts w:ascii="Arial" w:hAnsi="Arial" w:cs="Arial"/>
          <w:sz w:val="20"/>
        </w:rPr>
        <w:t xml:space="preserve"> will be automatically exchanged for</w:t>
      </w:r>
      <w:r w:rsidR="00DC50E3" w:rsidRPr="00F97360">
        <w:rPr>
          <w:rFonts w:ascii="Arial" w:hAnsi="Arial" w:cs="Arial"/>
          <w:sz w:val="20"/>
        </w:rPr>
        <w:t xml:space="preserve"> awards </w:t>
      </w:r>
      <w:r w:rsidR="00646879" w:rsidRPr="00F97360">
        <w:rPr>
          <w:rFonts w:ascii="Arial" w:hAnsi="Arial" w:cs="Arial"/>
          <w:sz w:val="20"/>
        </w:rPr>
        <w:t>on the same terms (</w:t>
      </w:r>
      <w:r w:rsidR="00A82FDC" w:rsidRPr="00F97360">
        <w:rPr>
          <w:rFonts w:ascii="Arial" w:hAnsi="Arial" w:cs="Arial"/>
          <w:sz w:val="20"/>
        </w:rPr>
        <w:t>mutatis mutandis</w:t>
      </w:r>
      <w:r w:rsidR="00646879" w:rsidRPr="00F97360">
        <w:rPr>
          <w:rFonts w:ascii="Arial" w:hAnsi="Arial" w:cs="Arial"/>
          <w:sz w:val="20"/>
        </w:rPr>
        <w:t xml:space="preserve">) </w:t>
      </w:r>
      <w:r w:rsidR="00DC50E3" w:rsidRPr="00F97360">
        <w:rPr>
          <w:rFonts w:ascii="Arial" w:hAnsi="Arial" w:cs="Arial"/>
          <w:sz w:val="20"/>
        </w:rPr>
        <w:t xml:space="preserve">over shares in </w:t>
      </w:r>
      <w:r w:rsidR="008342A9" w:rsidRPr="00F97360">
        <w:rPr>
          <w:rFonts w:ascii="Arial" w:hAnsi="Arial" w:cs="Arial"/>
          <w:sz w:val="20"/>
        </w:rPr>
        <w:t>the Acquiror</w:t>
      </w:r>
      <w:r w:rsidR="00522E9F" w:rsidRPr="00F97360">
        <w:rPr>
          <w:rFonts w:ascii="Arial" w:hAnsi="Arial" w:cs="Arial"/>
          <w:sz w:val="20"/>
        </w:rPr>
        <w:t xml:space="preserve">, unless the Remuneration Committee decides </w:t>
      </w:r>
      <w:r w:rsidR="00475A37" w:rsidRPr="00F97360">
        <w:rPr>
          <w:rFonts w:ascii="Arial" w:hAnsi="Arial" w:cs="Arial"/>
          <w:sz w:val="20"/>
        </w:rPr>
        <w:t xml:space="preserve">that this rule </w:t>
      </w:r>
      <w:r w:rsidR="00475A37" w:rsidRPr="00F97360">
        <w:rPr>
          <w:rFonts w:ascii="Arial" w:hAnsi="Arial" w:cs="Arial"/>
          <w:sz w:val="20"/>
        </w:rPr>
        <w:fldChar w:fldCharType="begin"/>
      </w:r>
      <w:r w:rsidR="00475A37" w:rsidRPr="00F97360">
        <w:rPr>
          <w:rFonts w:ascii="Arial" w:hAnsi="Arial" w:cs="Arial"/>
          <w:sz w:val="20"/>
        </w:rPr>
        <w:instrText xml:space="preserve"> REF _Ref105592924 \r \h </w:instrText>
      </w:r>
      <w:r w:rsidR="004C1A6B" w:rsidRPr="00F97360">
        <w:rPr>
          <w:rFonts w:ascii="Arial" w:hAnsi="Arial" w:cs="Arial"/>
          <w:sz w:val="20"/>
        </w:rPr>
        <w:instrText xml:space="preserve"> \* MERGEFORMAT </w:instrText>
      </w:r>
      <w:r w:rsidR="00475A37" w:rsidRPr="00F97360">
        <w:rPr>
          <w:rFonts w:ascii="Arial" w:hAnsi="Arial" w:cs="Arial"/>
          <w:sz w:val="20"/>
        </w:rPr>
      </w:r>
      <w:r w:rsidR="00475A37" w:rsidRPr="00F97360">
        <w:rPr>
          <w:rFonts w:ascii="Arial" w:hAnsi="Arial" w:cs="Arial"/>
          <w:sz w:val="20"/>
        </w:rPr>
        <w:fldChar w:fldCharType="separate"/>
      </w:r>
      <w:r w:rsidR="00710210" w:rsidRPr="00F97360">
        <w:rPr>
          <w:rFonts w:ascii="Arial" w:hAnsi="Arial" w:cs="Arial"/>
          <w:sz w:val="20"/>
        </w:rPr>
        <w:t>21.9</w:t>
      </w:r>
      <w:r w:rsidR="00475A37" w:rsidRPr="00F97360">
        <w:rPr>
          <w:rFonts w:ascii="Arial" w:hAnsi="Arial" w:cs="Arial"/>
          <w:sz w:val="20"/>
        </w:rPr>
        <w:fldChar w:fldCharType="end"/>
      </w:r>
      <w:r w:rsidR="00475A37" w:rsidRPr="00F97360">
        <w:rPr>
          <w:rFonts w:ascii="Arial" w:hAnsi="Arial" w:cs="Arial"/>
          <w:sz w:val="20"/>
        </w:rPr>
        <w:t xml:space="preserve"> shall not apply</w:t>
      </w:r>
      <w:r w:rsidR="00522E9F" w:rsidRPr="00F97360">
        <w:rPr>
          <w:rFonts w:ascii="Arial" w:hAnsi="Arial" w:cs="Arial"/>
          <w:sz w:val="20"/>
        </w:rPr>
        <w:t>.</w:t>
      </w:r>
      <w:bookmarkEnd w:id="383"/>
      <w:r w:rsidR="00AC0A9A" w:rsidRPr="00F97360">
        <w:rPr>
          <w:rFonts w:ascii="Arial" w:hAnsi="Arial" w:cs="Arial"/>
          <w:sz w:val="20"/>
        </w:rPr>
        <w:t xml:space="preserve"> Where Awards are so exchanged, the Plan shall be interpreted in relation to any replacement </w:t>
      </w:r>
      <w:r w:rsidR="009B18EF" w:rsidRPr="00F97360">
        <w:rPr>
          <w:rFonts w:ascii="Arial" w:hAnsi="Arial" w:cs="Arial"/>
          <w:sz w:val="20"/>
        </w:rPr>
        <w:t>a</w:t>
      </w:r>
      <w:r w:rsidR="00AC0A9A" w:rsidRPr="00F97360">
        <w:rPr>
          <w:rFonts w:ascii="Arial" w:hAnsi="Arial" w:cs="Arial"/>
          <w:sz w:val="20"/>
        </w:rPr>
        <w:t>wards as if references to the Company were references to the Acquiror.</w:t>
      </w:r>
      <w:bookmarkEnd w:id="384"/>
    </w:p>
    <w:p w14:paraId="0F3DB198" w14:textId="273A0AF8" w:rsidR="00DB21F2" w:rsidRPr="00F97360" w:rsidRDefault="00003A0B" w:rsidP="00003A0B">
      <w:pPr>
        <w:pStyle w:val="Untitledsubclause1"/>
        <w:rPr>
          <w:rFonts w:ascii="Arial" w:hAnsi="Arial" w:cs="Arial"/>
          <w:sz w:val="20"/>
        </w:rPr>
      </w:pPr>
      <w:bookmarkStart w:id="386" w:name="_Ref161048899"/>
      <w:r w:rsidRPr="00F97360">
        <w:rPr>
          <w:rFonts w:ascii="Arial" w:hAnsi="Arial" w:cs="Arial"/>
          <w:sz w:val="20"/>
        </w:rPr>
        <w:t xml:space="preserve">If </w:t>
      </w:r>
      <w:r w:rsidR="00DB21F2" w:rsidRPr="00F97360">
        <w:rPr>
          <w:rFonts w:ascii="Arial" w:hAnsi="Arial" w:cs="Arial"/>
          <w:sz w:val="20"/>
        </w:rPr>
        <w:t xml:space="preserve">the </w:t>
      </w:r>
      <w:r w:rsidRPr="00F97360">
        <w:rPr>
          <w:rFonts w:ascii="Arial" w:hAnsi="Arial" w:cs="Arial"/>
          <w:sz w:val="20"/>
        </w:rPr>
        <w:t xml:space="preserve">Remuneration Committee </w:t>
      </w:r>
      <w:r w:rsidR="00DB21F2" w:rsidRPr="00F97360">
        <w:rPr>
          <w:rFonts w:ascii="Arial" w:hAnsi="Arial" w:cs="Arial"/>
          <w:sz w:val="20"/>
        </w:rPr>
        <w:t xml:space="preserve">decides (before the </w:t>
      </w:r>
      <w:r w:rsidR="00C0656A" w:rsidRPr="00F97360">
        <w:rPr>
          <w:rFonts w:ascii="Arial" w:hAnsi="Arial" w:cs="Arial"/>
          <w:sz w:val="20"/>
        </w:rPr>
        <w:t xml:space="preserve">Change of Control, and whether that Change of Control </w:t>
      </w:r>
      <w:r w:rsidR="004653D1" w:rsidRPr="00F97360">
        <w:rPr>
          <w:rFonts w:ascii="Arial" w:hAnsi="Arial" w:cs="Arial"/>
          <w:sz w:val="20"/>
        </w:rPr>
        <w:t xml:space="preserve">falls within rule </w:t>
      </w:r>
      <w:r w:rsidR="004653D1" w:rsidRPr="00F97360">
        <w:rPr>
          <w:rFonts w:ascii="Arial" w:hAnsi="Arial" w:cs="Arial"/>
          <w:sz w:val="20"/>
        </w:rPr>
        <w:fldChar w:fldCharType="begin"/>
      </w:r>
      <w:r w:rsidR="004653D1" w:rsidRPr="00F97360">
        <w:rPr>
          <w:rFonts w:ascii="Arial" w:hAnsi="Arial" w:cs="Arial"/>
          <w:sz w:val="20"/>
        </w:rPr>
        <w:instrText xml:space="preserve"> REF _Ref161051200 \r \h </w:instrText>
      </w:r>
      <w:r w:rsidR="002120FF" w:rsidRPr="00F97360">
        <w:rPr>
          <w:rFonts w:ascii="Arial" w:hAnsi="Arial" w:cs="Arial"/>
          <w:sz w:val="20"/>
        </w:rPr>
        <w:instrText xml:space="preserve"> \* MERGEFORMAT </w:instrText>
      </w:r>
      <w:r w:rsidR="004653D1" w:rsidRPr="00F97360">
        <w:rPr>
          <w:rFonts w:ascii="Arial" w:hAnsi="Arial" w:cs="Arial"/>
          <w:sz w:val="20"/>
        </w:rPr>
      </w:r>
      <w:r w:rsidR="004653D1" w:rsidRPr="00F97360">
        <w:rPr>
          <w:rFonts w:ascii="Arial" w:hAnsi="Arial" w:cs="Arial"/>
          <w:sz w:val="20"/>
        </w:rPr>
        <w:fldChar w:fldCharType="separate"/>
      </w:r>
      <w:r w:rsidR="00710210" w:rsidRPr="00F97360">
        <w:rPr>
          <w:rFonts w:ascii="Arial" w:hAnsi="Arial" w:cs="Arial"/>
          <w:sz w:val="20"/>
        </w:rPr>
        <w:t>21.9</w:t>
      </w:r>
      <w:r w:rsidR="004653D1" w:rsidRPr="00F97360">
        <w:rPr>
          <w:rFonts w:ascii="Arial" w:hAnsi="Arial" w:cs="Arial"/>
          <w:sz w:val="20"/>
        </w:rPr>
        <w:fldChar w:fldCharType="end"/>
      </w:r>
      <w:r w:rsidR="004653D1" w:rsidRPr="00F97360">
        <w:rPr>
          <w:rFonts w:ascii="Arial" w:hAnsi="Arial" w:cs="Arial"/>
          <w:sz w:val="20"/>
        </w:rPr>
        <w:t xml:space="preserve"> or not</w:t>
      </w:r>
      <w:r w:rsidR="00DB21F2" w:rsidRPr="00F97360">
        <w:rPr>
          <w:rFonts w:ascii="Arial" w:hAnsi="Arial" w:cs="Arial"/>
          <w:sz w:val="20"/>
        </w:rPr>
        <w:t>) that an Award will be exchanged automatically</w:t>
      </w:r>
      <w:r w:rsidRPr="00F97360">
        <w:rPr>
          <w:rFonts w:ascii="Arial" w:hAnsi="Arial" w:cs="Arial"/>
          <w:sz w:val="20"/>
        </w:rPr>
        <w:t xml:space="preserve">, the </w:t>
      </w:r>
      <w:r w:rsidR="00DB21F2" w:rsidRPr="00F97360">
        <w:rPr>
          <w:rFonts w:ascii="Arial" w:hAnsi="Arial" w:cs="Arial"/>
          <w:sz w:val="20"/>
        </w:rPr>
        <w:t xml:space="preserve">Award will not Vest but will be </w:t>
      </w:r>
      <w:r w:rsidR="00044784" w:rsidRPr="00F97360">
        <w:rPr>
          <w:rFonts w:ascii="Arial" w:hAnsi="Arial" w:cs="Arial"/>
          <w:sz w:val="20"/>
        </w:rPr>
        <w:t xml:space="preserve">automatically </w:t>
      </w:r>
      <w:r w:rsidR="00DB21F2" w:rsidRPr="00F97360">
        <w:rPr>
          <w:rFonts w:ascii="Arial" w:hAnsi="Arial" w:cs="Arial"/>
          <w:sz w:val="20"/>
        </w:rPr>
        <w:t xml:space="preserve">exchanged in consideration of the grant of a new award which, in the opinion of the </w:t>
      </w:r>
      <w:r w:rsidRPr="00F97360">
        <w:rPr>
          <w:rFonts w:ascii="Arial" w:hAnsi="Arial" w:cs="Arial"/>
          <w:sz w:val="20"/>
        </w:rPr>
        <w:t>Remuneration Committee</w:t>
      </w:r>
      <w:r w:rsidR="00DB21F2" w:rsidRPr="00F97360">
        <w:rPr>
          <w:rFonts w:ascii="Arial" w:hAnsi="Arial" w:cs="Arial"/>
          <w:sz w:val="20"/>
        </w:rPr>
        <w:t xml:space="preserve">, is equivalent to the Award, but relates to shares in a different company (whether the </w:t>
      </w:r>
      <w:r w:rsidR="002120FF" w:rsidRPr="00F97360">
        <w:rPr>
          <w:rFonts w:ascii="Arial" w:hAnsi="Arial" w:cs="Arial"/>
          <w:sz w:val="20"/>
        </w:rPr>
        <w:t xml:space="preserve">Acquiror </w:t>
      </w:r>
      <w:r w:rsidR="00DB21F2" w:rsidRPr="00F97360">
        <w:rPr>
          <w:rFonts w:ascii="Arial" w:hAnsi="Arial" w:cs="Arial"/>
          <w:sz w:val="20"/>
        </w:rPr>
        <w:t>or a different company).</w:t>
      </w:r>
      <w:bookmarkEnd w:id="386"/>
      <w:r w:rsidR="00DB21F2" w:rsidRPr="00F97360">
        <w:rPr>
          <w:rFonts w:ascii="Arial" w:hAnsi="Arial" w:cs="Arial"/>
          <w:sz w:val="20"/>
        </w:rPr>
        <w:t xml:space="preserve"> </w:t>
      </w:r>
    </w:p>
    <w:p w14:paraId="56712EEA" w14:textId="25E70AA0" w:rsidR="00C442A2" w:rsidRPr="00F97360" w:rsidRDefault="00D8597D" w:rsidP="00C442A2">
      <w:pPr>
        <w:pStyle w:val="Untitledsubclause1"/>
        <w:numPr>
          <w:ilvl w:val="0"/>
          <w:numId w:val="0"/>
        </w:numPr>
        <w:rPr>
          <w:rFonts w:ascii="Arial" w:hAnsi="Arial" w:cs="Arial"/>
          <w:b/>
          <w:bCs/>
          <w:i/>
          <w:iCs/>
          <w:sz w:val="20"/>
        </w:rPr>
      </w:pPr>
      <w:r w:rsidRPr="00F97360">
        <w:rPr>
          <w:rFonts w:ascii="Arial" w:hAnsi="Arial" w:cs="Arial"/>
          <w:b/>
          <w:bCs/>
          <w:i/>
          <w:iCs/>
          <w:sz w:val="20"/>
        </w:rPr>
        <w:t xml:space="preserve">Solvent Winding </w:t>
      </w:r>
      <w:proofErr w:type="gramStart"/>
      <w:r w:rsidRPr="00F97360">
        <w:rPr>
          <w:rFonts w:ascii="Arial" w:hAnsi="Arial" w:cs="Arial"/>
          <w:b/>
          <w:bCs/>
          <w:i/>
          <w:iCs/>
          <w:sz w:val="20"/>
        </w:rPr>
        <w:t>up</w:t>
      </w:r>
      <w:proofErr w:type="gramEnd"/>
    </w:p>
    <w:p w14:paraId="56712EEB" w14:textId="77777777" w:rsidR="007B4FB5" w:rsidRPr="00F97360" w:rsidRDefault="00D8597D" w:rsidP="007B4FB5">
      <w:pPr>
        <w:pStyle w:val="Untitledsubclause1"/>
        <w:rPr>
          <w:rFonts w:ascii="Arial" w:hAnsi="Arial" w:cs="Arial"/>
          <w:sz w:val="20"/>
        </w:rPr>
      </w:pPr>
      <w:bookmarkStart w:id="387" w:name="a396871"/>
      <w:r w:rsidRPr="00F97360">
        <w:rPr>
          <w:rFonts w:ascii="Arial" w:hAnsi="Arial" w:cs="Arial"/>
          <w:sz w:val="20"/>
        </w:rPr>
        <w:t xml:space="preserve">If the shareholders of the Company receive notice of a resolution for the voluntary </w:t>
      </w:r>
      <w:r w:rsidR="005F5ED1" w:rsidRPr="00F97360">
        <w:rPr>
          <w:rFonts w:ascii="Arial" w:hAnsi="Arial" w:cs="Arial"/>
          <w:sz w:val="20"/>
        </w:rPr>
        <w:t xml:space="preserve">and solvent </w:t>
      </w:r>
      <w:r w:rsidRPr="00F97360">
        <w:rPr>
          <w:rFonts w:ascii="Arial" w:hAnsi="Arial" w:cs="Arial"/>
          <w:sz w:val="20"/>
        </w:rPr>
        <w:t>winding up of the Company:</w:t>
      </w:r>
      <w:bookmarkEnd w:id="387"/>
    </w:p>
    <w:p w14:paraId="56712EEC" w14:textId="054F84A9" w:rsidR="007B4FB5" w:rsidRPr="00F97360" w:rsidRDefault="00D8597D" w:rsidP="007B4FB5">
      <w:pPr>
        <w:pStyle w:val="Untitledsubclause2"/>
        <w:rPr>
          <w:rFonts w:ascii="Arial" w:hAnsi="Arial" w:cs="Arial"/>
          <w:sz w:val="20"/>
        </w:rPr>
      </w:pPr>
      <w:bookmarkStart w:id="388" w:name="a778719"/>
      <w:r w:rsidRPr="00F97360">
        <w:rPr>
          <w:rFonts w:ascii="Arial" w:hAnsi="Arial" w:cs="Arial"/>
          <w:sz w:val="20"/>
        </w:rPr>
        <w:lastRenderedPageBreak/>
        <w:t xml:space="preserve">all Non-Option Awards shall </w:t>
      </w:r>
      <w:r w:rsidR="00D44FC6" w:rsidRPr="00F97360">
        <w:rPr>
          <w:rFonts w:ascii="Arial" w:hAnsi="Arial" w:cs="Arial"/>
          <w:sz w:val="20"/>
        </w:rPr>
        <w:t>Vest</w:t>
      </w:r>
      <w:r w:rsidRPr="00F97360">
        <w:rPr>
          <w:rFonts w:ascii="Arial" w:hAnsi="Arial" w:cs="Arial"/>
          <w:sz w:val="20"/>
        </w:rPr>
        <w:t xml:space="preserve"> upon the passing of that resolution in relation to the </w:t>
      </w:r>
      <w:r w:rsidR="00420BBF" w:rsidRPr="00F97360">
        <w:rPr>
          <w:rFonts w:ascii="Arial" w:hAnsi="Arial" w:cs="Arial"/>
          <w:sz w:val="20"/>
        </w:rPr>
        <w:t>Relevant Number</w:t>
      </w:r>
      <w:r w:rsidR="00E913EE" w:rsidRPr="00F97360">
        <w:rPr>
          <w:rFonts w:ascii="Arial" w:hAnsi="Arial" w:cs="Arial"/>
          <w:sz w:val="20"/>
        </w:rPr>
        <w:t xml:space="preserve"> of Shares (or notional Shares) </w:t>
      </w:r>
      <w:r w:rsidRPr="00F97360">
        <w:rPr>
          <w:rFonts w:ascii="Arial" w:hAnsi="Arial" w:cs="Arial"/>
          <w:sz w:val="20"/>
        </w:rPr>
        <w:t>and lapse in relation to the balance; and</w:t>
      </w:r>
      <w:bookmarkEnd w:id="388"/>
    </w:p>
    <w:p w14:paraId="56712EED" w14:textId="10157ADF" w:rsidR="007B4FB5" w:rsidRPr="00F97360" w:rsidRDefault="00D8597D" w:rsidP="007B4FB5">
      <w:pPr>
        <w:pStyle w:val="Untitledsubclause2"/>
        <w:rPr>
          <w:rFonts w:ascii="Arial" w:hAnsi="Arial" w:cs="Arial"/>
          <w:sz w:val="20"/>
        </w:rPr>
      </w:pPr>
      <w:bookmarkStart w:id="389" w:name="a362148"/>
      <w:r w:rsidRPr="00F97360">
        <w:rPr>
          <w:rFonts w:ascii="Arial" w:hAnsi="Arial" w:cs="Arial"/>
          <w:sz w:val="20"/>
        </w:rPr>
        <w:t xml:space="preserve">any Award Holder may exercise an Option </w:t>
      </w:r>
      <w:r w:rsidR="00FC13B3" w:rsidRPr="00F97360">
        <w:rPr>
          <w:rFonts w:ascii="Arial" w:hAnsi="Arial" w:cs="Arial"/>
          <w:sz w:val="20"/>
        </w:rPr>
        <w:t xml:space="preserve">(where rule </w:t>
      </w:r>
      <w:r w:rsidR="00FC13B3" w:rsidRPr="00F97360">
        <w:rPr>
          <w:rFonts w:ascii="Arial" w:hAnsi="Arial" w:cs="Arial"/>
          <w:sz w:val="20"/>
        </w:rPr>
        <w:fldChar w:fldCharType="begin"/>
      </w:r>
      <w:r w:rsidR="00FC13B3" w:rsidRPr="00F97360">
        <w:rPr>
          <w:rFonts w:ascii="Arial" w:hAnsi="Arial" w:cs="Arial"/>
          <w:sz w:val="20"/>
        </w:rPr>
        <w:instrText xml:space="preserve"> REF a324210 \r \h </w:instrText>
      </w:r>
      <w:r w:rsidR="00623047" w:rsidRPr="00F97360">
        <w:rPr>
          <w:rFonts w:ascii="Arial" w:hAnsi="Arial" w:cs="Arial"/>
          <w:sz w:val="20"/>
        </w:rPr>
        <w:instrText xml:space="preserve"> \* MERGEFORMAT </w:instrText>
      </w:r>
      <w:r w:rsidR="00FC13B3" w:rsidRPr="00F97360">
        <w:rPr>
          <w:rFonts w:ascii="Arial" w:hAnsi="Arial" w:cs="Arial"/>
          <w:sz w:val="20"/>
        </w:rPr>
      </w:r>
      <w:r w:rsidR="00FC13B3" w:rsidRPr="00F97360">
        <w:rPr>
          <w:rFonts w:ascii="Arial" w:hAnsi="Arial" w:cs="Arial"/>
          <w:sz w:val="20"/>
        </w:rPr>
        <w:fldChar w:fldCharType="separate"/>
      </w:r>
      <w:r w:rsidR="00710210" w:rsidRPr="00F97360">
        <w:rPr>
          <w:rFonts w:ascii="Arial" w:hAnsi="Arial" w:cs="Arial"/>
          <w:sz w:val="20"/>
        </w:rPr>
        <w:t>21.1</w:t>
      </w:r>
      <w:r w:rsidR="00FC13B3" w:rsidRPr="00F97360">
        <w:rPr>
          <w:rFonts w:ascii="Arial" w:hAnsi="Arial" w:cs="Arial"/>
          <w:sz w:val="20"/>
        </w:rPr>
        <w:fldChar w:fldCharType="end"/>
      </w:r>
      <w:r w:rsidR="00FC13B3" w:rsidRPr="00F97360">
        <w:rPr>
          <w:rFonts w:ascii="Arial" w:hAnsi="Arial" w:cs="Arial"/>
          <w:sz w:val="20"/>
        </w:rPr>
        <w:t xml:space="preserve"> applies, in respect of not more than the </w:t>
      </w:r>
      <w:r w:rsidR="00420BBF" w:rsidRPr="00F97360">
        <w:rPr>
          <w:rFonts w:ascii="Arial" w:hAnsi="Arial" w:cs="Arial"/>
          <w:sz w:val="20"/>
        </w:rPr>
        <w:t>Relevant Number</w:t>
      </w:r>
      <w:r w:rsidR="00E913EE" w:rsidRPr="00F97360">
        <w:rPr>
          <w:rFonts w:ascii="Arial" w:hAnsi="Arial" w:cs="Arial"/>
          <w:sz w:val="20"/>
        </w:rPr>
        <w:t xml:space="preserve"> of Shares or notional Shares) </w:t>
      </w:r>
      <w:r w:rsidRPr="00F97360">
        <w:rPr>
          <w:rFonts w:ascii="Arial" w:hAnsi="Arial" w:cs="Arial"/>
          <w:sz w:val="20"/>
        </w:rPr>
        <w:t>at any time before that resolution is passed, conditional upon</w:t>
      </w:r>
      <w:r w:rsidR="00333801" w:rsidRPr="00F97360">
        <w:rPr>
          <w:rFonts w:ascii="Arial" w:hAnsi="Arial" w:cs="Arial"/>
          <w:sz w:val="20"/>
        </w:rPr>
        <w:t xml:space="preserve"> (and taking effect immediately before)</w:t>
      </w:r>
      <w:r w:rsidRPr="00F97360">
        <w:rPr>
          <w:rFonts w:ascii="Arial" w:hAnsi="Arial" w:cs="Arial"/>
          <w:sz w:val="20"/>
        </w:rPr>
        <w:t xml:space="preserve"> the passing of that resolution, and if the Award Holder does not exercise the Option, it shall lapse when the winding up begins.</w:t>
      </w:r>
      <w:bookmarkEnd w:id="389"/>
    </w:p>
    <w:p w14:paraId="56712EEE" w14:textId="2B0C5069" w:rsidR="007B4FB5" w:rsidRPr="00F97360" w:rsidRDefault="00D8597D" w:rsidP="007B4FB5">
      <w:pPr>
        <w:pStyle w:val="Untitledsubclause1"/>
        <w:rPr>
          <w:rFonts w:ascii="Arial" w:hAnsi="Arial" w:cs="Arial"/>
          <w:sz w:val="20"/>
        </w:rPr>
      </w:pPr>
      <w:bookmarkStart w:id="390" w:name="a164888"/>
      <w:r w:rsidRPr="00F97360">
        <w:rPr>
          <w:rFonts w:ascii="Arial" w:hAnsi="Arial" w:cs="Arial"/>
          <w:sz w:val="20"/>
        </w:rPr>
        <w:t xml:space="preserve">The </w:t>
      </w:r>
      <w:r w:rsidR="00623047" w:rsidRPr="00F97360">
        <w:rPr>
          <w:rFonts w:ascii="Arial" w:hAnsi="Arial" w:cs="Arial"/>
          <w:sz w:val="20"/>
        </w:rPr>
        <w:t>Remuneration Committee</w:t>
      </w:r>
      <w:r w:rsidRPr="00F97360">
        <w:rPr>
          <w:rFonts w:ascii="Arial" w:hAnsi="Arial" w:cs="Arial"/>
          <w:sz w:val="20"/>
        </w:rPr>
        <w:t xml:space="preserve"> shall notify Award Holders of any event that is relevant to </w:t>
      </w:r>
      <w:r w:rsidR="00D67DB9" w:rsidRPr="00F97360">
        <w:rPr>
          <w:rFonts w:ascii="Arial" w:hAnsi="Arial" w:cs="Arial"/>
          <w:sz w:val="20"/>
        </w:rPr>
        <w:t>Award</w:t>
      </w:r>
      <w:r w:rsidR="00D62C51" w:rsidRPr="00F97360">
        <w:rPr>
          <w:rFonts w:ascii="Arial" w:hAnsi="Arial" w:cs="Arial"/>
          <w:sz w:val="20"/>
        </w:rPr>
        <w:t>s</w:t>
      </w:r>
      <w:r w:rsidRPr="00F97360">
        <w:rPr>
          <w:rFonts w:ascii="Arial" w:hAnsi="Arial" w:cs="Arial"/>
          <w:sz w:val="20"/>
        </w:rPr>
        <w:t xml:space="preserve"> under this </w:t>
      </w:r>
      <w:r w:rsidRPr="00F97360">
        <w:rPr>
          <w:rFonts w:ascii="Arial" w:hAnsi="Arial" w:cs="Arial"/>
          <w:sz w:val="20"/>
        </w:rPr>
        <w:fldChar w:fldCharType="begin"/>
      </w:r>
      <w:r w:rsidRPr="00F97360">
        <w:rPr>
          <w:rFonts w:ascii="Arial" w:hAnsi="Arial" w:cs="Arial"/>
          <w:sz w:val="20"/>
        </w:rPr>
        <w:instrText>PAGEREF a1037750\# "'rule '"  \h</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 xml:space="preserve">rule </w:t>
      </w:r>
      <w:r w:rsidRPr="00F97360">
        <w:rPr>
          <w:rFonts w:ascii="Arial" w:hAnsi="Arial" w:cs="Arial"/>
          <w:sz w:val="20"/>
        </w:rPr>
        <w:fldChar w:fldCharType="end"/>
      </w:r>
      <w:r w:rsidRPr="00F97360">
        <w:rPr>
          <w:rFonts w:ascii="Arial" w:hAnsi="Arial" w:cs="Arial"/>
          <w:sz w:val="20"/>
        </w:rPr>
        <w:fldChar w:fldCharType="begin"/>
      </w:r>
      <w:r w:rsidRPr="00F97360">
        <w:rPr>
          <w:rFonts w:ascii="Arial" w:hAnsi="Arial" w:cs="Arial"/>
          <w:sz w:val="20"/>
          <w:highlight w:val="lightGray"/>
        </w:rPr>
        <w:instrText>REF a1037750 \h \w</w:instrText>
      </w:r>
      <w:r w:rsidR="0037270F"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highlight w:val="lightGray"/>
        </w:rPr>
        <w:t>21</w:t>
      </w:r>
      <w:r w:rsidRPr="00F97360">
        <w:rPr>
          <w:rFonts w:ascii="Arial" w:hAnsi="Arial" w:cs="Arial"/>
          <w:sz w:val="20"/>
        </w:rPr>
        <w:fldChar w:fldCharType="end"/>
      </w:r>
      <w:r w:rsidRPr="00F97360">
        <w:rPr>
          <w:rFonts w:ascii="Arial" w:hAnsi="Arial" w:cs="Arial"/>
          <w:sz w:val="20"/>
        </w:rPr>
        <w:t xml:space="preserve"> within a reasonable period after the </w:t>
      </w:r>
      <w:r w:rsidR="00623047" w:rsidRPr="00F97360">
        <w:rPr>
          <w:rFonts w:ascii="Arial" w:hAnsi="Arial" w:cs="Arial"/>
          <w:sz w:val="20"/>
        </w:rPr>
        <w:t>Remuneration Committee</w:t>
      </w:r>
      <w:r w:rsidRPr="00F97360">
        <w:rPr>
          <w:rFonts w:ascii="Arial" w:hAnsi="Arial" w:cs="Arial"/>
          <w:sz w:val="20"/>
        </w:rPr>
        <w:t xml:space="preserve"> becomes aware of it.</w:t>
      </w:r>
      <w:bookmarkEnd w:id="390"/>
    </w:p>
    <w:p w14:paraId="56712EF2" w14:textId="77777777" w:rsidR="007B4FB5" w:rsidRPr="00F97360" w:rsidRDefault="00D8597D" w:rsidP="007B4FB5">
      <w:pPr>
        <w:pStyle w:val="TitleClause"/>
        <w:rPr>
          <w:rFonts w:ascii="Arial" w:hAnsi="Arial" w:cs="Arial"/>
          <w:sz w:val="20"/>
        </w:rPr>
      </w:pPr>
      <w:r w:rsidRPr="00F97360">
        <w:rPr>
          <w:rFonts w:ascii="Arial" w:hAnsi="Arial" w:cs="Arial"/>
          <w:sz w:val="20"/>
        </w:rPr>
        <w:fldChar w:fldCharType="begin"/>
      </w:r>
      <w:r w:rsidRPr="00F97360">
        <w:rPr>
          <w:rFonts w:ascii="Arial" w:hAnsi="Arial" w:cs="Arial"/>
          <w:sz w:val="20"/>
        </w:rPr>
        <w:instrText>TC "22. Variation of share capital" \l 1</w:instrText>
      </w:r>
      <w:r w:rsidRPr="00F97360">
        <w:rPr>
          <w:rFonts w:ascii="Arial" w:hAnsi="Arial" w:cs="Arial"/>
          <w:sz w:val="20"/>
        </w:rPr>
        <w:fldChar w:fldCharType="end"/>
      </w:r>
      <w:bookmarkStart w:id="391" w:name="a129837"/>
      <w:bookmarkStart w:id="392" w:name="_Toc105671035"/>
      <w:bookmarkStart w:id="393" w:name="_Toc103273411"/>
      <w:bookmarkStart w:id="394" w:name="_Toc145339792"/>
      <w:bookmarkStart w:id="395" w:name="_Toc131682142"/>
      <w:bookmarkStart w:id="396" w:name="_Toc161658075"/>
      <w:r w:rsidRPr="00F97360">
        <w:rPr>
          <w:rFonts w:ascii="Arial" w:hAnsi="Arial" w:cs="Arial"/>
          <w:sz w:val="20"/>
        </w:rPr>
        <w:t>Variation of share capital</w:t>
      </w:r>
      <w:bookmarkEnd w:id="391"/>
      <w:bookmarkEnd w:id="392"/>
      <w:bookmarkEnd w:id="393"/>
      <w:bookmarkEnd w:id="394"/>
      <w:bookmarkEnd w:id="395"/>
      <w:bookmarkEnd w:id="396"/>
    </w:p>
    <w:p w14:paraId="56712EF3" w14:textId="05D67901" w:rsidR="007B4FB5" w:rsidRPr="00F97360" w:rsidRDefault="00D8597D" w:rsidP="007B4FB5">
      <w:pPr>
        <w:pStyle w:val="Untitledsubclause1"/>
        <w:rPr>
          <w:rFonts w:ascii="Arial" w:hAnsi="Arial" w:cs="Arial"/>
          <w:sz w:val="20"/>
        </w:rPr>
      </w:pPr>
      <w:bookmarkStart w:id="397" w:name="a733271"/>
      <w:r w:rsidRPr="00F97360">
        <w:rPr>
          <w:rFonts w:ascii="Arial" w:hAnsi="Arial" w:cs="Arial"/>
          <w:sz w:val="20"/>
        </w:rPr>
        <w:t xml:space="preserve">This </w:t>
      </w:r>
      <w:r w:rsidRPr="00F97360">
        <w:rPr>
          <w:rFonts w:ascii="Arial" w:hAnsi="Arial" w:cs="Arial"/>
          <w:sz w:val="20"/>
        </w:rPr>
        <w:fldChar w:fldCharType="begin"/>
      </w:r>
      <w:r w:rsidRPr="00F97360">
        <w:rPr>
          <w:rFonts w:ascii="Arial" w:hAnsi="Arial" w:cs="Arial"/>
          <w:sz w:val="20"/>
        </w:rPr>
        <w:instrText>PAGEREF a129837\# "'rule '"  \h</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 xml:space="preserve">rule </w:t>
      </w:r>
      <w:r w:rsidRPr="00F97360">
        <w:rPr>
          <w:rFonts w:ascii="Arial" w:hAnsi="Arial" w:cs="Arial"/>
          <w:sz w:val="20"/>
        </w:rPr>
        <w:fldChar w:fldCharType="end"/>
      </w:r>
      <w:r w:rsidRPr="00F97360">
        <w:rPr>
          <w:rFonts w:ascii="Arial" w:hAnsi="Arial" w:cs="Arial"/>
          <w:sz w:val="20"/>
        </w:rPr>
        <w:fldChar w:fldCharType="begin"/>
      </w:r>
      <w:r w:rsidRPr="00F97360">
        <w:rPr>
          <w:rFonts w:ascii="Arial" w:hAnsi="Arial" w:cs="Arial"/>
          <w:sz w:val="20"/>
          <w:highlight w:val="lightGray"/>
        </w:rPr>
        <w:instrText>REF a129837 \h \w</w:instrText>
      </w:r>
      <w:r w:rsidR="0037270F"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highlight w:val="lightGray"/>
        </w:rPr>
        <w:t>22</w:t>
      </w:r>
      <w:r w:rsidRPr="00F97360">
        <w:rPr>
          <w:rFonts w:ascii="Arial" w:hAnsi="Arial" w:cs="Arial"/>
          <w:sz w:val="20"/>
        </w:rPr>
        <w:fldChar w:fldCharType="end"/>
      </w:r>
      <w:r w:rsidRPr="00F97360">
        <w:rPr>
          <w:rFonts w:ascii="Arial" w:hAnsi="Arial" w:cs="Arial"/>
          <w:sz w:val="20"/>
        </w:rPr>
        <w:t xml:space="preserve"> applies where there is:</w:t>
      </w:r>
      <w:bookmarkEnd w:id="397"/>
    </w:p>
    <w:p w14:paraId="56712EF4" w14:textId="6FE4E083" w:rsidR="007B4FB5" w:rsidRPr="00F97360" w:rsidRDefault="00D8597D" w:rsidP="00F97360">
      <w:pPr>
        <w:pStyle w:val="Untitledsubclause2"/>
        <w:tabs>
          <w:tab w:val="clear" w:pos="1554"/>
          <w:tab w:val="num" w:pos="1985"/>
        </w:tabs>
        <w:ind w:left="1985" w:hanging="567"/>
        <w:rPr>
          <w:rFonts w:ascii="Arial" w:hAnsi="Arial" w:cs="Arial"/>
          <w:sz w:val="20"/>
        </w:rPr>
      </w:pPr>
      <w:bookmarkStart w:id="398" w:name="a293618"/>
      <w:r w:rsidRPr="00F97360">
        <w:rPr>
          <w:rFonts w:ascii="Arial" w:hAnsi="Arial" w:cs="Arial"/>
          <w:sz w:val="20"/>
        </w:rPr>
        <w:t>a variation of share capital</w:t>
      </w:r>
      <w:bookmarkEnd w:id="398"/>
      <w:r w:rsidR="00E43A57" w:rsidRPr="00F97360">
        <w:rPr>
          <w:rFonts w:ascii="Arial" w:hAnsi="Arial" w:cs="Arial"/>
          <w:sz w:val="20"/>
        </w:rPr>
        <w:t xml:space="preserve"> (including a capitalisation issue, rights issue, consolidation, </w:t>
      </w:r>
      <w:proofErr w:type="gramStart"/>
      <w:r w:rsidR="00E43A57" w:rsidRPr="00F97360">
        <w:rPr>
          <w:rFonts w:ascii="Arial" w:hAnsi="Arial" w:cs="Arial"/>
          <w:sz w:val="20"/>
        </w:rPr>
        <w:t>subdivision</w:t>
      </w:r>
      <w:proofErr w:type="gramEnd"/>
      <w:r w:rsidR="00E43A57" w:rsidRPr="00F97360">
        <w:rPr>
          <w:rFonts w:ascii="Arial" w:hAnsi="Arial" w:cs="Arial"/>
          <w:sz w:val="20"/>
        </w:rPr>
        <w:t xml:space="preserve"> or reduction of the share capital of the Company, a vendor placing with clawback, a vendor rights offer or a cash open offer, but excludes a scrip dividend)</w:t>
      </w:r>
      <w:r w:rsidR="00D163BF" w:rsidRPr="00F97360">
        <w:rPr>
          <w:rFonts w:ascii="Arial" w:hAnsi="Arial" w:cs="Arial"/>
          <w:sz w:val="20"/>
        </w:rPr>
        <w:t>,</w:t>
      </w:r>
    </w:p>
    <w:p w14:paraId="778B99C9" w14:textId="13841369" w:rsidR="00ED3442" w:rsidRPr="00F97360" w:rsidRDefault="00D8597D" w:rsidP="00F97360">
      <w:pPr>
        <w:pStyle w:val="Untitledsubclause2"/>
        <w:tabs>
          <w:tab w:val="clear" w:pos="1554"/>
          <w:tab w:val="num" w:pos="1985"/>
        </w:tabs>
        <w:ind w:left="1985" w:hanging="567"/>
        <w:rPr>
          <w:rFonts w:ascii="Arial" w:hAnsi="Arial" w:cs="Arial"/>
          <w:sz w:val="20"/>
        </w:rPr>
      </w:pPr>
      <w:bookmarkStart w:id="399" w:name="a261574"/>
      <w:r w:rsidRPr="00F97360">
        <w:rPr>
          <w:rFonts w:ascii="Arial" w:hAnsi="Arial" w:cs="Arial"/>
          <w:sz w:val="20"/>
        </w:rPr>
        <w:t>an extraordinary distribution to shareholders</w:t>
      </w:r>
      <w:r w:rsidR="00FC07B5" w:rsidRPr="00F97360">
        <w:rPr>
          <w:rFonts w:ascii="Arial" w:hAnsi="Arial" w:cs="Arial"/>
          <w:sz w:val="20"/>
        </w:rPr>
        <w:t xml:space="preserve"> (including a demerger or special dividend)</w:t>
      </w:r>
      <w:r w:rsidR="00ED3442" w:rsidRPr="00F97360">
        <w:rPr>
          <w:rFonts w:ascii="Arial" w:hAnsi="Arial" w:cs="Arial"/>
          <w:sz w:val="20"/>
        </w:rPr>
        <w:t>,</w:t>
      </w:r>
    </w:p>
    <w:p w14:paraId="4CF9DFCA" w14:textId="0B29FB17" w:rsidR="00694DB6" w:rsidRPr="00F97360" w:rsidRDefault="00ED3442" w:rsidP="00F97360">
      <w:pPr>
        <w:pStyle w:val="Untitledsubclause2"/>
        <w:tabs>
          <w:tab w:val="clear" w:pos="1554"/>
          <w:tab w:val="num" w:pos="1985"/>
        </w:tabs>
        <w:ind w:left="1985" w:hanging="567"/>
        <w:rPr>
          <w:rFonts w:ascii="Arial" w:hAnsi="Arial" w:cs="Arial"/>
          <w:sz w:val="20"/>
        </w:rPr>
      </w:pPr>
      <w:bookmarkStart w:id="400" w:name="_Ref160820958"/>
      <w:r w:rsidRPr="00F97360">
        <w:rPr>
          <w:rFonts w:ascii="Arial" w:hAnsi="Arial" w:cs="Arial"/>
          <w:sz w:val="20"/>
        </w:rPr>
        <w:t xml:space="preserve">the </w:t>
      </w:r>
      <w:r w:rsidR="0078430F" w:rsidRPr="00F97360">
        <w:rPr>
          <w:rFonts w:ascii="Arial" w:hAnsi="Arial" w:cs="Arial"/>
          <w:sz w:val="20"/>
        </w:rPr>
        <w:t>Company ceases to be Listed</w:t>
      </w:r>
      <w:r w:rsidR="00694DB6" w:rsidRPr="00F97360">
        <w:rPr>
          <w:rFonts w:ascii="Arial" w:hAnsi="Arial" w:cs="Arial"/>
          <w:sz w:val="20"/>
        </w:rPr>
        <w:t>, or</w:t>
      </w:r>
      <w:bookmarkEnd w:id="400"/>
    </w:p>
    <w:p w14:paraId="290B26DE" w14:textId="561ADF09" w:rsidR="00694DB6" w:rsidRPr="00F97360" w:rsidRDefault="00694DB6" w:rsidP="00F97360">
      <w:pPr>
        <w:pStyle w:val="Untitledsubclause2"/>
        <w:tabs>
          <w:tab w:val="clear" w:pos="1554"/>
          <w:tab w:val="num" w:pos="1985"/>
        </w:tabs>
        <w:ind w:left="1985" w:hanging="567"/>
        <w:rPr>
          <w:rFonts w:ascii="Arial" w:hAnsi="Arial" w:cs="Arial"/>
          <w:sz w:val="20"/>
        </w:rPr>
      </w:pPr>
      <w:bookmarkStart w:id="401" w:name="_Ref160820978"/>
      <w:r w:rsidRPr="00F97360">
        <w:rPr>
          <w:rFonts w:ascii="Arial" w:hAnsi="Arial" w:cs="Arial"/>
          <w:sz w:val="20"/>
        </w:rPr>
        <w:t xml:space="preserve">other event which may, in the opinion of the </w:t>
      </w:r>
      <w:r w:rsidR="00D163BF" w:rsidRPr="00F97360">
        <w:rPr>
          <w:rFonts w:ascii="Arial" w:hAnsi="Arial" w:cs="Arial"/>
          <w:sz w:val="20"/>
        </w:rPr>
        <w:t>Remuneration Committee</w:t>
      </w:r>
      <w:r w:rsidRPr="00F97360">
        <w:rPr>
          <w:rFonts w:ascii="Arial" w:hAnsi="Arial" w:cs="Arial"/>
          <w:sz w:val="20"/>
        </w:rPr>
        <w:t>, affect the current or future value of Shares.</w:t>
      </w:r>
      <w:bookmarkEnd w:id="401"/>
      <w:r w:rsidRPr="00F97360">
        <w:rPr>
          <w:rFonts w:ascii="Arial" w:hAnsi="Arial" w:cs="Arial"/>
          <w:sz w:val="20"/>
        </w:rPr>
        <w:t xml:space="preserve"> </w:t>
      </w:r>
    </w:p>
    <w:p w14:paraId="56712EFA" w14:textId="683D466A" w:rsidR="007B4FB5" w:rsidRPr="00F97360" w:rsidRDefault="00D8597D" w:rsidP="004B3B0C">
      <w:pPr>
        <w:pStyle w:val="Untitledsubclause1"/>
        <w:rPr>
          <w:rFonts w:ascii="Arial" w:hAnsi="Arial" w:cs="Arial"/>
          <w:sz w:val="20"/>
        </w:rPr>
      </w:pPr>
      <w:bookmarkStart w:id="402" w:name="a919478"/>
      <w:bookmarkEnd w:id="399"/>
      <w:r w:rsidRPr="00F97360">
        <w:rPr>
          <w:rFonts w:ascii="Arial" w:hAnsi="Arial" w:cs="Arial"/>
          <w:sz w:val="20"/>
        </w:rPr>
        <w:t>If notice is given to shareholders of the Company of a proposed extraordinary distribution</w:t>
      </w:r>
      <w:r w:rsidR="00C176AD" w:rsidRPr="00F97360">
        <w:rPr>
          <w:rFonts w:ascii="Arial" w:hAnsi="Arial" w:cs="Arial"/>
          <w:sz w:val="20"/>
        </w:rPr>
        <w:t xml:space="preserve"> or there is an event within </w:t>
      </w:r>
      <w:r w:rsidR="00C176AD" w:rsidRPr="00F97360">
        <w:rPr>
          <w:rFonts w:ascii="Arial" w:hAnsi="Arial" w:cs="Arial"/>
          <w:sz w:val="20"/>
        </w:rPr>
        <w:fldChar w:fldCharType="begin"/>
      </w:r>
      <w:r w:rsidR="00C176AD" w:rsidRPr="00F97360">
        <w:rPr>
          <w:rFonts w:ascii="Arial" w:hAnsi="Arial" w:cs="Arial"/>
          <w:sz w:val="20"/>
        </w:rPr>
        <w:instrText xml:space="preserve"> REF a733271 \r \h </w:instrText>
      </w:r>
      <w:r w:rsidR="001F3A28" w:rsidRPr="0059105D">
        <w:rPr>
          <w:rFonts w:ascii="Arial" w:hAnsi="Arial" w:cs="Arial"/>
          <w:sz w:val="20"/>
        </w:rPr>
        <w:instrText xml:space="preserve"> \* MERGEFORMAT </w:instrText>
      </w:r>
      <w:r w:rsidR="00C176AD" w:rsidRPr="00F97360">
        <w:rPr>
          <w:rFonts w:ascii="Arial" w:hAnsi="Arial" w:cs="Arial"/>
          <w:sz w:val="20"/>
        </w:rPr>
      </w:r>
      <w:r w:rsidR="00C176AD" w:rsidRPr="00F97360">
        <w:rPr>
          <w:rFonts w:ascii="Arial" w:hAnsi="Arial" w:cs="Arial"/>
          <w:sz w:val="20"/>
        </w:rPr>
        <w:fldChar w:fldCharType="separate"/>
      </w:r>
      <w:r w:rsidR="00710210" w:rsidRPr="00F97360">
        <w:rPr>
          <w:rFonts w:ascii="Arial" w:hAnsi="Arial" w:cs="Arial"/>
          <w:sz w:val="20"/>
        </w:rPr>
        <w:t>22.1</w:t>
      </w:r>
      <w:r w:rsidR="00C176AD" w:rsidRPr="00F97360">
        <w:rPr>
          <w:rFonts w:ascii="Arial" w:hAnsi="Arial" w:cs="Arial"/>
          <w:sz w:val="20"/>
        </w:rPr>
        <w:fldChar w:fldCharType="end"/>
      </w:r>
      <w:r w:rsidR="00C176AD" w:rsidRPr="00F97360">
        <w:rPr>
          <w:rFonts w:ascii="Arial" w:hAnsi="Arial" w:cs="Arial"/>
          <w:sz w:val="20"/>
        </w:rPr>
        <w:fldChar w:fldCharType="begin"/>
      </w:r>
      <w:r w:rsidR="00C176AD" w:rsidRPr="00F97360">
        <w:rPr>
          <w:rFonts w:ascii="Arial" w:hAnsi="Arial" w:cs="Arial"/>
          <w:sz w:val="20"/>
        </w:rPr>
        <w:instrText xml:space="preserve"> REF _Ref160820958 \r \h </w:instrText>
      </w:r>
      <w:r w:rsidR="001F3A28" w:rsidRPr="0059105D">
        <w:rPr>
          <w:rFonts w:ascii="Arial" w:hAnsi="Arial" w:cs="Arial"/>
          <w:sz w:val="20"/>
        </w:rPr>
        <w:instrText xml:space="preserve"> \* MERGEFORMAT </w:instrText>
      </w:r>
      <w:r w:rsidR="00C176AD" w:rsidRPr="00F97360">
        <w:rPr>
          <w:rFonts w:ascii="Arial" w:hAnsi="Arial" w:cs="Arial"/>
          <w:sz w:val="20"/>
        </w:rPr>
      </w:r>
      <w:r w:rsidR="00C176AD" w:rsidRPr="00F97360">
        <w:rPr>
          <w:rFonts w:ascii="Arial" w:hAnsi="Arial" w:cs="Arial"/>
          <w:sz w:val="20"/>
        </w:rPr>
        <w:fldChar w:fldCharType="separate"/>
      </w:r>
      <w:r w:rsidR="00710210" w:rsidRPr="00F97360">
        <w:rPr>
          <w:rFonts w:ascii="Arial" w:hAnsi="Arial" w:cs="Arial"/>
          <w:sz w:val="20"/>
        </w:rPr>
        <w:t>(c)</w:t>
      </w:r>
      <w:r w:rsidR="00C176AD" w:rsidRPr="00F97360">
        <w:rPr>
          <w:rFonts w:ascii="Arial" w:hAnsi="Arial" w:cs="Arial"/>
          <w:sz w:val="20"/>
        </w:rPr>
        <w:fldChar w:fldCharType="end"/>
      </w:r>
      <w:r w:rsidR="00C176AD" w:rsidRPr="00F97360">
        <w:rPr>
          <w:rFonts w:ascii="Arial" w:hAnsi="Arial" w:cs="Arial"/>
          <w:sz w:val="20"/>
        </w:rPr>
        <w:t xml:space="preserve"> or </w:t>
      </w:r>
      <w:r w:rsidR="00C176AD" w:rsidRPr="00F97360">
        <w:rPr>
          <w:rFonts w:ascii="Arial" w:hAnsi="Arial" w:cs="Arial"/>
          <w:sz w:val="20"/>
        </w:rPr>
        <w:fldChar w:fldCharType="begin"/>
      </w:r>
      <w:r w:rsidR="00C176AD" w:rsidRPr="00F97360">
        <w:rPr>
          <w:rFonts w:ascii="Arial" w:hAnsi="Arial" w:cs="Arial"/>
          <w:sz w:val="20"/>
        </w:rPr>
        <w:instrText xml:space="preserve"> REF _Ref160820978 \r \h </w:instrText>
      </w:r>
      <w:r w:rsidR="001F3A28" w:rsidRPr="0059105D">
        <w:rPr>
          <w:rFonts w:ascii="Arial" w:hAnsi="Arial" w:cs="Arial"/>
          <w:sz w:val="20"/>
        </w:rPr>
        <w:instrText xml:space="preserve"> \* MERGEFORMAT </w:instrText>
      </w:r>
      <w:r w:rsidR="00C176AD" w:rsidRPr="00F97360">
        <w:rPr>
          <w:rFonts w:ascii="Arial" w:hAnsi="Arial" w:cs="Arial"/>
          <w:sz w:val="20"/>
        </w:rPr>
      </w:r>
      <w:r w:rsidR="00C176AD" w:rsidRPr="00F97360">
        <w:rPr>
          <w:rFonts w:ascii="Arial" w:hAnsi="Arial" w:cs="Arial"/>
          <w:sz w:val="20"/>
        </w:rPr>
        <w:fldChar w:fldCharType="separate"/>
      </w:r>
      <w:r w:rsidR="00710210" w:rsidRPr="00F97360">
        <w:rPr>
          <w:rFonts w:ascii="Arial" w:hAnsi="Arial" w:cs="Arial"/>
          <w:sz w:val="20"/>
        </w:rPr>
        <w:t>(d)</w:t>
      </w:r>
      <w:r w:rsidR="00C176AD" w:rsidRPr="00F97360">
        <w:rPr>
          <w:rFonts w:ascii="Arial" w:hAnsi="Arial" w:cs="Arial"/>
          <w:sz w:val="20"/>
        </w:rPr>
        <w:fldChar w:fldCharType="end"/>
      </w:r>
      <w:r w:rsidRPr="00F97360">
        <w:rPr>
          <w:rFonts w:ascii="Arial" w:hAnsi="Arial" w:cs="Arial"/>
          <w:sz w:val="20"/>
        </w:rPr>
        <w:t xml:space="preserve">, </w:t>
      </w:r>
      <w:r w:rsidR="005161D4" w:rsidRPr="00F97360">
        <w:rPr>
          <w:rFonts w:ascii="Arial" w:hAnsi="Arial" w:cs="Arial"/>
          <w:sz w:val="20"/>
        </w:rPr>
        <w:t>which</w:t>
      </w:r>
      <w:r w:rsidR="004046EC" w:rsidRPr="00F97360">
        <w:rPr>
          <w:rFonts w:ascii="Arial" w:hAnsi="Arial" w:cs="Arial"/>
          <w:sz w:val="20"/>
        </w:rPr>
        <w:t xml:space="preserve"> </w:t>
      </w:r>
      <w:bookmarkStart w:id="403" w:name="_Hlk161655541"/>
      <w:r w:rsidR="004046EC" w:rsidRPr="00F97360">
        <w:rPr>
          <w:rFonts w:ascii="Arial" w:hAnsi="Arial" w:cs="Arial"/>
          <w:sz w:val="20"/>
        </w:rPr>
        <w:t>(in each case)</w:t>
      </w:r>
      <w:r w:rsidR="005161D4" w:rsidRPr="00F97360">
        <w:rPr>
          <w:rFonts w:ascii="Arial" w:hAnsi="Arial" w:cs="Arial"/>
          <w:sz w:val="20"/>
        </w:rPr>
        <w:t xml:space="preserve"> </w:t>
      </w:r>
      <w:bookmarkEnd w:id="403"/>
      <w:r w:rsidRPr="00F97360">
        <w:rPr>
          <w:rFonts w:ascii="Arial" w:hAnsi="Arial" w:cs="Arial"/>
          <w:sz w:val="20"/>
        </w:rPr>
        <w:t xml:space="preserve">the </w:t>
      </w:r>
      <w:r w:rsidR="00623047" w:rsidRPr="00F97360">
        <w:rPr>
          <w:rFonts w:ascii="Arial" w:hAnsi="Arial" w:cs="Arial"/>
          <w:sz w:val="20"/>
        </w:rPr>
        <w:t>Remuneration Committee</w:t>
      </w:r>
      <w:r w:rsidRPr="00F97360">
        <w:rPr>
          <w:rFonts w:ascii="Arial" w:hAnsi="Arial" w:cs="Arial"/>
          <w:sz w:val="20"/>
        </w:rPr>
        <w:t xml:space="preserve"> </w:t>
      </w:r>
      <w:r w:rsidR="005161D4" w:rsidRPr="00F97360">
        <w:rPr>
          <w:rFonts w:ascii="Arial" w:hAnsi="Arial" w:cs="Arial"/>
          <w:sz w:val="20"/>
        </w:rPr>
        <w:t xml:space="preserve">considers </w:t>
      </w:r>
      <w:r w:rsidR="006F2B3E" w:rsidRPr="00F97360">
        <w:rPr>
          <w:rFonts w:ascii="Arial" w:hAnsi="Arial" w:cs="Arial"/>
          <w:sz w:val="20"/>
        </w:rPr>
        <w:t>may</w:t>
      </w:r>
      <w:r w:rsidR="00257F8C" w:rsidRPr="00F97360">
        <w:rPr>
          <w:rFonts w:ascii="Arial" w:hAnsi="Arial" w:cs="Arial"/>
          <w:sz w:val="20"/>
        </w:rPr>
        <w:t xml:space="preserve"> </w:t>
      </w:r>
      <w:bookmarkEnd w:id="402"/>
      <w:r w:rsidR="002522B9" w:rsidRPr="00F97360">
        <w:rPr>
          <w:rFonts w:ascii="Arial" w:hAnsi="Arial" w:cs="Arial"/>
          <w:sz w:val="20"/>
        </w:rPr>
        <w:t>affect the current or future value of Shares</w:t>
      </w:r>
      <w:r w:rsidR="005E32B9" w:rsidRPr="00F97360">
        <w:rPr>
          <w:rFonts w:ascii="Arial" w:hAnsi="Arial" w:cs="Arial"/>
          <w:sz w:val="20"/>
        </w:rPr>
        <w:t xml:space="preserve">, </w:t>
      </w:r>
      <w:r w:rsidRPr="00F97360">
        <w:rPr>
          <w:rFonts w:ascii="Arial" w:hAnsi="Arial" w:cs="Arial"/>
          <w:sz w:val="20"/>
        </w:rPr>
        <w:t>it may determine that:</w:t>
      </w:r>
    </w:p>
    <w:p w14:paraId="56712EFB" w14:textId="1EA252FD" w:rsidR="007B4FB5" w:rsidRPr="00F97360" w:rsidRDefault="00D67DB9" w:rsidP="00F97360">
      <w:pPr>
        <w:pStyle w:val="Untitledsubclause2"/>
        <w:tabs>
          <w:tab w:val="clear" w:pos="1554"/>
          <w:tab w:val="num" w:pos="1985"/>
        </w:tabs>
        <w:ind w:left="1985"/>
        <w:rPr>
          <w:rFonts w:ascii="Arial" w:hAnsi="Arial" w:cs="Arial"/>
          <w:sz w:val="20"/>
        </w:rPr>
      </w:pPr>
      <w:bookmarkStart w:id="404" w:name="a79415"/>
      <w:r w:rsidRPr="00F97360">
        <w:rPr>
          <w:rFonts w:ascii="Arial" w:hAnsi="Arial" w:cs="Arial"/>
          <w:sz w:val="20"/>
        </w:rPr>
        <w:t>Award</w:t>
      </w:r>
      <w:r w:rsidR="00D8597D" w:rsidRPr="00F97360">
        <w:rPr>
          <w:rFonts w:ascii="Arial" w:hAnsi="Arial" w:cs="Arial"/>
          <w:sz w:val="20"/>
        </w:rPr>
        <w:t xml:space="preserve">s shall </w:t>
      </w:r>
      <w:r w:rsidR="00D44FC6" w:rsidRPr="00F97360">
        <w:rPr>
          <w:rFonts w:ascii="Arial" w:hAnsi="Arial" w:cs="Arial"/>
          <w:sz w:val="20"/>
        </w:rPr>
        <w:t>Vest</w:t>
      </w:r>
      <w:r w:rsidR="00D8597D" w:rsidRPr="00F97360">
        <w:rPr>
          <w:rFonts w:ascii="Arial" w:hAnsi="Arial" w:cs="Arial"/>
          <w:sz w:val="20"/>
        </w:rPr>
        <w:t xml:space="preserve"> in relation to the </w:t>
      </w:r>
      <w:r w:rsidR="00420BBF" w:rsidRPr="00F97360">
        <w:rPr>
          <w:rFonts w:ascii="Arial" w:hAnsi="Arial" w:cs="Arial"/>
          <w:sz w:val="20"/>
        </w:rPr>
        <w:t>Relevant Number</w:t>
      </w:r>
      <w:r w:rsidR="00E913EE" w:rsidRPr="00F97360">
        <w:rPr>
          <w:rFonts w:ascii="Arial" w:hAnsi="Arial" w:cs="Arial"/>
          <w:sz w:val="20"/>
        </w:rPr>
        <w:t xml:space="preserve"> of Shares</w:t>
      </w:r>
      <w:r w:rsidR="001C4190" w:rsidRPr="00F97360">
        <w:rPr>
          <w:rFonts w:ascii="Arial" w:hAnsi="Arial" w:cs="Arial"/>
          <w:sz w:val="20"/>
        </w:rPr>
        <w:t xml:space="preserve"> </w:t>
      </w:r>
      <w:r w:rsidR="00E913EE" w:rsidRPr="00F97360">
        <w:rPr>
          <w:rFonts w:ascii="Arial" w:hAnsi="Arial" w:cs="Arial"/>
          <w:sz w:val="20"/>
        </w:rPr>
        <w:t>or notional Shares</w:t>
      </w:r>
      <w:r w:rsidR="001C4190" w:rsidRPr="00F97360">
        <w:rPr>
          <w:rFonts w:ascii="Arial" w:hAnsi="Arial" w:cs="Arial"/>
          <w:sz w:val="20"/>
        </w:rPr>
        <w:t xml:space="preserve"> (as if the extraordinary distribution were a Change of Control</w:t>
      </w:r>
      <w:r w:rsidR="00E913EE" w:rsidRPr="00F97360">
        <w:rPr>
          <w:rFonts w:ascii="Arial" w:hAnsi="Arial" w:cs="Arial"/>
          <w:sz w:val="20"/>
        </w:rPr>
        <w:t>)</w:t>
      </w:r>
      <w:r w:rsidR="00D8597D" w:rsidRPr="00F97360">
        <w:rPr>
          <w:rFonts w:ascii="Arial" w:hAnsi="Arial" w:cs="Arial"/>
          <w:sz w:val="20"/>
        </w:rPr>
        <w:t>; and</w:t>
      </w:r>
      <w:bookmarkEnd w:id="404"/>
    </w:p>
    <w:p w14:paraId="56712EFC" w14:textId="516518FE" w:rsidR="007B4FB5" w:rsidRPr="00F97360" w:rsidRDefault="00D8597D" w:rsidP="00F97360">
      <w:pPr>
        <w:pStyle w:val="Untitledsubclause2"/>
        <w:tabs>
          <w:tab w:val="clear" w:pos="1554"/>
          <w:tab w:val="num" w:pos="1985"/>
        </w:tabs>
        <w:ind w:left="1985"/>
        <w:rPr>
          <w:rFonts w:ascii="Arial" w:hAnsi="Arial" w:cs="Arial"/>
          <w:sz w:val="20"/>
        </w:rPr>
      </w:pPr>
      <w:bookmarkStart w:id="405" w:name="a56729"/>
      <w:r w:rsidRPr="00F97360">
        <w:rPr>
          <w:rFonts w:ascii="Arial" w:hAnsi="Arial" w:cs="Arial"/>
          <w:sz w:val="20"/>
        </w:rPr>
        <w:t xml:space="preserve">an Award Holder may exercise all or any part of any Option </w:t>
      </w:r>
      <w:r w:rsidR="00945190" w:rsidRPr="00F97360">
        <w:rPr>
          <w:rFonts w:ascii="Arial" w:hAnsi="Arial" w:cs="Arial"/>
          <w:sz w:val="20"/>
        </w:rPr>
        <w:t>(</w:t>
      </w:r>
      <w:r w:rsidR="004046EC" w:rsidRPr="00F97360">
        <w:rPr>
          <w:rFonts w:ascii="Arial" w:hAnsi="Arial" w:cs="Arial"/>
          <w:sz w:val="20"/>
        </w:rPr>
        <w:t xml:space="preserve">where the Option has Vested pursuant to (a) above, </w:t>
      </w:r>
      <w:r w:rsidR="00945190" w:rsidRPr="00F97360">
        <w:rPr>
          <w:rFonts w:ascii="Arial" w:hAnsi="Arial" w:cs="Arial"/>
          <w:sz w:val="20"/>
        </w:rPr>
        <w:t xml:space="preserve">in respect of not more than the </w:t>
      </w:r>
      <w:r w:rsidR="00420BBF" w:rsidRPr="00F97360">
        <w:rPr>
          <w:rFonts w:ascii="Arial" w:hAnsi="Arial" w:cs="Arial"/>
          <w:sz w:val="20"/>
        </w:rPr>
        <w:t>Relevant Number</w:t>
      </w:r>
      <w:r w:rsidR="00E913EE" w:rsidRPr="00F97360">
        <w:rPr>
          <w:rFonts w:ascii="Arial" w:hAnsi="Arial" w:cs="Arial"/>
          <w:sz w:val="20"/>
        </w:rPr>
        <w:t xml:space="preserve"> of Shares or notional Shares)</w:t>
      </w:r>
      <w:r w:rsidR="00945190" w:rsidRPr="00F97360">
        <w:rPr>
          <w:rFonts w:ascii="Arial" w:hAnsi="Arial" w:cs="Arial"/>
          <w:sz w:val="20"/>
        </w:rPr>
        <w:t xml:space="preserve"> </w:t>
      </w:r>
      <w:r w:rsidRPr="00F97360">
        <w:rPr>
          <w:rFonts w:ascii="Arial" w:hAnsi="Arial" w:cs="Arial"/>
          <w:sz w:val="20"/>
        </w:rPr>
        <w:t xml:space="preserve">within </w:t>
      </w:r>
      <w:r w:rsidR="00D10DD3" w:rsidRPr="00F97360">
        <w:rPr>
          <w:rFonts w:ascii="Arial" w:hAnsi="Arial" w:cs="Arial"/>
          <w:sz w:val="20"/>
        </w:rPr>
        <w:t xml:space="preserve">one month, </w:t>
      </w:r>
      <w:bookmarkStart w:id="406" w:name="_Hlk161655998"/>
      <w:r w:rsidR="00D10DD3" w:rsidRPr="00F97360">
        <w:rPr>
          <w:rFonts w:ascii="Arial" w:hAnsi="Arial" w:cs="Arial"/>
          <w:sz w:val="20"/>
        </w:rPr>
        <w:t xml:space="preserve">and it will lapse </w:t>
      </w:r>
      <w:r w:rsidR="00760122" w:rsidRPr="00F97360">
        <w:rPr>
          <w:rFonts w:ascii="Arial" w:hAnsi="Arial" w:cs="Arial"/>
          <w:sz w:val="20"/>
        </w:rPr>
        <w:t xml:space="preserve">at the end of that period </w:t>
      </w:r>
      <w:r w:rsidR="00D10DD3" w:rsidRPr="00F97360">
        <w:rPr>
          <w:rFonts w:ascii="Arial" w:hAnsi="Arial" w:cs="Arial"/>
          <w:sz w:val="20"/>
        </w:rPr>
        <w:t>to the extent</w:t>
      </w:r>
      <w:r w:rsidRPr="00F97360">
        <w:rPr>
          <w:rFonts w:ascii="Arial" w:hAnsi="Arial" w:cs="Arial"/>
          <w:sz w:val="20"/>
        </w:rPr>
        <w:t xml:space="preserve"> </w:t>
      </w:r>
      <w:r w:rsidR="00760122" w:rsidRPr="00F97360">
        <w:rPr>
          <w:rFonts w:ascii="Arial" w:hAnsi="Arial" w:cs="Arial"/>
          <w:sz w:val="20"/>
        </w:rPr>
        <w:t>un</w:t>
      </w:r>
      <w:r w:rsidRPr="00F97360">
        <w:rPr>
          <w:rFonts w:ascii="Arial" w:hAnsi="Arial" w:cs="Arial"/>
          <w:sz w:val="20"/>
        </w:rPr>
        <w:t>exercised</w:t>
      </w:r>
      <w:bookmarkEnd w:id="406"/>
      <w:r w:rsidRPr="00F97360">
        <w:rPr>
          <w:rFonts w:ascii="Arial" w:hAnsi="Arial" w:cs="Arial"/>
          <w:sz w:val="20"/>
        </w:rPr>
        <w:t>.</w:t>
      </w:r>
      <w:bookmarkEnd w:id="405"/>
    </w:p>
    <w:p w14:paraId="56712EFD" w14:textId="4B0B4B93" w:rsidR="007B4FB5" w:rsidRPr="00F97360" w:rsidRDefault="00C176AD" w:rsidP="007B4FB5">
      <w:pPr>
        <w:pStyle w:val="Parasubclause1"/>
        <w:rPr>
          <w:rFonts w:ascii="Arial" w:hAnsi="Arial" w:cs="Arial"/>
          <w:sz w:val="20"/>
        </w:rPr>
      </w:pPr>
      <w:r w:rsidRPr="00F97360">
        <w:rPr>
          <w:rFonts w:ascii="Arial" w:hAnsi="Arial" w:cs="Arial"/>
          <w:sz w:val="20"/>
        </w:rPr>
        <w:t>T</w:t>
      </w:r>
      <w:r w:rsidR="00D8597D" w:rsidRPr="00F97360">
        <w:rPr>
          <w:rFonts w:ascii="Arial" w:hAnsi="Arial" w:cs="Arial"/>
          <w:sz w:val="20"/>
        </w:rPr>
        <w:t xml:space="preserve">he </w:t>
      </w:r>
      <w:r w:rsidR="00D44FC6" w:rsidRPr="00F97360">
        <w:rPr>
          <w:rFonts w:ascii="Arial" w:hAnsi="Arial" w:cs="Arial"/>
          <w:sz w:val="20"/>
        </w:rPr>
        <w:t>Vesting of</w:t>
      </w:r>
      <w:r w:rsidR="00D8597D" w:rsidRPr="00F97360">
        <w:rPr>
          <w:rFonts w:ascii="Arial" w:hAnsi="Arial" w:cs="Arial"/>
          <w:sz w:val="20"/>
        </w:rPr>
        <w:t xml:space="preserve"> </w:t>
      </w:r>
      <w:r w:rsidR="00D67DB9" w:rsidRPr="00F97360">
        <w:rPr>
          <w:rFonts w:ascii="Arial" w:hAnsi="Arial" w:cs="Arial"/>
          <w:sz w:val="20"/>
        </w:rPr>
        <w:t>Award</w:t>
      </w:r>
      <w:r w:rsidR="00D62C51" w:rsidRPr="00F97360">
        <w:rPr>
          <w:rFonts w:ascii="Arial" w:hAnsi="Arial" w:cs="Arial"/>
          <w:sz w:val="20"/>
        </w:rPr>
        <w:t>s</w:t>
      </w:r>
      <w:r w:rsidR="00D8597D" w:rsidRPr="00F97360">
        <w:rPr>
          <w:rFonts w:ascii="Arial" w:hAnsi="Arial" w:cs="Arial"/>
          <w:sz w:val="20"/>
        </w:rPr>
        <w:t xml:space="preserve"> and exercise of Options shall be conditional on the extraordinary distribution </w:t>
      </w:r>
      <w:proofErr w:type="gramStart"/>
      <w:r w:rsidR="00D8597D" w:rsidRPr="00F97360">
        <w:rPr>
          <w:rFonts w:ascii="Arial" w:hAnsi="Arial" w:cs="Arial"/>
          <w:sz w:val="20"/>
        </w:rPr>
        <w:t>actually occurring</w:t>
      </w:r>
      <w:proofErr w:type="gramEnd"/>
      <w:r w:rsidR="00D8597D" w:rsidRPr="00F97360">
        <w:rPr>
          <w:rFonts w:ascii="Arial" w:hAnsi="Arial" w:cs="Arial"/>
          <w:sz w:val="20"/>
        </w:rPr>
        <w:t xml:space="preserve"> and shall be treated as having no effect if the extraordinary distribution does not occur.</w:t>
      </w:r>
    </w:p>
    <w:p w14:paraId="56712EFF" w14:textId="3BE7698E" w:rsidR="007B4FB5" w:rsidRPr="00F97360" w:rsidRDefault="00D8597D" w:rsidP="007B4FB5">
      <w:pPr>
        <w:pStyle w:val="Parasubclause1"/>
        <w:rPr>
          <w:rFonts w:ascii="Arial" w:hAnsi="Arial" w:cs="Arial"/>
          <w:sz w:val="20"/>
        </w:rPr>
      </w:pPr>
      <w:r w:rsidRPr="00F97360">
        <w:rPr>
          <w:rFonts w:ascii="Arial" w:hAnsi="Arial" w:cs="Arial"/>
          <w:sz w:val="20"/>
        </w:rPr>
        <w:lastRenderedPageBreak/>
        <w:t xml:space="preserve">If the </w:t>
      </w:r>
      <w:r w:rsidR="00623047" w:rsidRPr="00F97360">
        <w:rPr>
          <w:rFonts w:ascii="Arial" w:hAnsi="Arial" w:cs="Arial"/>
          <w:sz w:val="20"/>
        </w:rPr>
        <w:t>Remuneration Committee</w:t>
      </w:r>
      <w:r w:rsidRPr="00F97360">
        <w:rPr>
          <w:rFonts w:ascii="Arial" w:hAnsi="Arial" w:cs="Arial"/>
          <w:sz w:val="20"/>
        </w:rPr>
        <w:t xml:space="preserve"> does not determine that </w:t>
      </w:r>
      <w:r w:rsidR="00D67DB9" w:rsidRPr="00F97360">
        <w:rPr>
          <w:rFonts w:ascii="Arial" w:hAnsi="Arial" w:cs="Arial"/>
          <w:sz w:val="20"/>
        </w:rPr>
        <w:t>Award</w:t>
      </w:r>
      <w:r w:rsidR="00D62C51" w:rsidRPr="00F97360">
        <w:rPr>
          <w:rFonts w:ascii="Arial" w:hAnsi="Arial" w:cs="Arial"/>
          <w:sz w:val="20"/>
        </w:rPr>
        <w:t>s</w:t>
      </w:r>
      <w:r w:rsidRPr="00F97360">
        <w:rPr>
          <w:rFonts w:ascii="Arial" w:hAnsi="Arial" w:cs="Arial"/>
          <w:sz w:val="20"/>
        </w:rPr>
        <w:t xml:space="preserve"> shall </w:t>
      </w:r>
      <w:r w:rsidR="00D44FC6" w:rsidRPr="00F97360">
        <w:rPr>
          <w:rFonts w:ascii="Arial" w:hAnsi="Arial" w:cs="Arial"/>
          <w:sz w:val="20"/>
        </w:rPr>
        <w:t>Vest</w:t>
      </w:r>
      <w:r w:rsidRPr="00F97360">
        <w:rPr>
          <w:rFonts w:ascii="Arial" w:hAnsi="Arial" w:cs="Arial"/>
          <w:sz w:val="20"/>
        </w:rPr>
        <w:t xml:space="preserve"> and Options may be exercised, the </w:t>
      </w:r>
      <w:r w:rsidR="00623047" w:rsidRPr="00F97360">
        <w:rPr>
          <w:rFonts w:ascii="Arial" w:hAnsi="Arial" w:cs="Arial"/>
          <w:sz w:val="20"/>
        </w:rPr>
        <w:t>Remuneration Committee</w:t>
      </w:r>
      <w:r w:rsidRPr="00F97360">
        <w:rPr>
          <w:rFonts w:ascii="Arial" w:hAnsi="Arial" w:cs="Arial"/>
          <w:sz w:val="20"/>
        </w:rPr>
        <w:t xml:space="preserve"> may nevertheless make an adjustment to the </w:t>
      </w:r>
      <w:r w:rsidR="00D67DB9" w:rsidRPr="00F97360">
        <w:rPr>
          <w:rFonts w:ascii="Arial" w:hAnsi="Arial" w:cs="Arial"/>
          <w:sz w:val="20"/>
        </w:rPr>
        <w:t>Award</w:t>
      </w:r>
      <w:r w:rsidR="00D62C51" w:rsidRPr="00F97360">
        <w:rPr>
          <w:rFonts w:ascii="Arial" w:hAnsi="Arial" w:cs="Arial"/>
          <w:sz w:val="20"/>
        </w:rPr>
        <w:t>s</w:t>
      </w:r>
      <w:r w:rsidRPr="00F97360">
        <w:rPr>
          <w:rFonts w:ascii="Arial" w:hAnsi="Arial" w:cs="Arial"/>
          <w:sz w:val="20"/>
        </w:rPr>
        <w:t xml:space="preserve"> under </w:t>
      </w:r>
      <w:r w:rsidRPr="00F97360">
        <w:rPr>
          <w:rFonts w:ascii="Arial" w:hAnsi="Arial" w:cs="Arial"/>
          <w:sz w:val="20"/>
        </w:rPr>
        <w:fldChar w:fldCharType="begin"/>
      </w:r>
      <w:r w:rsidRPr="00F97360">
        <w:rPr>
          <w:rFonts w:ascii="Arial" w:hAnsi="Arial" w:cs="Arial"/>
          <w:sz w:val="20"/>
        </w:rPr>
        <w:instrText>PAGEREF a590698\# "'rule '"  \h</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 xml:space="preserve">rule </w:t>
      </w:r>
      <w:r w:rsidRPr="00F97360">
        <w:rPr>
          <w:rFonts w:ascii="Arial" w:hAnsi="Arial" w:cs="Arial"/>
          <w:sz w:val="20"/>
        </w:rPr>
        <w:fldChar w:fldCharType="end"/>
      </w:r>
      <w:r w:rsidRPr="00F97360">
        <w:rPr>
          <w:rFonts w:ascii="Arial" w:hAnsi="Arial" w:cs="Arial"/>
          <w:sz w:val="20"/>
        </w:rPr>
        <w:fldChar w:fldCharType="begin"/>
      </w:r>
      <w:r w:rsidRPr="00F97360">
        <w:rPr>
          <w:rFonts w:ascii="Arial" w:hAnsi="Arial" w:cs="Arial"/>
          <w:sz w:val="20"/>
          <w:highlight w:val="lightGray"/>
        </w:rPr>
        <w:instrText>REF a590698 \h \w</w:instrText>
      </w:r>
      <w:r w:rsidR="0037270F"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highlight w:val="lightGray"/>
        </w:rPr>
        <w:t>22.3</w:t>
      </w:r>
      <w:r w:rsidRPr="00F97360">
        <w:rPr>
          <w:rFonts w:ascii="Arial" w:hAnsi="Arial" w:cs="Arial"/>
          <w:sz w:val="20"/>
        </w:rPr>
        <w:fldChar w:fldCharType="end"/>
      </w:r>
      <w:r w:rsidRPr="00F97360">
        <w:rPr>
          <w:rFonts w:ascii="Arial" w:hAnsi="Arial" w:cs="Arial"/>
          <w:sz w:val="20"/>
        </w:rPr>
        <w:t>.</w:t>
      </w:r>
    </w:p>
    <w:p w14:paraId="56712F00" w14:textId="75F0EA03" w:rsidR="007B4FB5" w:rsidRPr="00F97360" w:rsidRDefault="00D8597D" w:rsidP="007B4FB5">
      <w:pPr>
        <w:pStyle w:val="Untitledsubclause1"/>
        <w:rPr>
          <w:rFonts w:ascii="Arial" w:hAnsi="Arial" w:cs="Arial"/>
          <w:sz w:val="20"/>
        </w:rPr>
      </w:pPr>
      <w:bookmarkStart w:id="407" w:name="a590698"/>
      <w:r w:rsidRPr="00F97360">
        <w:rPr>
          <w:rFonts w:ascii="Arial" w:hAnsi="Arial" w:cs="Arial"/>
          <w:sz w:val="20"/>
        </w:rPr>
        <w:t>If a</w:t>
      </w:r>
      <w:r w:rsidR="00437A55" w:rsidRPr="00F97360">
        <w:rPr>
          <w:rFonts w:ascii="Arial" w:hAnsi="Arial" w:cs="Arial"/>
          <w:sz w:val="20"/>
        </w:rPr>
        <w:t xml:space="preserve">n event within </w:t>
      </w:r>
      <w:r w:rsidR="00437A55" w:rsidRPr="00F97360">
        <w:rPr>
          <w:rFonts w:ascii="Arial" w:hAnsi="Arial" w:cs="Arial"/>
          <w:sz w:val="20"/>
        </w:rPr>
        <w:fldChar w:fldCharType="begin"/>
      </w:r>
      <w:r w:rsidR="00437A55" w:rsidRPr="00F97360">
        <w:rPr>
          <w:rFonts w:ascii="Arial" w:hAnsi="Arial" w:cs="Arial"/>
          <w:sz w:val="20"/>
        </w:rPr>
        <w:instrText xml:space="preserve"> REF a733271 \r \h </w:instrText>
      </w:r>
      <w:r w:rsidR="001F3A28" w:rsidRPr="0059105D">
        <w:rPr>
          <w:rFonts w:ascii="Arial" w:hAnsi="Arial" w:cs="Arial"/>
          <w:sz w:val="20"/>
        </w:rPr>
        <w:instrText xml:space="preserve"> \* MERGEFORMAT </w:instrText>
      </w:r>
      <w:r w:rsidR="00437A55" w:rsidRPr="00F97360">
        <w:rPr>
          <w:rFonts w:ascii="Arial" w:hAnsi="Arial" w:cs="Arial"/>
          <w:sz w:val="20"/>
        </w:rPr>
      </w:r>
      <w:r w:rsidR="00437A55" w:rsidRPr="00F97360">
        <w:rPr>
          <w:rFonts w:ascii="Arial" w:hAnsi="Arial" w:cs="Arial"/>
          <w:sz w:val="20"/>
        </w:rPr>
        <w:fldChar w:fldCharType="separate"/>
      </w:r>
      <w:r w:rsidR="00710210" w:rsidRPr="00F97360">
        <w:rPr>
          <w:rFonts w:ascii="Arial" w:hAnsi="Arial" w:cs="Arial"/>
          <w:sz w:val="20"/>
        </w:rPr>
        <w:t>22.1</w:t>
      </w:r>
      <w:r w:rsidR="00437A55" w:rsidRPr="00F97360">
        <w:rPr>
          <w:rFonts w:ascii="Arial" w:hAnsi="Arial" w:cs="Arial"/>
          <w:sz w:val="20"/>
        </w:rPr>
        <w:fldChar w:fldCharType="end"/>
      </w:r>
      <w:r w:rsidR="00437A55" w:rsidRPr="00F97360">
        <w:rPr>
          <w:rFonts w:ascii="Arial" w:hAnsi="Arial" w:cs="Arial"/>
          <w:sz w:val="20"/>
        </w:rPr>
        <w:t xml:space="preserve"> occurs </w:t>
      </w:r>
      <w:r w:rsidRPr="00F97360">
        <w:rPr>
          <w:rFonts w:ascii="Arial" w:hAnsi="Arial" w:cs="Arial"/>
          <w:sz w:val="20"/>
        </w:rPr>
        <w:t xml:space="preserve">and the </w:t>
      </w:r>
      <w:r w:rsidR="00623047" w:rsidRPr="00F97360">
        <w:rPr>
          <w:rFonts w:ascii="Arial" w:hAnsi="Arial" w:cs="Arial"/>
          <w:sz w:val="20"/>
        </w:rPr>
        <w:t>Remuneration Committee</w:t>
      </w:r>
      <w:r w:rsidRPr="00F97360">
        <w:rPr>
          <w:rFonts w:ascii="Arial" w:hAnsi="Arial" w:cs="Arial"/>
          <w:sz w:val="20"/>
        </w:rPr>
        <w:t xml:space="preserve"> considers that it</w:t>
      </w:r>
      <w:r w:rsidR="00437A55" w:rsidRPr="00F97360">
        <w:rPr>
          <w:rFonts w:ascii="Arial" w:hAnsi="Arial" w:cs="Arial"/>
          <w:sz w:val="20"/>
        </w:rPr>
        <w:t xml:space="preserve"> may affect or has affected the current or future value of Shares</w:t>
      </w:r>
      <w:r w:rsidRPr="00F97360">
        <w:rPr>
          <w:rFonts w:ascii="Arial" w:hAnsi="Arial" w:cs="Arial"/>
          <w:sz w:val="20"/>
        </w:rPr>
        <w:t xml:space="preserve">, the </w:t>
      </w:r>
      <w:r w:rsidR="00623047" w:rsidRPr="00F97360">
        <w:rPr>
          <w:rFonts w:ascii="Arial" w:hAnsi="Arial" w:cs="Arial"/>
          <w:sz w:val="20"/>
        </w:rPr>
        <w:t>Remuneration Committee</w:t>
      </w:r>
      <w:r w:rsidRPr="00F97360">
        <w:rPr>
          <w:rFonts w:ascii="Arial" w:hAnsi="Arial" w:cs="Arial"/>
          <w:sz w:val="20"/>
        </w:rPr>
        <w:t xml:space="preserve"> </w:t>
      </w:r>
      <w:r w:rsidR="00867CDF" w:rsidRPr="00F97360">
        <w:rPr>
          <w:rFonts w:ascii="Arial" w:hAnsi="Arial" w:cs="Arial"/>
          <w:sz w:val="20"/>
        </w:rPr>
        <w:t>may</w:t>
      </w:r>
      <w:r w:rsidRPr="00F97360">
        <w:rPr>
          <w:rFonts w:ascii="Arial" w:hAnsi="Arial" w:cs="Arial"/>
          <w:sz w:val="20"/>
        </w:rPr>
        <w:t xml:space="preserve"> make such adjustment as it considers appropriate to:</w:t>
      </w:r>
      <w:bookmarkEnd w:id="407"/>
    </w:p>
    <w:p w14:paraId="56712F01" w14:textId="5D7D76DA" w:rsidR="007B4FB5" w:rsidRPr="00F97360" w:rsidRDefault="00D8597D" w:rsidP="00F97360">
      <w:pPr>
        <w:pStyle w:val="Untitledsubclause2"/>
        <w:tabs>
          <w:tab w:val="clear" w:pos="1554"/>
          <w:tab w:val="num" w:pos="1985"/>
        </w:tabs>
        <w:ind w:left="1985"/>
        <w:rPr>
          <w:rFonts w:ascii="Arial" w:hAnsi="Arial" w:cs="Arial"/>
          <w:sz w:val="20"/>
        </w:rPr>
      </w:pPr>
      <w:bookmarkStart w:id="408" w:name="a64726"/>
      <w:r w:rsidRPr="00F97360">
        <w:rPr>
          <w:rFonts w:ascii="Arial" w:hAnsi="Arial" w:cs="Arial"/>
          <w:sz w:val="20"/>
        </w:rPr>
        <w:t xml:space="preserve">the number of Shares subject to the </w:t>
      </w:r>
      <w:r w:rsidR="00D67DB9" w:rsidRPr="00F97360">
        <w:rPr>
          <w:rFonts w:ascii="Arial" w:hAnsi="Arial" w:cs="Arial"/>
          <w:sz w:val="20"/>
        </w:rPr>
        <w:t>Award</w:t>
      </w:r>
      <w:r w:rsidR="00ED1FB1" w:rsidRPr="00F97360">
        <w:rPr>
          <w:rFonts w:ascii="Arial" w:hAnsi="Arial" w:cs="Arial"/>
          <w:sz w:val="20"/>
        </w:rPr>
        <w:t>,</w:t>
      </w:r>
      <w:bookmarkEnd w:id="408"/>
    </w:p>
    <w:p w14:paraId="68ED2504" w14:textId="77777777" w:rsidR="00EF66A4" w:rsidRPr="00F97360" w:rsidRDefault="00D8597D" w:rsidP="00F97360">
      <w:pPr>
        <w:pStyle w:val="Untitledsubclause2"/>
        <w:tabs>
          <w:tab w:val="clear" w:pos="1554"/>
          <w:tab w:val="num" w:pos="1985"/>
        </w:tabs>
        <w:ind w:left="1985"/>
        <w:rPr>
          <w:rFonts w:ascii="Arial" w:hAnsi="Arial" w:cs="Arial"/>
          <w:sz w:val="20"/>
        </w:rPr>
      </w:pPr>
      <w:bookmarkStart w:id="409" w:name="a733604"/>
      <w:r w:rsidRPr="00F97360">
        <w:rPr>
          <w:rFonts w:ascii="Arial" w:hAnsi="Arial" w:cs="Arial"/>
          <w:sz w:val="20"/>
        </w:rPr>
        <w:t xml:space="preserve">the class </w:t>
      </w:r>
      <w:r w:rsidR="00941CB6" w:rsidRPr="00F97360">
        <w:rPr>
          <w:rFonts w:ascii="Arial" w:hAnsi="Arial" w:cs="Arial"/>
          <w:sz w:val="20"/>
        </w:rPr>
        <w:t>and nominal value of s</w:t>
      </w:r>
      <w:r w:rsidRPr="00F97360">
        <w:rPr>
          <w:rFonts w:ascii="Arial" w:hAnsi="Arial" w:cs="Arial"/>
          <w:sz w:val="20"/>
        </w:rPr>
        <w:t xml:space="preserve">hares subject to the </w:t>
      </w:r>
      <w:r w:rsidR="00D67DB9" w:rsidRPr="00F97360">
        <w:rPr>
          <w:rFonts w:ascii="Arial" w:hAnsi="Arial" w:cs="Arial"/>
          <w:sz w:val="20"/>
        </w:rPr>
        <w:t>Award</w:t>
      </w:r>
      <w:bookmarkStart w:id="410" w:name="a726968"/>
      <w:r w:rsidR="00EF66A4" w:rsidRPr="00F97360">
        <w:rPr>
          <w:rFonts w:ascii="Arial" w:hAnsi="Arial" w:cs="Arial"/>
          <w:sz w:val="20"/>
        </w:rPr>
        <w:t>, and</w:t>
      </w:r>
    </w:p>
    <w:p w14:paraId="56712F02" w14:textId="7FAC528D" w:rsidR="007B4FB5" w:rsidRPr="00F97360" w:rsidRDefault="00EF66A4" w:rsidP="00F97360">
      <w:pPr>
        <w:pStyle w:val="Untitledsubclause2"/>
        <w:tabs>
          <w:tab w:val="clear" w:pos="1554"/>
          <w:tab w:val="num" w:pos="1985"/>
        </w:tabs>
        <w:ind w:left="1985"/>
        <w:rPr>
          <w:rFonts w:ascii="Arial" w:hAnsi="Arial" w:cs="Arial"/>
          <w:sz w:val="20"/>
        </w:rPr>
      </w:pPr>
      <w:r w:rsidRPr="00F97360">
        <w:rPr>
          <w:rFonts w:ascii="Arial" w:hAnsi="Arial" w:cs="Arial"/>
          <w:sz w:val="20"/>
        </w:rPr>
        <w:t>any Performance Condition to which the Award is subject</w:t>
      </w:r>
      <w:r w:rsidR="00ED1FB1" w:rsidRPr="00F97360">
        <w:rPr>
          <w:rFonts w:ascii="Arial" w:hAnsi="Arial" w:cs="Arial"/>
          <w:sz w:val="20"/>
        </w:rPr>
        <w:t>.</w:t>
      </w:r>
      <w:bookmarkEnd w:id="409"/>
      <w:bookmarkEnd w:id="410"/>
    </w:p>
    <w:p w14:paraId="56712F03" w14:textId="64997AA4" w:rsidR="00CD2804" w:rsidRPr="00F97360" w:rsidRDefault="007B4FB5" w:rsidP="00F251AF">
      <w:pPr>
        <w:pStyle w:val="Untitledsubclause1"/>
        <w:shd w:val="clear" w:color="auto" w:fill="FFFFFF"/>
        <w:spacing w:after="0" w:line="293" w:lineRule="atLeast"/>
        <w:ind w:right="180"/>
        <w:textAlignment w:val="baseline"/>
        <w:rPr>
          <w:rFonts w:ascii="Arial" w:hAnsi="Arial" w:cs="Arial"/>
          <w:sz w:val="20"/>
        </w:rPr>
      </w:pPr>
      <w:r w:rsidRPr="00F97360">
        <w:rPr>
          <w:rFonts w:ascii="Arial" w:hAnsi="Arial" w:cs="Arial"/>
          <w:sz w:val="20"/>
        </w:rPr>
        <w:t xml:space="preserve">The </w:t>
      </w:r>
      <w:bookmarkStart w:id="411" w:name="a481297"/>
      <w:r w:rsidR="00623047" w:rsidRPr="00F97360">
        <w:rPr>
          <w:rFonts w:ascii="Arial" w:hAnsi="Arial" w:cs="Arial"/>
          <w:sz w:val="20"/>
        </w:rPr>
        <w:t>Remuneration Committee</w:t>
      </w:r>
      <w:r w:rsidR="00D8597D" w:rsidRPr="00F97360">
        <w:rPr>
          <w:rFonts w:ascii="Arial" w:hAnsi="Arial" w:cs="Arial"/>
          <w:sz w:val="20"/>
        </w:rPr>
        <w:t xml:space="preserve"> may take any actions it considers necessary to notify all affected Award Holders of any decision made under this </w:t>
      </w:r>
      <w:r w:rsidR="00D8597D" w:rsidRPr="00F97360">
        <w:rPr>
          <w:rFonts w:ascii="Arial" w:hAnsi="Arial" w:cs="Arial"/>
          <w:sz w:val="20"/>
        </w:rPr>
        <w:fldChar w:fldCharType="begin"/>
      </w:r>
      <w:r w:rsidR="00D8597D" w:rsidRPr="00F97360">
        <w:rPr>
          <w:rFonts w:ascii="Arial" w:hAnsi="Arial" w:cs="Arial"/>
          <w:sz w:val="20"/>
        </w:rPr>
        <w:instrText>PAGEREF a129837\# "'rule '"  \h</w:instrText>
      </w:r>
      <w:r w:rsidR="00D8597D" w:rsidRPr="00F97360">
        <w:rPr>
          <w:rFonts w:ascii="Arial" w:hAnsi="Arial" w:cs="Arial"/>
          <w:sz w:val="20"/>
        </w:rPr>
      </w:r>
      <w:r w:rsidR="00D8597D" w:rsidRPr="00F97360">
        <w:rPr>
          <w:rFonts w:ascii="Arial" w:hAnsi="Arial" w:cs="Arial"/>
          <w:sz w:val="20"/>
        </w:rPr>
        <w:fldChar w:fldCharType="separate"/>
      </w:r>
      <w:r w:rsidR="00710210" w:rsidRPr="00F97360">
        <w:rPr>
          <w:rFonts w:ascii="Arial" w:hAnsi="Arial" w:cs="Arial"/>
          <w:sz w:val="20"/>
        </w:rPr>
        <w:t xml:space="preserve">rule </w:t>
      </w:r>
      <w:r w:rsidR="00D8597D" w:rsidRPr="00F97360">
        <w:rPr>
          <w:rFonts w:ascii="Arial" w:hAnsi="Arial" w:cs="Arial"/>
          <w:sz w:val="20"/>
        </w:rPr>
        <w:fldChar w:fldCharType="end"/>
      </w:r>
      <w:r w:rsidR="00D8597D" w:rsidRPr="00F97360">
        <w:rPr>
          <w:rFonts w:ascii="Arial" w:hAnsi="Arial" w:cs="Arial"/>
          <w:sz w:val="20"/>
        </w:rPr>
        <w:fldChar w:fldCharType="begin"/>
      </w:r>
      <w:r w:rsidR="00D8597D" w:rsidRPr="00F97360">
        <w:rPr>
          <w:rFonts w:ascii="Arial" w:hAnsi="Arial" w:cs="Arial"/>
          <w:sz w:val="20"/>
        </w:rPr>
        <w:instrText xml:space="preserve">REF a129837 \h \w \* MERGEFORMAT </w:instrText>
      </w:r>
      <w:r w:rsidR="00D8597D" w:rsidRPr="00F97360">
        <w:rPr>
          <w:rFonts w:ascii="Arial" w:hAnsi="Arial" w:cs="Arial"/>
          <w:sz w:val="20"/>
        </w:rPr>
      </w:r>
      <w:r w:rsidR="00D8597D" w:rsidRPr="00F97360">
        <w:rPr>
          <w:rFonts w:ascii="Arial" w:hAnsi="Arial" w:cs="Arial"/>
          <w:sz w:val="20"/>
        </w:rPr>
        <w:fldChar w:fldCharType="separate"/>
      </w:r>
      <w:r w:rsidR="00710210" w:rsidRPr="00F97360">
        <w:rPr>
          <w:rFonts w:ascii="Arial" w:hAnsi="Arial" w:cs="Arial"/>
          <w:sz w:val="20"/>
        </w:rPr>
        <w:t>22</w:t>
      </w:r>
      <w:r w:rsidR="00D8597D" w:rsidRPr="00F97360">
        <w:rPr>
          <w:rFonts w:ascii="Arial" w:hAnsi="Arial" w:cs="Arial"/>
          <w:sz w:val="20"/>
        </w:rPr>
        <w:fldChar w:fldCharType="end"/>
      </w:r>
      <w:r w:rsidR="00D8597D" w:rsidRPr="00F97360">
        <w:rPr>
          <w:rFonts w:ascii="Arial" w:hAnsi="Arial" w:cs="Arial"/>
          <w:sz w:val="20"/>
        </w:rPr>
        <w:t xml:space="preserve"> </w:t>
      </w:r>
      <w:bookmarkEnd w:id="411"/>
      <w:r w:rsidR="00D8597D" w:rsidRPr="00F97360">
        <w:rPr>
          <w:rFonts w:ascii="Arial" w:hAnsi="Arial" w:cs="Arial"/>
          <w:sz w:val="20"/>
        </w:rPr>
        <w:t xml:space="preserve">and may call in, cancel, endorse, issue or re-issue any </w:t>
      </w:r>
      <w:r w:rsidR="00CE51D0" w:rsidRPr="00F97360">
        <w:rPr>
          <w:rFonts w:ascii="Arial" w:hAnsi="Arial" w:cs="Arial"/>
          <w:sz w:val="20"/>
        </w:rPr>
        <w:t>Award Certificate</w:t>
      </w:r>
      <w:r w:rsidR="00D8597D" w:rsidRPr="00F97360">
        <w:rPr>
          <w:rFonts w:ascii="Arial" w:hAnsi="Arial" w:cs="Arial"/>
          <w:sz w:val="20"/>
        </w:rPr>
        <w:t xml:space="preserve"> as a result of any adjustment(s).</w:t>
      </w:r>
    </w:p>
    <w:p w14:paraId="56712F04" w14:textId="77777777" w:rsidR="007B4FB5" w:rsidRPr="00F97360" w:rsidRDefault="00D8597D" w:rsidP="007B4FB5">
      <w:pPr>
        <w:pStyle w:val="TitleClause"/>
        <w:rPr>
          <w:rFonts w:ascii="Arial" w:hAnsi="Arial" w:cs="Arial"/>
          <w:sz w:val="20"/>
        </w:rPr>
      </w:pPr>
      <w:r w:rsidRPr="00F97360">
        <w:rPr>
          <w:rFonts w:ascii="Arial" w:hAnsi="Arial" w:cs="Arial"/>
          <w:sz w:val="20"/>
        </w:rPr>
        <w:fldChar w:fldCharType="begin"/>
      </w:r>
      <w:r w:rsidRPr="00F97360">
        <w:rPr>
          <w:rFonts w:ascii="Arial" w:hAnsi="Arial" w:cs="Arial"/>
          <w:sz w:val="20"/>
        </w:rPr>
        <w:instrText>TC "23. Tax liabilities" \l 1</w:instrText>
      </w:r>
      <w:r w:rsidRPr="00F97360">
        <w:rPr>
          <w:rFonts w:ascii="Arial" w:hAnsi="Arial" w:cs="Arial"/>
          <w:sz w:val="20"/>
        </w:rPr>
        <w:fldChar w:fldCharType="end"/>
      </w:r>
      <w:bookmarkStart w:id="412" w:name="a353805"/>
      <w:bookmarkStart w:id="413" w:name="_Toc105671036"/>
      <w:bookmarkStart w:id="414" w:name="_Toc103273412"/>
      <w:bookmarkStart w:id="415" w:name="_Toc145339793"/>
      <w:bookmarkStart w:id="416" w:name="_Toc131682143"/>
      <w:bookmarkStart w:id="417" w:name="_Toc161658076"/>
      <w:r w:rsidRPr="00F97360">
        <w:rPr>
          <w:rFonts w:ascii="Arial" w:hAnsi="Arial" w:cs="Arial"/>
          <w:sz w:val="20"/>
        </w:rPr>
        <w:t xml:space="preserve">Tax </w:t>
      </w:r>
      <w:proofErr w:type="gramStart"/>
      <w:r w:rsidRPr="00F97360">
        <w:rPr>
          <w:rFonts w:ascii="Arial" w:hAnsi="Arial" w:cs="Arial"/>
          <w:sz w:val="20"/>
        </w:rPr>
        <w:t>liabilities</w:t>
      </w:r>
      <w:bookmarkEnd w:id="412"/>
      <w:bookmarkEnd w:id="413"/>
      <w:bookmarkEnd w:id="414"/>
      <w:bookmarkEnd w:id="415"/>
      <w:bookmarkEnd w:id="416"/>
      <w:bookmarkEnd w:id="417"/>
      <w:proofErr w:type="gramEnd"/>
    </w:p>
    <w:p w14:paraId="56712F05" w14:textId="584BFD02" w:rsidR="00613D5A" w:rsidRPr="00F97360" w:rsidRDefault="00D8597D" w:rsidP="007B4FB5">
      <w:pPr>
        <w:pStyle w:val="Untitledsubclause1"/>
        <w:rPr>
          <w:rFonts w:ascii="Arial" w:hAnsi="Arial" w:cs="Arial"/>
          <w:sz w:val="20"/>
        </w:rPr>
      </w:pPr>
      <w:bookmarkStart w:id="418" w:name="_Ref79578931"/>
      <w:bookmarkStart w:id="419" w:name="a108464"/>
      <w:r w:rsidRPr="00F97360">
        <w:rPr>
          <w:rFonts w:ascii="Arial" w:hAnsi="Arial" w:cs="Arial"/>
          <w:sz w:val="20"/>
        </w:rPr>
        <w:t xml:space="preserve">Each Award Holder unconditionally and irrevocably agrees as a </w:t>
      </w:r>
      <w:r w:rsidR="007E7773" w:rsidRPr="00F97360">
        <w:rPr>
          <w:rFonts w:ascii="Arial" w:hAnsi="Arial" w:cs="Arial"/>
          <w:sz w:val="20"/>
        </w:rPr>
        <w:t>term</w:t>
      </w:r>
      <w:r w:rsidRPr="00F97360">
        <w:rPr>
          <w:rFonts w:ascii="Arial" w:hAnsi="Arial" w:cs="Arial"/>
          <w:sz w:val="20"/>
        </w:rPr>
        <w:t xml:space="preserve"> of the </w:t>
      </w:r>
      <w:r w:rsidR="00E72045" w:rsidRPr="00F97360">
        <w:rPr>
          <w:rFonts w:ascii="Arial" w:hAnsi="Arial" w:cs="Arial"/>
          <w:sz w:val="20"/>
        </w:rPr>
        <w:t xml:space="preserve">grant, holding </w:t>
      </w:r>
      <w:r w:rsidR="005B2022" w:rsidRPr="00F97360">
        <w:rPr>
          <w:rFonts w:ascii="Arial" w:hAnsi="Arial" w:cs="Arial"/>
          <w:sz w:val="20"/>
        </w:rPr>
        <w:t xml:space="preserve">and </w:t>
      </w:r>
      <w:r w:rsidR="00D44FC6" w:rsidRPr="00F97360">
        <w:rPr>
          <w:rFonts w:ascii="Arial" w:hAnsi="Arial" w:cs="Arial"/>
          <w:sz w:val="20"/>
        </w:rPr>
        <w:t>Vesting of</w:t>
      </w:r>
      <w:r w:rsidR="005B2022" w:rsidRPr="00F97360">
        <w:rPr>
          <w:rFonts w:ascii="Arial" w:hAnsi="Arial" w:cs="Arial"/>
          <w:sz w:val="20"/>
        </w:rPr>
        <w:t xml:space="preserve"> </w:t>
      </w:r>
      <w:r w:rsidR="00AA32FF" w:rsidRPr="00F97360">
        <w:rPr>
          <w:rFonts w:ascii="Arial" w:hAnsi="Arial" w:cs="Arial"/>
          <w:sz w:val="20"/>
        </w:rPr>
        <w:t>a</w:t>
      </w:r>
      <w:r w:rsidR="00A46360" w:rsidRPr="00F97360">
        <w:rPr>
          <w:rFonts w:ascii="Arial" w:hAnsi="Arial" w:cs="Arial"/>
          <w:sz w:val="20"/>
        </w:rPr>
        <w:t>n</w:t>
      </w:r>
      <w:r w:rsidR="00AA32FF" w:rsidRPr="00F97360">
        <w:rPr>
          <w:rFonts w:ascii="Arial" w:hAnsi="Arial" w:cs="Arial"/>
          <w:sz w:val="20"/>
        </w:rPr>
        <w:t xml:space="preserve"> </w:t>
      </w:r>
      <w:r w:rsidR="00D67DB9" w:rsidRPr="00F97360">
        <w:rPr>
          <w:rFonts w:ascii="Arial" w:hAnsi="Arial" w:cs="Arial"/>
          <w:sz w:val="20"/>
        </w:rPr>
        <w:t>Award</w:t>
      </w:r>
      <w:r w:rsidR="005B2022" w:rsidRPr="00F97360">
        <w:rPr>
          <w:rFonts w:ascii="Arial" w:hAnsi="Arial" w:cs="Arial"/>
          <w:sz w:val="20"/>
        </w:rPr>
        <w:t xml:space="preserve"> </w:t>
      </w:r>
      <w:r w:rsidR="00E72045" w:rsidRPr="00F97360">
        <w:rPr>
          <w:rFonts w:ascii="Arial" w:hAnsi="Arial" w:cs="Arial"/>
          <w:sz w:val="20"/>
        </w:rPr>
        <w:t xml:space="preserve">(and the </w:t>
      </w:r>
      <w:r w:rsidR="005B2022" w:rsidRPr="00F97360">
        <w:rPr>
          <w:rFonts w:ascii="Arial" w:hAnsi="Arial" w:cs="Arial"/>
          <w:sz w:val="20"/>
        </w:rPr>
        <w:t>exercise of an Option</w:t>
      </w:r>
      <w:r w:rsidR="00E72045" w:rsidRPr="00F97360">
        <w:rPr>
          <w:rFonts w:ascii="Arial" w:hAnsi="Arial" w:cs="Arial"/>
          <w:sz w:val="20"/>
        </w:rPr>
        <w:t>),</w:t>
      </w:r>
      <w:r w:rsidR="005B2022" w:rsidRPr="00F97360">
        <w:rPr>
          <w:rFonts w:ascii="Arial" w:hAnsi="Arial" w:cs="Arial"/>
          <w:sz w:val="20"/>
        </w:rPr>
        <w:t xml:space="preserve"> </w:t>
      </w:r>
      <w:r w:rsidR="00E72045" w:rsidRPr="00F97360">
        <w:rPr>
          <w:rFonts w:ascii="Arial" w:hAnsi="Arial" w:cs="Arial"/>
          <w:sz w:val="20"/>
        </w:rPr>
        <w:t>a</w:t>
      </w:r>
      <w:r w:rsidRPr="00F97360">
        <w:rPr>
          <w:rFonts w:ascii="Arial" w:hAnsi="Arial" w:cs="Arial"/>
          <w:sz w:val="20"/>
        </w:rPr>
        <w:t xml:space="preserve">nd any right to receive any Shares, </w:t>
      </w:r>
      <w:proofErr w:type="gramStart"/>
      <w:r w:rsidRPr="00F97360">
        <w:rPr>
          <w:rFonts w:ascii="Arial" w:hAnsi="Arial" w:cs="Arial"/>
          <w:sz w:val="20"/>
        </w:rPr>
        <w:t>cash</w:t>
      </w:r>
      <w:proofErr w:type="gramEnd"/>
      <w:r w:rsidRPr="00F97360">
        <w:rPr>
          <w:rFonts w:ascii="Arial" w:hAnsi="Arial" w:cs="Arial"/>
          <w:sz w:val="20"/>
        </w:rPr>
        <w:t xml:space="preserve"> or other benefit under the Plan in relation to their </w:t>
      </w:r>
      <w:r w:rsidR="00D67DB9" w:rsidRPr="00F97360">
        <w:rPr>
          <w:rFonts w:ascii="Arial" w:hAnsi="Arial" w:cs="Arial"/>
          <w:sz w:val="20"/>
        </w:rPr>
        <w:t>Award</w:t>
      </w:r>
      <w:r w:rsidRPr="00F97360">
        <w:rPr>
          <w:rFonts w:ascii="Arial" w:hAnsi="Arial" w:cs="Arial"/>
          <w:sz w:val="20"/>
        </w:rPr>
        <w:t>:</w:t>
      </w:r>
      <w:bookmarkEnd w:id="418"/>
    </w:p>
    <w:p w14:paraId="56712F06" w14:textId="77777777" w:rsidR="00613D5A" w:rsidRPr="00F97360" w:rsidRDefault="00D8597D" w:rsidP="00F97360">
      <w:pPr>
        <w:pStyle w:val="Untitledsubclause2"/>
        <w:tabs>
          <w:tab w:val="clear" w:pos="1554"/>
          <w:tab w:val="num" w:pos="1985"/>
        </w:tabs>
        <w:ind w:left="1985"/>
        <w:rPr>
          <w:rFonts w:ascii="Arial" w:hAnsi="Arial" w:cs="Arial"/>
          <w:sz w:val="20"/>
        </w:rPr>
      </w:pPr>
      <w:bookmarkStart w:id="420" w:name="a682727"/>
      <w:r w:rsidRPr="00F97360">
        <w:rPr>
          <w:rFonts w:ascii="Arial" w:hAnsi="Arial" w:cs="Arial"/>
          <w:sz w:val="20"/>
        </w:rPr>
        <w:t xml:space="preserve">to pay the Tax Liability to the </w:t>
      </w:r>
      <w:r w:rsidR="00C165BD" w:rsidRPr="00F97360">
        <w:rPr>
          <w:rFonts w:ascii="Arial" w:hAnsi="Arial" w:cs="Arial"/>
          <w:sz w:val="20"/>
        </w:rPr>
        <w:t xml:space="preserve">Relevant </w:t>
      </w:r>
      <w:proofErr w:type="gramStart"/>
      <w:r w:rsidR="00C165BD" w:rsidRPr="00F97360">
        <w:rPr>
          <w:rFonts w:ascii="Arial" w:hAnsi="Arial" w:cs="Arial"/>
          <w:sz w:val="20"/>
        </w:rPr>
        <w:t>Company</w:t>
      </w:r>
      <w:r w:rsidRPr="00F97360">
        <w:rPr>
          <w:rFonts w:ascii="Arial" w:hAnsi="Arial" w:cs="Arial"/>
          <w:sz w:val="20"/>
        </w:rPr>
        <w:t>;</w:t>
      </w:r>
      <w:bookmarkEnd w:id="420"/>
      <w:proofErr w:type="gramEnd"/>
    </w:p>
    <w:p w14:paraId="56712F07" w14:textId="78042231" w:rsidR="00613D5A" w:rsidRPr="00F97360" w:rsidRDefault="00D8597D" w:rsidP="00F97360">
      <w:pPr>
        <w:pStyle w:val="Untitledsubclause2"/>
        <w:tabs>
          <w:tab w:val="clear" w:pos="1554"/>
          <w:tab w:val="num" w:pos="1985"/>
        </w:tabs>
        <w:ind w:left="1985"/>
        <w:rPr>
          <w:rFonts w:ascii="Arial" w:hAnsi="Arial" w:cs="Arial"/>
          <w:sz w:val="20"/>
        </w:rPr>
      </w:pPr>
      <w:bookmarkStart w:id="421" w:name="a599868"/>
      <w:bookmarkStart w:id="422" w:name="_Ref150879466"/>
      <w:r w:rsidRPr="00F97360">
        <w:rPr>
          <w:rFonts w:ascii="Arial" w:hAnsi="Arial" w:cs="Arial"/>
          <w:sz w:val="20"/>
        </w:rPr>
        <w:t>to enter into arrangements to the satisfaction of the Company or Employer Company to pay the Tax Liability</w:t>
      </w:r>
      <w:bookmarkEnd w:id="421"/>
      <w:r w:rsidR="004043EE" w:rsidRPr="00F97360">
        <w:rPr>
          <w:rFonts w:ascii="Arial" w:hAnsi="Arial" w:cs="Arial"/>
          <w:sz w:val="20"/>
        </w:rPr>
        <w:t xml:space="preserve"> </w:t>
      </w:r>
      <w:r w:rsidR="00BA424A" w:rsidRPr="00F97360">
        <w:rPr>
          <w:rFonts w:ascii="Arial" w:hAnsi="Arial"/>
          <w:sz w:val="20"/>
        </w:rPr>
        <w:t>(including but not limited to (a) net settlement (i.e. the Company settling part of the Award in cash that it sends to HMRC in satisfaction of its PAYE and NIC withholding obligations) and (b) sell to cover (i.e. selling some of the Shares in which the Award Holder acquires a beneficial interest to cover such obligations))</w:t>
      </w:r>
      <w:r w:rsidRPr="00F97360">
        <w:rPr>
          <w:rFonts w:ascii="Arial" w:hAnsi="Arial" w:cs="Arial"/>
          <w:sz w:val="20"/>
        </w:rPr>
        <w:t>;</w:t>
      </w:r>
      <w:bookmarkEnd w:id="422"/>
    </w:p>
    <w:p w14:paraId="56712F08" w14:textId="77777777" w:rsidR="00613D5A" w:rsidRPr="00F97360" w:rsidRDefault="00D8597D" w:rsidP="00F97360">
      <w:pPr>
        <w:pStyle w:val="Untitledsubclause2"/>
        <w:tabs>
          <w:tab w:val="clear" w:pos="1554"/>
          <w:tab w:val="num" w:pos="1985"/>
        </w:tabs>
        <w:ind w:left="1985"/>
        <w:rPr>
          <w:rFonts w:ascii="Arial" w:hAnsi="Arial" w:cs="Arial"/>
          <w:sz w:val="20"/>
        </w:rPr>
      </w:pPr>
      <w:r w:rsidRPr="00F97360">
        <w:rPr>
          <w:rFonts w:ascii="Arial" w:hAnsi="Arial" w:cs="Arial"/>
          <w:sz w:val="20"/>
        </w:rPr>
        <w:t xml:space="preserve">to </w:t>
      </w:r>
      <w:r w:rsidR="007B4FB5" w:rsidRPr="00F97360">
        <w:rPr>
          <w:rFonts w:ascii="Arial" w:hAnsi="Arial" w:cs="Arial"/>
          <w:sz w:val="20"/>
        </w:rPr>
        <w:t>indemnify</w:t>
      </w:r>
      <w:r w:rsidRPr="00F97360">
        <w:rPr>
          <w:rFonts w:ascii="Arial" w:hAnsi="Arial" w:cs="Arial"/>
          <w:sz w:val="20"/>
        </w:rPr>
        <w:t xml:space="preserve"> and keep indemnified</w:t>
      </w:r>
      <w:r w:rsidR="007B4FB5" w:rsidRPr="00F97360">
        <w:rPr>
          <w:rFonts w:ascii="Arial" w:hAnsi="Arial" w:cs="Arial"/>
          <w:sz w:val="20"/>
        </w:rPr>
        <w:t xml:space="preserve"> the </w:t>
      </w:r>
      <w:r w:rsidR="00C165BD" w:rsidRPr="00F97360">
        <w:rPr>
          <w:rFonts w:ascii="Arial" w:hAnsi="Arial" w:cs="Arial"/>
          <w:sz w:val="20"/>
        </w:rPr>
        <w:t>Relevant Company</w:t>
      </w:r>
      <w:r w:rsidR="007B4FB5" w:rsidRPr="00F97360">
        <w:rPr>
          <w:rFonts w:ascii="Arial" w:hAnsi="Arial" w:cs="Arial"/>
          <w:sz w:val="20"/>
        </w:rPr>
        <w:t xml:space="preserve"> in respect of any Tax </w:t>
      </w:r>
      <w:proofErr w:type="gramStart"/>
      <w:r w:rsidR="007B4FB5" w:rsidRPr="00F97360">
        <w:rPr>
          <w:rFonts w:ascii="Arial" w:hAnsi="Arial" w:cs="Arial"/>
          <w:sz w:val="20"/>
        </w:rPr>
        <w:t>Liability</w:t>
      </w:r>
      <w:bookmarkEnd w:id="419"/>
      <w:r w:rsidRPr="00F97360">
        <w:rPr>
          <w:rFonts w:ascii="Arial" w:hAnsi="Arial" w:cs="Arial"/>
          <w:sz w:val="20"/>
        </w:rPr>
        <w:t>;</w:t>
      </w:r>
      <w:bookmarkStart w:id="423" w:name="a989170"/>
      <w:proofErr w:type="gramEnd"/>
    </w:p>
    <w:p w14:paraId="649F23AC" w14:textId="6B4302A2" w:rsidR="00E3098A" w:rsidRPr="00F97360" w:rsidRDefault="00D8597D" w:rsidP="00F97360">
      <w:pPr>
        <w:pStyle w:val="Untitledsubclause2"/>
        <w:tabs>
          <w:tab w:val="clear" w:pos="1554"/>
          <w:tab w:val="num" w:pos="1985"/>
        </w:tabs>
        <w:ind w:left="1985"/>
        <w:rPr>
          <w:rFonts w:ascii="Arial" w:hAnsi="Arial" w:cs="Arial"/>
          <w:sz w:val="20"/>
        </w:rPr>
      </w:pPr>
      <w:bookmarkStart w:id="424" w:name="_Ref81585642"/>
      <w:r w:rsidRPr="00F97360">
        <w:rPr>
          <w:rFonts w:ascii="Arial" w:hAnsi="Arial" w:cs="Arial"/>
          <w:sz w:val="20"/>
        </w:rPr>
        <w:t xml:space="preserve">that if they do not pay the Tax Liability to the </w:t>
      </w:r>
      <w:r w:rsidR="0086577B" w:rsidRPr="00F97360">
        <w:rPr>
          <w:rFonts w:ascii="Arial" w:hAnsi="Arial" w:cs="Arial"/>
          <w:sz w:val="20"/>
        </w:rPr>
        <w:t xml:space="preserve">Relevant </w:t>
      </w:r>
      <w:r w:rsidRPr="00F97360">
        <w:rPr>
          <w:rFonts w:ascii="Arial" w:hAnsi="Arial" w:cs="Arial"/>
          <w:sz w:val="20"/>
        </w:rPr>
        <w:t xml:space="preserve">Company within seven days of any Taxable Event, the </w:t>
      </w:r>
      <w:proofErr w:type="gramStart"/>
      <w:r w:rsidRPr="00F97360">
        <w:rPr>
          <w:rFonts w:ascii="Arial" w:hAnsi="Arial" w:cs="Arial"/>
          <w:sz w:val="20"/>
        </w:rPr>
        <w:t>Company</w:t>
      </w:r>
      <w:proofErr w:type="gramEnd"/>
      <w:r w:rsidRPr="00F97360">
        <w:rPr>
          <w:rFonts w:ascii="Arial" w:hAnsi="Arial" w:cs="Arial"/>
          <w:sz w:val="20"/>
        </w:rPr>
        <w:t xml:space="preserve"> or Employer Company, as appropriate, may:</w:t>
      </w:r>
      <w:bookmarkEnd w:id="423"/>
      <w:bookmarkEnd w:id="424"/>
    </w:p>
    <w:p w14:paraId="56712F0A" w14:textId="7805C0B1" w:rsidR="007B4FB5" w:rsidRPr="00F97360" w:rsidRDefault="00D8597D" w:rsidP="00613D5A">
      <w:pPr>
        <w:pStyle w:val="Untitledsubclause3"/>
        <w:rPr>
          <w:rFonts w:ascii="Arial" w:hAnsi="Arial" w:cs="Arial"/>
          <w:sz w:val="20"/>
        </w:rPr>
      </w:pPr>
      <w:bookmarkStart w:id="425" w:name="a380838"/>
      <w:r w:rsidRPr="00F97360">
        <w:rPr>
          <w:rFonts w:ascii="Arial" w:hAnsi="Arial" w:cs="Arial"/>
          <w:sz w:val="20"/>
        </w:rPr>
        <w:t xml:space="preserve">if the relevant Taxable Event is the exercise of </w:t>
      </w:r>
      <w:r w:rsidR="007B4FB5" w:rsidRPr="00F97360">
        <w:rPr>
          <w:rFonts w:ascii="Arial" w:hAnsi="Arial" w:cs="Arial"/>
          <w:sz w:val="20"/>
        </w:rPr>
        <w:t>an</w:t>
      </w:r>
      <w:r w:rsidR="002C01DB" w:rsidRPr="00F97360">
        <w:rPr>
          <w:rFonts w:ascii="Arial" w:hAnsi="Arial" w:cs="Arial"/>
          <w:sz w:val="20"/>
        </w:rPr>
        <w:t xml:space="preserve"> </w:t>
      </w:r>
      <w:r w:rsidRPr="00F97360">
        <w:rPr>
          <w:rFonts w:ascii="Arial" w:hAnsi="Arial" w:cs="Arial"/>
          <w:sz w:val="20"/>
        </w:rPr>
        <w:t xml:space="preserve">Option or the </w:t>
      </w:r>
      <w:r w:rsidR="00D44FC6" w:rsidRPr="00F97360">
        <w:rPr>
          <w:rFonts w:ascii="Arial" w:hAnsi="Arial" w:cs="Arial"/>
          <w:sz w:val="20"/>
        </w:rPr>
        <w:t>Vesting of</w:t>
      </w:r>
      <w:r w:rsidRPr="00F97360">
        <w:rPr>
          <w:rFonts w:ascii="Arial" w:hAnsi="Arial" w:cs="Arial"/>
          <w:sz w:val="20"/>
        </w:rPr>
        <w:t xml:space="preserve"> </w:t>
      </w:r>
      <w:r w:rsidR="007B4FB5" w:rsidRPr="00F97360">
        <w:rPr>
          <w:rFonts w:ascii="Arial" w:hAnsi="Arial" w:cs="Arial"/>
          <w:sz w:val="20"/>
        </w:rPr>
        <w:t>an</w:t>
      </w:r>
      <w:r w:rsidR="00AA32FF" w:rsidRPr="00F97360">
        <w:rPr>
          <w:rFonts w:ascii="Arial" w:hAnsi="Arial" w:cs="Arial"/>
          <w:sz w:val="20"/>
        </w:rPr>
        <w:t xml:space="preserve"> Award</w:t>
      </w:r>
      <w:r w:rsidRPr="00F97360">
        <w:rPr>
          <w:rFonts w:ascii="Arial" w:hAnsi="Arial" w:cs="Arial"/>
          <w:sz w:val="20"/>
        </w:rPr>
        <w:t>, and the Shares are readily saleable at the time, retain and sell such number of Shares on behalf of the Award Holder as is necessary to meet the Tax Liability and any costs of</w:t>
      </w:r>
      <w:r w:rsidR="00F64C71" w:rsidRPr="00F97360">
        <w:rPr>
          <w:rFonts w:ascii="Arial" w:hAnsi="Arial" w:cs="Arial"/>
          <w:sz w:val="20"/>
        </w:rPr>
        <w:t xml:space="preserve"> such</w:t>
      </w:r>
      <w:r w:rsidRPr="00F97360">
        <w:rPr>
          <w:rFonts w:ascii="Arial" w:hAnsi="Arial" w:cs="Arial"/>
          <w:sz w:val="20"/>
        </w:rPr>
        <w:t xml:space="preserve"> sale; or</w:t>
      </w:r>
      <w:bookmarkEnd w:id="425"/>
    </w:p>
    <w:p w14:paraId="56712F0B" w14:textId="18882EE7" w:rsidR="00613D5A" w:rsidRPr="00F97360" w:rsidRDefault="00D8597D" w:rsidP="00613D5A">
      <w:pPr>
        <w:pStyle w:val="Untitledsubclause3"/>
        <w:rPr>
          <w:rFonts w:ascii="Arial" w:hAnsi="Arial" w:cs="Arial"/>
          <w:sz w:val="20"/>
        </w:rPr>
      </w:pPr>
      <w:bookmarkStart w:id="426" w:name="a783000"/>
      <w:r w:rsidRPr="00F97360">
        <w:rPr>
          <w:rFonts w:ascii="Arial" w:hAnsi="Arial" w:cs="Arial"/>
          <w:sz w:val="20"/>
        </w:rPr>
        <w:t xml:space="preserve">deduct the amount of any Tax Liability from any payments of remuneration made to the Award Holder on or after the date on which the Tax Liability arose except that, in the case of NICs, the </w:t>
      </w:r>
      <w:r w:rsidR="00C165BD" w:rsidRPr="00F97360">
        <w:rPr>
          <w:rFonts w:ascii="Arial" w:hAnsi="Arial" w:cs="Arial"/>
          <w:sz w:val="20"/>
        </w:rPr>
        <w:t>Relevant Company</w:t>
      </w:r>
      <w:r w:rsidRPr="00F97360">
        <w:rPr>
          <w:rFonts w:ascii="Arial" w:hAnsi="Arial" w:cs="Arial"/>
          <w:sz w:val="20"/>
        </w:rPr>
        <w:t xml:space="preserve"> may only withhold such amount as is permitted by </w:t>
      </w:r>
      <w:r w:rsidR="00952800" w:rsidRPr="00F97360">
        <w:rPr>
          <w:rFonts w:ascii="Arial" w:hAnsi="Arial" w:cs="Arial"/>
          <w:sz w:val="20"/>
        </w:rPr>
        <w:t>law</w:t>
      </w:r>
      <w:bookmarkEnd w:id="426"/>
      <w:r w:rsidR="007E1F7B" w:rsidRPr="00F97360">
        <w:rPr>
          <w:rFonts w:ascii="Arial" w:hAnsi="Arial" w:cs="Arial"/>
          <w:sz w:val="20"/>
        </w:rPr>
        <w:t xml:space="preserve"> or regulation from time to </w:t>
      </w:r>
      <w:proofErr w:type="gramStart"/>
      <w:r w:rsidR="007E1F7B" w:rsidRPr="00F97360">
        <w:rPr>
          <w:rFonts w:ascii="Arial" w:hAnsi="Arial" w:cs="Arial"/>
          <w:sz w:val="20"/>
        </w:rPr>
        <w:t>time</w:t>
      </w:r>
      <w:r w:rsidR="005B2022" w:rsidRPr="00F97360">
        <w:rPr>
          <w:rFonts w:ascii="Arial" w:hAnsi="Arial" w:cs="Arial"/>
          <w:sz w:val="20"/>
        </w:rPr>
        <w:t>;</w:t>
      </w:r>
      <w:proofErr w:type="gramEnd"/>
    </w:p>
    <w:p w14:paraId="56712F0C" w14:textId="5BC3382A" w:rsidR="0073364F" w:rsidRPr="00F97360" w:rsidRDefault="00D8597D" w:rsidP="00F97360">
      <w:pPr>
        <w:pStyle w:val="Untitledsubclause2"/>
        <w:tabs>
          <w:tab w:val="clear" w:pos="1554"/>
          <w:tab w:val="num" w:pos="1985"/>
        </w:tabs>
        <w:ind w:left="1985"/>
        <w:rPr>
          <w:rFonts w:ascii="Arial" w:hAnsi="Arial" w:cs="Arial"/>
          <w:sz w:val="20"/>
        </w:rPr>
      </w:pPr>
      <w:bookmarkStart w:id="427" w:name="a774814"/>
      <w:r w:rsidRPr="00F97360">
        <w:rPr>
          <w:rFonts w:ascii="Arial" w:hAnsi="Arial" w:cs="Arial"/>
          <w:sz w:val="20"/>
        </w:rPr>
        <w:lastRenderedPageBreak/>
        <w:t xml:space="preserve">to enter into a valid joint election under section 431(1) of ITEPA 2003 in respect of the Shares to be acquired on the </w:t>
      </w:r>
      <w:r w:rsidR="00D44FC6" w:rsidRPr="00F97360">
        <w:rPr>
          <w:rFonts w:ascii="Arial" w:hAnsi="Arial" w:cs="Arial"/>
          <w:sz w:val="20"/>
        </w:rPr>
        <w:t>Vesting of</w:t>
      </w:r>
      <w:r w:rsidRPr="00F97360">
        <w:rPr>
          <w:rFonts w:ascii="Arial" w:hAnsi="Arial" w:cs="Arial"/>
          <w:sz w:val="20"/>
        </w:rPr>
        <w:t xml:space="preserve"> the </w:t>
      </w:r>
      <w:r w:rsidR="00D67DB9" w:rsidRPr="00F97360">
        <w:rPr>
          <w:rFonts w:ascii="Arial" w:hAnsi="Arial" w:cs="Arial"/>
          <w:sz w:val="20"/>
        </w:rPr>
        <w:t>Award</w:t>
      </w:r>
      <w:r w:rsidRPr="00F97360">
        <w:rPr>
          <w:rFonts w:ascii="Arial" w:hAnsi="Arial" w:cs="Arial"/>
          <w:sz w:val="20"/>
        </w:rPr>
        <w:t xml:space="preserve"> or exercise of the Option, if required to do so by the Company or Employer Company, on or before the </w:t>
      </w:r>
      <w:r w:rsidR="00D44FC6" w:rsidRPr="00F97360">
        <w:rPr>
          <w:rFonts w:ascii="Arial" w:hAnsi="Arial" w:cs="Arial"/>
          <w:sz w:val="20"/>
        </w:rPr>
        <w:t>Vesting of</w:t>
      </w:r>
      <w:r w:rsidRPr="00F97360">
        <w:rPr>
          <w:rFonts w:ascii="Arial" w:hAnsi="Arial" w:cs="Arial"/>
          <w:sz w:val="20"/>
        </w:rPr>
        <w:t xml:space="preserve"> the </w:t>
      </w:r>
      <w:r w:rsidR="00D67DB9" w:rsidRPr="00F97360">
        <w:rPr>
          <w:rFonts w:ascii="Arial" w:hAnsi="Arial" w:cs="Arial"/>
          <w:sz w:val="20"/>
        </w:rPr>
        <w:t>Award</w:t>
      </w:r>
      <w:r w:rsidRPr="00F97360">
        <w:rPr>
          <w:rFonts w:ascii="Arial" w:hAnsi="Arial" w:cs="Arial"/>
          <w:sz w:val="20"/>
        </w:rPr>
        <w:t xml:space="preserve"> or exercise of the </w:t>
      </w:r>
      <w:proofErr w:type="gramStart"/>
      <w:r w:rsidRPr="00F97360">
        <w:rPr>
          <w:rFonts w:ascii="Arial" w:hAnsi="Arial" w:cs="Arial"/>
          <w:sz w:val="20"/>
        </w:rPr>
        <w:t>Option</w:t>
      </w:r>
      <w:bookmarkEnd w:id="427"/>
      <w:r w:rsidRPr="00F97360">
        <w:rPr>
          <w:rFonts w:ascii="Arial" w:hAnsi="Arial" w:cs="Arial"/>
          <w:sz w:val="20"/>
        </w:rPr>
        <w:t>;</w:t>
      </w:r>
      <w:proofErr w:type="gramEnd"/>
    </w:p>
    <w:p w14:paraId="56712F0D" w14:textId="10E04595" w:rsidR="005B2022" w:rsidRPr="00F97360" w:rsidRDefault="00D8597D" w:rsidP="00F97360">
      <w:pPr>
        <w:pStyle w:val="Untitledsubclause2"/>
        <w:tabs>
          <w:tab w:val="clear" w:pos="1554"/>
          <w:tab w:val="num" w:pos="1985"/>
        </w:tabs>
        <w:ind w:left="1985"/>
        <w:rPr>
          <w:rFonts w:ascii="Arial" w:hAnsi="Arial" w:cs="Arial"/>
          <w:sz w:val="20"/>
        </w:rPr>
      </w:pPr>
      <w:bookmarkStart w:id="428" w:name="_Ref105669891"/>
      <w:r w:rsidRPr="00F97360">
        <w:rPr>
          <w:rFonts w:ascii="Arial" w:hAnsi="Arial" w:cs="Arial"/>
          <w:sz w:val="20"/>
        </w:rPr>
        <w:t xml:space="preserve">where the Tax Liability includes Employer NICs, that at the request of the Employer Company at any time before the </w:t>
      </w:r>
      <w:r w:rsidR="00D44FC6" w:rsidRPr="00F97360">
        <w:rPr>
          <w:rFonts w:ascii="Arial" w:hAnsi="Arial" w:cs="Arial"/>
          <w:sz w:val="20"/>
        </w:rPr>
        <w:t>Vesting of</w:t>
      </w:r>
      <w:r w:rsidRPr="00F97360">
        <w:rPr>
          <w:rFonts w:ascii="Arial" w:hAnsi="Arial" w:cs="Arial"/>
          <w:sz w:val="20"/>
        </w:rPr>
        <w:t xml:space="preserve"> a Non-Option Award or the exercise of an Option, the Award Holder must </w:t>
      </w:r>
      <w:r w:rsidR="00CF4817" w:rsidRPr="00F97360">
        <w:rPr>
          <w:rFonts w:ascii="Arial" w:hAnsi="Arial" w:cs="Arial"/>
          <w:sz w:val="20"/>
        </w:rPr>
        <w:t xml:space="preserve">validly </w:t>
      </w:r>
      <w:r w:rsidRPr="00F97360">
        <w:rPr>
          <w:rFonts w:ascii="Arial" w:hAnsi="Arial" w:cs="Arial"/>
          <w:sz w:val="20"/>
        </w:rPr>
        <w:t>elect, to the extent permitted by law, that the whole or any part of the liability for Employer NICs arising as a result of a Taxable Event shall be transferred to the Award Holder;</w:t>
      </w:r>
      <w:bookmarkEnd w:id="428"/>
    </w:p>
    <w:p w14:paraId="56712F0E" w14:textId="1A71212D" w:rsidR="00613D5A" w:rsidRPr="00F97360" w:rsidRDefault="00D8597D" w:rsidP="00F97360">
      <w:pPr>
        <w:pStyle w:val="Untitledsubclause2"/>
        <w:tabs>
          <w:tab w:val="clear" w:pos="1554"/>
          <w:tab w:val="num" w:pos="1985"/>
        </w:tabs>
        <w:ind w:left="1985"/>
        <w:rPr>
          <w:rFonts w:ascii="Arial" w:hAnsi="Arial" w:cs="Arial"/>
          <w:sz w:val="20"/>
        </w:rPr>
      </w:pPr>
      <w:r w:rsidRPr="00F97360">
        <w:rPr>
          <w:rFonts w:ascii="Arial" w:hAnsi="Arial" w:cs="Arial"/>
          <w:sz w:val="20"/>
        </w:rPr>
        <w:t>that t</w:t>
      </w:r>
      <w:r w:rsidR="007B4FB5" w:rsidRPr="00F97360">
        <w:rPr>
          <w:rFonts w:ascii="Arial" w:hAnsi="Arial" w:cs="Arial"/>
          <w:sz w:val="20"/>
        </w:rPr>
        <w:t xml:space="preserve">he obligations </w:t>
      </w:r>
      <w:r w:rsidRPr="00F97360">
        <w:rPr>
          <w:rFonts w:ascii="Arial" w:hAnsi="Arial" w:cs="Arial"/>
          <w:sz w:val="20"/>
        </w:rPr>
        <w:t xml:space="preserve">above </w:t>
      </w:r>
      <w:r w:rsidR="007B4FB5" w:rsidRPr="00F97360">
        <w:rPr>
          <w:rFonts w:ascii="Arial" w:hAnsi="Arial" w:cs="Arial"/>
          <w:sz w:val="20"/>
        </w:rPr>
        <w:t xml:space="preserve">shall not be affected by any failure of the Company or </w:t>
      </w:r>
      <w:r w:rsidRPr="00F97360">
        <w:rPr>
          <w:rFonts w:ascii="Arial" w:hAnsi="Arial" w:cs="Arial"/>
          <w:sz w:val="20"/>
        </w:rPr>
        <w:t xml:space="preserve">their </w:t>
      </w:r>
      <w:r w:rsidR="007B4FB5" w:rsidRPr="00F97360">
        <w:rPr>
          <w:rFonts w:ascii="Arial" w:hAnsi="Arial" w:cs="Arial"/>
          <w:sz w:val="20"/>
        </w:rPr>
        <w:t>Employer Company to withhold shares or deduct from payments of remuneration under</w:t>
      </w:r>
      <w:r w:rsidR="00B9696E" w:rsidRPr="00F97360">
        <w:rPr>
          <w:rFonts w:ascii="Arial" w:hAnsi="Arial" w:cs="Arial"/>
          <w:sz w:val="20"/>
        </w:rPr>
        <w:t xml:space="preserve"> rule </w:t>
      </w:r>
      <w:r w:rsidR="00B9696E" w:rsidRPr="00F97360">
        <w:rPr>
          <w:rFonts w:ascii="Arial" w:hAnsi="Arial" w:cs="Arial"/>
          <w:sz w:val="20"/>
        </w:rPr>
        <w:fldChar w:fldCharType="begin"/>
      </w:r>
      <w:r w:rsidR="00B9696E" w:rsidRPr="00F97360">
        <w:rPr>
          <w:rFonts w:ascii="Arial" w:hAnsi="Arial" w:cs="Arial"/>
          <w:sz w:val="20"/>
        </w:rPr>
        <w:instrText xml:space="preserve"> REF _Ref79578931 \r \h </w:instrText>
      </w:r>
      <w:r w:rsidR="0037270F" w:rsidRPr="00F97360">
        <w:rPr>
          <w:rFonts w:ascii="Arial" w:hAnsi="Arial" w:cs="Arial"/>
          <w:sz w:val="20"/>
        </w:rPr>
        <w:instrText xml:space="preserve"> \* MERGEFORMAT </w:instrText>
      </w:r>
      <w:r w:rsidR="00B9696E" w:rsidRPr="00F97360">
        <w:rPr>
          <w:rFonts w:ascii="Arial" w:hAnsi="Arial" w:cs="Arial"/>
          <w:sz w:val="20"/>
        </w:rPr>
      </w:r>
      <w:r w:rsidR="00B9696E" w:rsidRPr="00F97360">
        <w:rPr>
          <w:rFonts w:ascii="Arial" w:hAnsi="Arial" w:cs="Arial"/>
          <w:sz w:val="20"/>
        </w:rPr>
        <w:fldChar w:fldCharType="separate"/>
      </w:r>
      <w:r w:rsidR="00710210" w:rsidRPr="00F97360">
        <w:rPr>
          <w:rFonts w:ascii="Arial" w:hAnsi="Arial" w:cs="Arial"/>
          <w:sz w:val="20"/>
        </w:rPr>
        <w:t>23.1</w:t>
      </w:r>
      <w:r w:rsidR="00B9696E" w:rsidRPr="00F97360">
        <w:rPr>
          <w:rFonts w:ascii="Arial" w:hAnsi="Arial" w:cs="Arial"/>
          <w:sz w:val="20"/>
        </w:rPr>
        <w:fldChar w:fldCharType="end"/>
      </w:r>
      <w:r w:rsidR="00B9696E" w:rsidRPr="00F97360">
        <w:rPr>
          <w:rFonts w:ascii="Arial" w:hAnsi="Arial" w:cs="Arial"/>
          <w:sz w:val="20"/>
        </w:rPr>
        <w:fldChar w:fldCharType="begin"/>
      </w:r>
      <w:r w:rsidR="00B9696E" w:rsidRPr="00F97360">
        <w:rPr>
          <w:rFonts w:ascii="Arial" w:hAnsi="Arial" w:cs="Arial"/>
          <w:sz w:val="20"/>
        </w:rPr>
        <w:instrText xml:space="preserve"> REF _Ref81585642 \r \h </w:instrText>
      </w:r>
      <w:r w:rsidR="0037270F" w:rsidRPr="00F97360">
        <w:rPr>
          <w:rFonts w:ascii="Arial" w:hAnsi="Arial" w:cs="Arial"/>
          <w:sz w:val="20"/>
        </w:rPr>
        <w:instrText xml:space="preserve"> \* MERGEFORMAT </w:instrText>
      </w:r>
      <w:r w:rsidR="00B9696E" w:rsidRPr="00F97360">
        <w:rPr>
          <w:rFonts w:ascii="Arial" w:hAnsi="Arial" w:cs="Arial"/>
          <w:sz w:val="20"/>
        </w:rPr>
      </w:r>
      <w:r w:rsidR="00B9696E" w:rsidRPr="00F97360">
        <w:rPr>
          <w:rFonts w:ascii="Arial" w:hAnsi="Arial" w:cs="Arial"/>
          <w:sz w:val="20"/>
        </w:rPr>
        <w:fldChar w:fldCharType="separate"/>
      </w:r>
      <w:r w:rsidR="00710210" w:rsidRPr="00F97360">
        <w:rPr>
          <w:rFonts w:ascii="Arial" w:hAnsi="Arial" w:cs="Arial"/>
          <w:sz w:val="20"/>
        </w:rPr>
        <w:t>(d)</w:t>
      </w:r>
      <w:r w:rsidR="00B9696E" w:rsidRPr="00F97360">
        <w:rPr>
          <w:rFonts w:ascii="Arial" w:hAnsi="Arial" w:cs="Arial"/>
          <w:sz w:val="20"/>
        </w:rPr>
        <w:fldChar w:fldCharType="end"/>
      </w:r>
      <w:r w:rsidR="007B4FB5" w:rsidRPr="00F97360">
        <w:rPr>
          <w:rFonts w:ascii="Arial" w:hAnsi="Arial" w:cs="Arial"/>
          <w:sz w:val="20"/>
        </w:rPr>
        <w:t>.</w:t>
      </w:r>
      <w:bookmarkStart w:id="429" w:name="a260250"/>
    </w:p>
    <w:p w14:paraId="56712F0F" w14:textId="0BF6C12E" w:rsidR="007B4FB5" w:rsidRPr="00F97360" w:rsidRDefault="00D8597D" w:rsidP="006D3077">
      <w:pPr>
        <w:pStyle w:val="Untitledsubclause1"/>
        <w:rPr>
          <w:rFonts w:ascii="Arial" w:hAnsi="Arial" w:cs="Arial"/>
          <w:sz w:val="20"/>
        </w:rPr>
      </w:pPr>
      <w:bookmarkStart w:id="430" w:name="a880110"/>
      <w:bookmarkStart w:id="431" w:name="_Ref101260356"/>
      <w:bookmarkEnd w:id="429"/>
      <w:r w:rsidRPr="00F97360">
        <w:rPr>
          <w:rFonts w:ascii="Arial" w:hAnsi="Arial" w:cs="Arial"/>
          <w:sz w:val="20"/>
        </w:rPr>
        <w:t xml:space="preserve">Where </w:t>
      </w:r>
      <w:r w:rsidR="00AA32FF" w:rsidRPr="00F97360">
        <w:rPr>
          <w:rFonts w:ascii="Arial" w:hAnsi="Arial" w:cs="Arial"/>
          <w:sz w:val="20"/>
        </w:rPr>
        <w:t>an Award Certificate</w:t>
      </w:r>
      <w:r w:rsidRPr="00F97360">
        <w:rPr>
          <w:rFonts w:ascii="Arial" w:hAnsi="Arial" w:cs="Arial"/>
          <w:sz w:val="20"/>
        </w:rPr>
        <w:t xml:space="preserve"> and/or Acceptance Notice provides that Employer NICs</w:t>
      </w:r>
      <w:r w:rsidR="00E7477F" w:rsidRPr="00F97360">
        <w:rPr>
          <w:rFonts w:ascii="Arial" w:hAnsi="Arial" w:cs="Arial"/>
          <w:sz w:val="20"/>
        </w:rPr>
        <w:t xml:space="preserve"> </w:t>
      </w:r>
      <w:r w:rsidRPr="00F97360">
        <w:rPr>
          <w:rFonts w:ascii="Arial" w:hAnsi="Arial" w:cs="Arial"/>
          <w:sz w:val="20"/>
        </w:rPr>
        <w:t>form part of the Tax Liability, the Employer Company (or the Company on behalf of the Employer Company) may</w:t>
      </w:r>
      <w:bookmarkStart w:id="432" w:name="a166709"/>
      <w:bookmarkEnd w:id="430"/>
      <w:r w:rsidRPr="00F97360">
        <w:rPr>
          <w:rFonts w:ascii="Arial" w:hAnsi="Arial" w:cs="Arial"/>
          <w:sz w:val="20"/>
        </w:rPr>
        <w:t xml:space="preserve"> at any time after the Grant Date, but before the relevant Non-Option Award </w:t>
      </w:r>
      <w:r w:rsidR="00D44FC6" w:rsidRPr="00F97360">
        <w:rPr>
          <w:rFonts w:ascii="Arial" w:hAnsi="Arial" w:cs="Arial"/>
          <w:sz w:val="20"/>
        </w:rPr>
        <w:t>Vests</w:t>
      </w:r>
      <w:r w:rsidRPr="00F97360">
        <w:rPr>
          <w:rFonts w:ascii="Arial" w:hAnsi="Arial" w:cs="Arial"/>
          <w:sz w:val="20"/>
        </w:rPr>
        <w:t xml:space="preserve"> or the Option is exercised, release the Award Holder from any obligations in respect of Employer NICs, so that Employer NICs do not form part of the Tax Liability.</w:t>
      </w:r>
      <w:bookmarkEnd w:id="431"/>
      <w:bookmarkEnd w:id="432"/>
    </w:p>
    <w:p w14:paraId="56712F10" w14:textId="77777777" w:rsidR="007B4FB5" w:rsidRPr="00F97360" w:rsidRDefault="00D8597D" w:rsidP="007B4FB5">
      <w:pPr>
        <w:pStyle w:val="TitleClause"/>
        <w:rPr>
          <w:rFonts w:ascii="Arial" w:hAnsi="Arial" w:cs="Arial"/>
          <w:sz w:val="20"/>
        </w:rPr>
      </w:pPr>
      <w:r w:rsidRPr="00F97360">
        <w:rPr>
          <w:rFonts w:ascii="Arial" w:hAnsi="Arial" w:cs="Arial"/>
          <w:sz w:val="20"/>
        </w:rPr>
        <w:fldChar w:fldCharType="begin"/>
      </w:r>
      <w:r w:rsidRPr="00F97360">
        <w:rPr>
          <w:rFonts w:ascii="Arial" w:hAnsi="Arial" w:cs="Arial"/>
          <w:sz w:val="20"/>
        </w:rPr>
        <w:instrText>TC "24. Relationship with employment contract" \l 1</w:instrText>
      </w:r>
      <w:r w:rsidRPr="00F97360">
        <w:rPr>
          <w:rFonts w:ascii="Arial" w:hAnsi="Arial" w:cs="Arial"/>
          <w:sz w:val="20"/>
        </w:rPr>
        <w:fldChar w:fldCharType="end"/>
      </w:r>
      <w:bookmarkStart w:id="433" w:name="a939899"/>
      <w:bookmarkStart w:id="434" w:name="_Toc105671037"/>
      <w:bookmarkStart w:id="435" w:name="_Toc103273413"/>
      <w:bookmarkStart w:id="436" w:name="_Toc145339794"/>
      <w:bookmarkStart w:id="437" w:name="_Toc131682144"/>
      <w:bookmarkStart w:id="438" w:name="_Toc161658077"/>
      <w:r w:rsidRPr="00F97360">
        <w:rPr>
          <w:rFonts w:ascii="Arial" w:hAnsi="Arial" w:cs="Arial"/>
          <w:sz w:val="20"/>
        </w:rPr>
        <w:t>Relationship with employment contract</w:t>
      </w:r>
      <w:bookmarkEnd w:id="433"/>
      <w:bookmarkEnd w:id="434"/>
      <w:bookmarkEnd w:id="435"/>
      <w:bookmarkEnd w:id="436"/>
      <w:bookmarkEnd w:id="437"/>
      <w:bookmarkEnd w:id="438"/>
    </w:p>
    <w:p w14:paraId="56712F11" w14:textId="3C043CE2" w:rsidR="009D7DD9" w:rsidRPr="00F97360" w:rsidRDefault="00D8597D" w:rsidP="007B4FB5">
      <w:pPr>
        <w:pStyle w:val="Untitledsubclause1"/>
        <w:rPr>
          <w:rFonts w:ascii="Arial" w:hAnsi="Arial" w:cs="Arial"/>
          <w:sz w:val="20"/>
        </w:rPr>
      </w:pPr>
      <w:bookmarkStart w:id="439" w:name="a608778"/>
      <w:r w:rsidRPr="00F97360">
        <w:rPr>
          <w:rFonts w:ascii="Arial" w:hAnsi="Arial" w:cs="Arial"/>
          <w:sz w:val="20"/>
        </w:rPr>
        <w:t xml:space="preserve">This rule </w:t>
      </w:r>
      <w:r w:rsidRPr="00F97360">
        <w:rPr>
          <w:rFonts w:ascii="Arial" w:hAnsi="Arial" w:cs="Arial"/>
          <w:sz w:val="20"/>
        </w:rPr>
        <w:fldChar w:fldCharType="begin"/>
      </w:r>
      <w:r w:rsidRPr="00F97360">
        <w:rPr>
          <w:rFonts w:ascii="Arial" w:hAnsi="Arial" w:cs="Arial"/>
          <w:sz w:val="20"/>
        </w:rPr>
        <w:instrText xml:space="preserve"> REF a939899 \r \h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24</w:t>
      </w:r>
      <w:r w:rsidRPr="00F97360">
        <w:rPr>
          <w:rFonts w:ascii="Arial" w:hAnsi="Arial" w:cs="Arial"/>
          <w:sz w:val="20"/>
        </w:rPr>
        <w:fldChar w:fldCharType="end"/>
      </w:r>
      <w:r w:rsidRPr="00F97360">
        <w:rPr>
          <w:rFonts w:ascii="Arial" w:hAnsi="Arial" w:cs="Arial"/>
          <w:sz w:val="20"/>
        </w:rPr>
        <w:t xml:space="preserve"> shall apply notwithstanding any other provision of these rules.</w:t>
      </w:r>
    </w:p>
    <w:p w14:paraId="56712F12" w14:textId="229BFB79" w:rsidR="00C9440F" w:rsidRPr="00F97360" w:rsidRDefault="00D8597D" w:rsidP="00F50C6F">
      <w:pPr>
        <w:pStyle w:val="Untitledsubclause1"/>
        <w:rPr>
          <w:rFonts w:ascii="Arial" w:hAnsi="Arial" w:cs="Arial"/>
          <w:sz w:val="20"/>
        </w:rPr>
      </w:pPr>
      <w:r w:rsidRPr="00F97360">
        <w:rPr>
          <w:rFonts w:ascii="Arial" w:hAnsi="Arial" w:cs="Arial"/>
          <w:sz w:val="20"/>
        </w:rPr>
        <w:t xml:space="preserve">The Plan shall not form any part of any contract of employment or terms of appointment between any past or present Group Company and any directors, officers or employees of any of those companies, and it shall not confer on any such persons any legal or equitable rights (other than those constituting the </w:t>
      </w:r>
      <w:r w:rsidR="00D67DB9" w:rsidRPr="00F97360">
        <w:rPr>
          <w:rFonts w:ascii="Arial" w:hAnsi="Arial" w:cs="Arial"/>
          <w:sz w:val="20"/>
        </w:rPr>
        <w:t>Award</w:t>
      </w:r>
      <w:r w:rsidR="00D62C51" w:rsidRPr="00F97360">
        <w:rPr>
          <w:rFonts w:ascii="Arial" w:hAnsi="Arial" w:cs="Arial"/>
          <w:sz w:val="20"/>
        </w:rPr>
        <w:t>s</w:t>
      </w:r>
      <w:r w:rsidRPr="00F97360">
        <w:rPr>
          <w:rFonts w:ascii="Arial" w:hAnsi="Arial" w:cs="Arial"/>
          <w:sz w:val="20"/>
        </w:rPr>
        <w:t xml:space="preserve"> themselves) against any past or present Group Company, directly or indirectly, or give rise to any cause of action in law or in equity against any Group Company.</w:t>
      </w:r>
    </w:p>
    <w:p w14:paraId="56712F13" w14:textId="77777777" w:rsidR="007B4FB5" w:rsidRPr="00F97360" w:rsidRDefault="00D8597D" w:rsidP="00F50C6F">
      <w:pPr>
        <w:pStyle w:val="Untitledsubclause1"/>
        <w:rPr>
          <w:rFonts w:ascii="Arial" w:hAnsi="Arial" w:cs="Arial"/>
          <w:sz w:val="20"/>
        </w:rPr>
      </w:pPr>
      <w:bookmarkStart w:id="440" w:name="a83996"/>
      <w:bookmarkEnd w:id="439"/>
      <w:r w:rsidRPr="00F97360">
        <w:rPr>
          <w:rFonts w:ascii="Arial" w:hAnsi="Arial" w:cs="Arial"/>
          <w:sz w:val="20"/>
        </w:rPr>
        <w:t xml:space="preserve">The value of any benefit realised under the Plan by Award Holders </w:t>
      </w:r>
      <w:r w:rsidR="009D7DD9" w:rsidRPr="00F97360">
        <w:rPr>
          <w:rFonts w:ascii="Arial" w:hAnsi="Arial" w:cs="Arial"/>
          <w:sz w:val="20"/>
        </w:rPr>
        <w:t xml:space="preserve">shall not form any part of their pay, wages, remuneration or fees or </w:t>
      </w:r>
      <w:r w:rsidRPr="00F97360">
        <w:rPr>
          <w:rFonts w:ascii="Arial" w:hAnsi="Arial" w:cs="Arial"/>
          <w:sz w:val="20"/>
        </w:rPr>
        <w:t xml:space="preserve">be </w:t>
      </w:r>
      <w:proofErr w:type="gramStart"/>
      <w:r w:rsidRPr="00F97360">
        <w:rPr>
          <w:rFonts w:ascii="Arial" w:hAnsi="Arial" w:cs="Arial"/>
          <w:sz w:val="20"/>
        </w:rPr>
        <w:t>taken into account</w:t>
      </w:r>
      <w:proofErr w:type="gramEnd"/>
      <w:r w:rsidRPr="00F97360">
        <w:rPr>
          <w:rFonts w:ascii="Arial" w:hAnsi="Arial" w:cs="Arial"/>
          <w:sz w:val="20"/>
        </w:rPr>
        <w:t xml:space="preserve"> in determining any pension or similar entitlements</w:t>
      </w:r>
      <w:bookmarkEnd w:id="440"/>
      <w:r w:rsidR="009D7DD9" w:rsidRPr="00F97360">
        <w:rPr>
          <w:rFonts w:ascii="Arial" w:hAnsi="Arial" w:cs="Arial"/>
          <w:sz w:val="20"/>
        </w:rPr>
        <w:t>.</w:t>
      </w:r>
    </w:p>
    <w:p w14:paraId="56712F14" w14:textId="43D8DC60" w:rsidR="009D7DD9" w:rsidRPr="00F97360" w:rsidRDefault="00D8597D" w:rsidP="00F50C6F">
      <w:pPr>
        <w:pStyle w:val="Untitledsubclause1"/>
        <w:rPr>
          <w:rFonts w:ascii="Arial" w:hAnsi="Arial" w:cs="Arial"/>
          <w:sz w:val="20"/>
        </w:rPr>
      </w:pPr>
      <w:r w:rsidRPr="00F97360">
        <w:rPr>
          <w:rFonts w:ascii="Arial" w:hAnsi="Arial" w:cs="Arial"/>
          <w:sz w:val="20"/>
        </w:rPr>
        <w:t xml:space="preserve">The Employees to whom </w:t>
      </w:r>
      <w:r w:rsidR="00D67DB9" w:rsidRPr="00F97360">
        <w:rPr>
          <w:rFonts w:ascii="Arial" w:hAnsi="Arial" w:cs="Arial"/>
          <w:sz w:val="20"/>
        </w:rPr>
        <w:t>Award</w:t>
      </w:r>
      <w:r w:rsidR="00D62C51" w:rsidRPr="00F97360">
        <w:rPr>
          <w:rFonts w:ascii="Arial" w:hAnsi="Arial" w:cs="Arial"/>
          <w:sz w:val="20"/>
        </w:rPr>
        <w:t>s</w:t>
      </w:r>
      <w:r w:rsidRPr="00F97360">
        <w:rPr>
          <w:rFonts w:ascii="Arial" w:hAnsi="Arial" w:cs="Arial"/>
          <w:sz w:val="20"/>
        </w:rPr>
        <w:t xml:space="preserve"> are granted and the terms of such </w:t>
      </w:r>
      <w:r w:rsidR="00D67DB9" w:rsidRPr="00F97360">
        <w:rPr>
          <w:rFonts w:ascii="Arial" w:hAnsi="Arial" w:cs="Arial"/>
          <w:sz w:val="20"/>
        </w:rPr>
        <w:t>Award</w:t>
      </w:r>
      <w:r w:rsidR="00D62C51" w:rsidRPr="00F97360">
        <w:rPr>
          <w:rFonts w:ascii="Arial" w:hAnsi="Arial" w:cs="Arial"/>
          <w:sz w:val="20"/>
        </w:rPr>
        <w:t>s</w:t>
      </w:r>
      <w:r w:rsidRPr="00F97360">
        <w:rPr>
          <w:rFonts w:ascii="Arial" w:hAnsi="Arial" w:cs="Arial"/>
          <w:sz w:val="20"/>
        </w:rPr>
        <w:t xml:space="preserve"> shall be determined by the </w:t>
      </w:r>
      <w:r w:rsidR="00623047" w:rsidRPr="00F97360">
        <w:rPr>
          <w:rFonts w:ascii="Arial" w:hAnsi="Arial" w:cs="Arial"/>
          <w:sz w:val="20"/>
        </w:rPr>
        <w:t>Remuneration Committee</w:t>
      </w:r>
      <w:r w:rsidRPr="00F97360">
        <w:rPr>
          <w:rFonts w:ascii="Arial" w:hAnsi="Arial" w:cs="Arial"/>
          <w:sz w:val="20"/>
        </w:rPr>
        <w:t xml:space="preserve"> in its absolute discretion. The </w:t>
      </w:r>
      <w:r w:rsidR="00623047" w:rsidRPr="00F97360">
        <w:rPr>
          <w:rFonts w:ascii="Arial" w:hAnsi="Arial" w:cs="Arial"/>
          <w:sz w:val="20"/>
        </w:rPr>
        <w:t>Remuneration Committee</w:t>
      </w:r>
      <w:r w:rsidRPr="00F97360">
        <w:rPr>
          <w:rFonts w:ascii="Arial" w:hAnsi="Arial" w:cs="Arial"/>
          <w:sz w:val="20"/>
        </w:rPr>
        <w:t xml:space="preserve"> may at any time discontinue the grant of </w:t>
      </w:r>
      <w:r w:rsidR="00D67DB9" w:rsidRPr="00F97360">
        <w:rPr>
          <w:rFonts w:ascii="Arial" w:hAnsi="Arial" w:cs="Arial"/>
          <w:sz w:val="20"/>
        </w:rPr>
        <w:t>Award</w:t>
      </w:r>
      <w:r w:rsidR="00D62C51" w:rsidRPr="00F97360">
        <w:rPr>
          <w:rFonts w:ascii="Arial" w:hAnsi="Arial" w:cs="Arial"/>
          <w:sz w:val="20"/>
        </w:rPr>
        <w:t>s</w:t>
      </w:r>
      <w:r w:rsidRPr="00F97360">
        <w:rPr>
          <w:rFonts w:ascii="Arial" w:hAnsi="Arial" w:cs="Arial"/>
          <w:sz w:val="20"/>
        </w:rPr>
        <w:t xml:space="preserve"> or decide in any year not to grant any </w:t>
      </w:r>
      <w:r w:rsidR="00D67DB9" w:rsidRPr="00F97360">
        <w:rPr>
          <w:rFonts w:ascii="Arial" w:hAnsi="Arial" w:cs="Arial"/>
          <w:sz w:val="20"/>
        </w:rPr>
        <w:t>Award</w:t>
      </w:r>
      <w:r w:rsidR="00D62C51" w:rsidRPr="00F97360">
        <w:rPr>
          <w:rFonts w:ascii="Arial" w:hAnsi="Arial" w:cs="Arial"/>
          <w:sz w:val="20"/>
        </w:rPr>
        <w:t>s</w:t>
      </w:r>
      <w:r w:rsidRPr="00F97360">
        <w:rPr>
          <w:rFonts w:ascii="Arial" w:hAnsi="Arial" w:cs="Arial"/>
          <w:sz w:val="20"/>
        </w:rPr>
        <w:t xml:space="preserve">. The grant of </w:t>
      </w:r>
      <w:r w:rsidR="00F50C6F" w:rsidRPr="00F97360">
        <w:rPr>
          <w:rFonts w:ascii="Arial" w:hAnsi="Arial" w:cs="Arial"/>
          <w:sz w:val="20"/>
        </w:rPr>
        <w:t>an</w:t>
      </w:r>
      <w:r w:rsidR="00CF4817" w:rsidRPr="00F97360">
        <w:rPr>
          <w:rFonts w:ascii="Arial" w:hAnsi="Arial" w:cs="Arial"/>
          <w:sz w:val="20"/>
        </w:rPr>
        <w:t xml:space="preserve"> </w:t>
      </w:r>
      <w:r w:rsidR="00D67DB9" w:rsidRPr="00F97360">
        <w:rPr>
          <w:rFonts w:ascii="Arial" w:hAnsi="Arial" w:cs="Arial"/>
          <w:sz w:val="20"/>
        </w:rPr>
        <w:t>Award</w:t>
      </w:r>
      <w:r w:rsidRPr="00F97360">
        <w:rPr>
          <w:rFonts w:ascii="Arial" w:hAnsi="Arial" w:cs="Arial"/>
          <w:sz w:val="20"/>
        </w:rPr>
        <w:t xml:space="preserve"> does not give any Award Holder an entitlement (or any expectation of an entitlement) to any future grant of </w:t>
      </w:r>
      <w:r w:rsidR="00F50C6F" w:rsidRPr="00F97360">
        <w:rPr>
          <w:rFonts w:ascii="Arial" w:hAnsi="Arial" w:cs="Arial"/>
          <w:sz w:val="20"/>
        </w:rPr>
        <w:t>an</w:t>
      </w:r>
      <w:r w:rsidR="00AA32FF" w:rsidRPr="00F97360">
        <w:rPr>
          <w:rFonts w:ascii="Arial" w:hAnsi="Arial" w:cs="Arial"/>
          <w:sz w:val="20"/>
        </w:rPr>
        <w:t xml:space="preserve"> </w:t>
      </w:r>
      <w:r w:rsidR="00D67DB9" w:rsidRPr="00F97360">
        <w:rPr>
          <w:rFonts w:ascii="Arial" w:hAnsi="Arial" w:cs="Arial"/>
          <w:sz w:val="20"/>
        </w:rPr>
        <w:t>Award</w:t>
      </w:r>
      <w:r w:rsidRPr="00F97360">
        <w:rPr>
          <w:rFonts w:ascii="Arial" w:hAnsi="Arial" w:cs="Arial"/>
          <w:sz w:val="20"/>
        </w:rPr>
        <w:t xml:space="preserve"> pursuant to the Plan notwithstanding that other grants are made in a particular year to other Employees.</w:t>
      </w:r>
    </w:p>
    <w:p w14:paraId="56712F15" w14:textId="77777777" w:rsidR="009E1711" w:rsidRPr="00F97360" w:rsidRDefault="00D8597D" w:rsidP="009E1711">
      <w:pPr>
        <w:pStyle w:val="Untitledsubclause1"/>
        <w:rPr>
          <w:rFonts w:ascii="Arial" w:hAnsi="Arial" w:cs="Arial"/>
          <w:sz w:val="20"/>
        </w:rPr>
      </w:pPr>
      <w:bookmarkStart w:id="441" w:name="a847440"/>
      <w:r w:rsidRPr="00F97360">
        <w:rPr>
          <w:rFonts w:ascii="Arial" w:hAnsi="Arial" w:cs="Arial"/>
          <w:sz w:val="20"/>
        </w:rPr>
        <w:t>Nothing in the Plan or in any document executed under it will:</w:t>
      </w:r>
    </w:p>
    <w:p w14:paraId="56712F16" w14:textId="77777777" w:rsidR="009E1711" w:rsidRPr="00F97360" w:rsidRDefault="00D8597D" w:rsidP="00F97360">
      <w:pPr>
        <w:pStyle w:val="Untitledsubclause2"/>
        <w:tabs>
          <w:tab w:val="clear" w:pos="1554"/>
          <w:tab w:val="num" w:pos="1985"/>
        </w:tabs>
        <w:ind w:left="1985" w:hanging="567"/>
        <w:rPr>
          <w:rFonts w:ascii="Arial" w:hAnsi="Arial" w:cs="Arial"/>
          <w:sz w:val="20"/>
        </w:rPr>
      </w:pPr>
      <w:r w:rsidRPr="00F97360">
        <w:rPr>
          <w:rFonts w:ascii="Arial" w:hAnsi="Arial" w:cs="Arial"/>
          <w:sz w:val="20"/>
        </w:rPr>
        <w:t xml:space="preserve">give any person any right to continue as an </w:t>
      </w:r>
      <w:proofErr w:type="gramStart"/>
      <w:r w:rsidRPr="00F97360">
        <w:rPr>
          <w:rFonts w:ascii="Arial" w:hAnsi="Arial" w:cs="Arial"/>
          <w:sz w:val="20"/>
        </w:rPr>
        <w:t>Employee</w:t>
      </w:r>
      <w:r w:rsidR="00952800" w:rsidRPr="00F97360">
        <w:rPr>
          <w:rFonts w:ascii="Arial" w:hAnsi="Arial" w:cs="Arial"/>
          <w:sz w:val="20"/>
        </w:rPr>
        <w:t>;</w:t>
      </w:r>
      <w:proofErr w:type="gramEnd"/>
    </w:p>
    <w:p w14:paraId="56712F17" w14:textId="718B37B2" w:rsidR="009E1711" w:rsidRPr="00F97360" w:rsidRDefault="00D8597D" w:rsidP="00F97360">
      <w:pPr>
        <w:pStyle w:val="Untitledsubclause2"/>
        <w:tabs>
          <w:tab w:val="clear" w:pos="1554"/>
          <w:tab w:val="num" w:pos="1985"/>
        </w:tabs>
        <w:ind w:left="1985" w:hanging="567"/>
        <w:rPr>
          <w:rFonts w:ascii="Arial" w:hAnsi="Arial" w:cs="Arial"/>
          <w:sz w:val="20"/>
        </w:rPr>
      </w:pPr>
      <w:r w:rsidRPr="00F97360">
        <w:rPr>
          <w:rFonts w:ascii="Arial" w:hAnsi="Arial" w:cs="Arial"/>
          <w:sz w:val="20"/>
        </w:rPr>
        <w:lastRenderedPageBreak/>
        <w:t>affect the right of any Group Company to terminate the employment of any person without liability at any time with or without cause</w:t>
      </w:r>
      <w:r w:rsidR="00952800" w:rsidRPr="00F97360">
        <w:rPr>
          <w:rFonts w:ascii="Arial" w:hAnsi="Arial" w:cs="Arial"/>
          <w:sz w:val="20"/>
        </w:rPr>
        <w:t>; or</w:t>
      </w:r>
    </w:p>
    <w:p w14:paraId="56712F18" w14:textId="04E4AC4B" w:rsidR="009E1711" w:rsidRPr="00F97360" w:rsidRDefault="00D8597D" w:rsidP="00F97360">
      <w:pPr>
        <w:pStyle w:val="Untitledsubclause2"/>
        <w:tabs>
          <w:tab w:val="clear" w:pos="1554"/>
          <w:tab w:val="num" w:pos="1985"/>
        </w:tabs>
        <w:ind w:left="1985" w:hanging="567"/>
        <w:rPr>
          <w:rFonts w:ascii="Arial" w:hAnsi="Arial" w:cs="Arial"/>
          <w:sz w:val="20"/>
        </w:rPr>
      </w:pPr>
      <w:r w:rsidRPr="00F97360">
        <w:rPr>
          <w:rFonts w:ascii="Arial" w:hAnsi="Arial" w:cs="Arial"/>
          <w:sz w:val="20"/>
        </w:rPr>
        <w:t xml:space="preserve">impose on any Group Company, the Nominee or the </w:t>
      </w:r>
      <w:r w:rsidR="00623047" w:rsidRPr="00F97360">
        <w:rPr>
          <w:rFonts w:ascii="Arial" w:hAnsi="Arial" w:cs="Arial"/>
          <w:sz w:val="20"/>
        </w:rPr>
        <w:t>Remuneration Committee</w:t>
      </w:r>
      <w:r w:rsidRPr="00F97360">
        <w:rPr>
          <w:rFonts w:ascii="Arial" w:hAnsi="Arial" w:cs="Arial"/>
          <w:sz w:val="20"/>
        </w:rPr>
        <w:t xml:space="preserve"> or their respective agents and employees, any liability in connection with:</w:t>
      </w:r>
    </w:p>
    <w:p w14:paraId="56712F19" w14:textId="77777777" w:rsidR="009E1711" w:rsidRPr="00F97360" w:rsidRDefault="00D8597D" w:rsidP="009E1711">
      <w:pPr>
        <w:pStyle w:val="Untitledsubclause3"/>
        <w:rPr>
          <w:rFonts w:ascii="Arial" w:hAnsi="Arial" w:cs="Arial"/>
          <w:sz w:val="20"/>
        </w:rPr>
      </w:pPr>
      <w:r w:rsidRPr="00F97360">
        <w:rPr>
          <w:rFonts w:ascii="Arial" w:hAnsi="Arial" w:cs="Arial"/>
          <w:sz w:val="20"/>
        </w:rPr>
        <w:t xml:space="preserve">the loss of </w:t>
      </w:r>
      <w:r w:rsidR="00AA32FF" w:rsidRPr="00F97360">
        <w:rPr>
          <w:rFonts w:ascii="Arial" w:hAnsi="Arial" w:cs="Arial"/>
          <w:sz w:val="20"/>
        </w:rPr>
        <w:t>an Award Holder</w:t>
      </w:r>
      <w:r w:rsidRPr="00F97360">
        <w:rPr>
          <w:rFonts w:ascii="Arial" w:hAnsi="Arial" w:cs="Arial"/>
          <w:sz w:val="20"/>
        </w:rPr>
        <w:t>’s benefits or rights under the Plan</w:t>
      </w:r>
      <w:r w:rsidR="00952800" w:rsidRPr="00F97360">
        <w:rPr>
          <w:rFonts w:ascii="Arial" w:hAnsi="Arial" w:cs="Arial"/>
          <w:sz w:val="20"/>
        </w:rPr>
        <w:t>,</w:t>
      </w:r>
    </w:p>
    <w:p w14:paraId="56712F1A" w14:textId="77777777" w:rsidR="009E1711" w:rsidRPr="00F97360" w:rsidRDefault="00D8597D" w:rsidP="009E1711">
      <w:pPr>
        <w:pStyle w:val="Untitledsubclause3"/>
        <w:rPr>
          <w:rFonts w:ascii="Arial" w:hAnsi="Arial" w:cs="Arial"/>
          <w:sz w:val="20"/>
        </w:rPr>
      </w:pPr>
      <w:r w:rsidRPr="00F97360">
        <w:rPr>
          <w:rFonts w:ascii="Arial" w:hAnsi="Arial" w:cs="Arial"/>
          <w:sz w:val="20"/>
        </w:rPr>
        <w:t>the failure or refusal of any person to exercise a discretion under the Plan, and/or</w:t>
      </w:r>
    </w:p>
    <w:p w14:paraId="56712F1B" w14:textId="77777777" w:rsidR="009E1711" w:rsidRPr="00F97360" w:rsidRDefault="00D8597D" w:rsidP="009E1711">
      <w:pPr>
        <w:pStyle w:val="Untitledsubclause3"/>
        <w:rPr>
          <w:rFonts w:ascii="Arial" w:hAnsi="Arial" w:cs="Arial"/>
          <w:sz w:val="20"/>
        </w:rPr>
      </w:pPr>
      <w:r w:rsidRPr="00F97360">
        <w:rPr>
          <w:rFonts w:ascii="Arial" w:hAnsi="Arial" w:cs="Arial"/>
          <w:sz w:val="20"/>
        </w:rPr>
        <w:t xml:space="preserve">an Award Holder ceasing to be a person who has the status or relationship of an employee or director of Group Company for any reason </w:t>
      </w:r>
      <w:proofErr w:type="gramStart"/>
      <w:r w:rsidRPr="00F97360">
        <w:rPr>
          <w:rFonts w:ascii="Arial" w:hAnsi="Arial" w:cs="Arial"/>
          <w:sz w:val="20"/>
        </w:rPr>
        <w:t>as a result of</w:t>
      </w:r>
      <w:proofErr w:type="gramEnd"/>
      <w:r w:rsidRPr="00F97360">
        <w:rPr>
          <w:rFonts w:ascii="Arial" w:hAnsi="Arial" w:cs="Arial"/>
          <w:sz w:val="20"/>
        </w:rPr>
        <w:t xml:space="preserve"> the termination of the Award Holder’s employment.</w:t>
      </w:r>
    </w:p>
    <w:p w14:paraId="56712F1C" w14:textId="2941AD93" w:rsidR="007B4FB5" w:rsidRPr="00F97360" w:rsidRDefault="00D8597D" w:rsidP="007B4FB5">
      <w:pPr>
        <w:pStyle w:val="Untitledsubclause1"/>
        <w:rPr>
          <w:rFonts w:ascii="Arial" w:hAnsi="Arial" w:cs="Arial"/>
          <w:sz w:val="20"/>
        </w:rPr>
      </w:pPr>
      <w:bookmarkStart w:id="442" w:name="a940102"/>
      <w:bookmarkEnd w:id="441"/>
      <w:r w:rsidRPr="00F97360">
        <w:rPr>
          <w:rFonts w:ascii="Arial" w:hAnsi="Arial" w:cs="Arial"/>
          <w:sz w:val="20"/>
        </w:rPr>
        <w:t>Award Holders and Employees shall have no rights</w:t>
      </w:r>
      <w:r w:rsidR="009E1711" w:rsidRPr="00F97360">
        <w:rPr>
          <w:rFonts w:ascii="Arial" w:hAnsi="Arial" w:cs="Arial"/>
          <w:sz w:val="20"/>
        </w:rPr>
        <w:t xml:space="preserve"> (and by accepting their </w:t>
      </w:r>
      <w:r w:rsidR="00D67DB9" w:rsidRPr="00F97360">
        <w:rPr>
          <w:rFonts w:ascii="Arial" w:hAnsi="Arial" w:cs="Arial"/>
          <w:sz w:val="20"/>
        </w:rPr>
        <w:t>Award</w:t>
      </w:r>
      <w:r w:rsidR="009E1711" w:rsidRPr="00F97360">
        <w:rPr>
          <w:rFonts w:ascii="Arial" w:hAnsi="Arial" w:cs="Arial"/>
          <w:sz w:val="20"/>
        </w:rPr>
        <w:t xml:space="preserve">, </w:t>
      </w:r>
      <w:r w:rsidR="00AA32FF" w:rsidRPr="00F97360">
        <w:rPr>
          <w:rFonts w:ascii="Arial" w:hAnsi="Arial" w:cs="Arial"/>
          <w:sz w:val="20"/>
        </w:rPr>
        <w:t>an Award Holder</w:t>
      </w:r>
      <w:r w:rsidR="009E1711" w:rsidRPr="00F97360">
        <w:rPr>
          <w:rFonts w:ascii="Arial" w:hAnsi="Arial" w:cs="Arial"/>
          <w:sz w:val="20"/>
        </w:rPr>
        <w:t xml:space="preserve"> waives any claim to such rights) </w:t>
      </w:r>
      <w:r w:rsidRPr="00F97360">
        <w:rPr>
          <w:rFonts w:ascii="Arial" w:hAnsi="Arial" w:cs="Arial"/>
          <w:sz w:val="20"/>
        </w:rPr>
        <w:t xml:space="preserve">to compensation or damages from any Group Company or any former Group Company on account of any loss in respect of </w:t>
      </w:r>
      <w:r w:rsidR="00D67DB9" w:rsidRPr="00F97360">
        <w:rPr>
          <w:rFonts w:ascii="Arial" w:hAnsi="Arial" w:cs="Arial"/>
          <w:sz w:val="20"/>
        </w:rPr>
        <w:t>Award</w:t>
      </w:r>
      <w:r w:rsidR="00D62C51" w:rsidRPr="00F97360">
        <w:rPr>
          <w:rFonts w:ascii="Arial" w:hAnsi="Arial" w:cs="Arial"/>
          <w:sz w:val="20"/>
        </w:rPr>
        <w:t>s</w:t>
      </w:r>
      <w:r w:rsidRPr="00F97360">
        <w:rPr>
          <w:rFonts w:ascii="Arial" w:hAnsi="Arial" w:cs="Arial"/>
          <w:sz w:val="20"/>
        </w:rPr>
        <w:t xml:space="preserve"> or the Plan where this loss arises (or is claimed to arise), in whole or in part, from:</w:t>
      </w:r>
      <w:bookmarkEnd w:id="442"/>
    </w:p>
    <w:p w14:paraId="56712F1D" w14:textId="77777777" w:rsidR="007B4FB5" w:rsidRPr="00F97360" w:rsidRDefault="00D8597D" w:rsidP="00F97360">
      <w:pPr>
        <w:pStyle w:val="Untitledsubclause2"/>
        <w:tabs>
          <w:tab w:val="clear" w:pos="1554"/>
          <w:tab w:val="num" w:pos="2127"/>
        </w:tabs>
        <w:ind w:left="1985"/>
        <w:rPr>
          <w:rFonts w:ascii="Arial" w:hAnsi="Arial" w:cs="Arial"/>
          <w:sz w:val="20"/>
        </w:rPr>
      </w:pPr>
      <w:bookmarkStart w:id="443" w:name="a907438"/>
      <w:r w:rsidRPr="00F97360">
        <w:rPr>
          <w:rFonts w:ascii="Arial" w:hAnsi="Arial" w:cs="Arial"/>
          <w:sz w:val="20"/>
        </w:rPr>
        <w:t>any company ceasing to be a Group Company; or</w:t>
      </w:r>
      <w:bookmarkEnd w:id="443"/>
    </w:p>
    <w:p w14:paraId="56712F1E" w14:textId="77777777" w:rsidR="007B4FB5" w:rsidRPr="00F97360" w:rsidRDefault="00D8597D" w:rsidP="00F97360">
      <w:pPr>
        <w:pStyle w:val="Untitledsubclause2"/>
        <w:tabs>
          <w:tab w:val="clear" w:pos="1554"/>
          <w:tab w:val="num" w:pos="2127"/>
        </w:tabs>
        <w:ind w:left="1985"/>
        <w:rPr>
          <w:rFonts w:ascii="Arial" w:hAnsi="Arial" w:cs="Arial"/>
          <w:sz w:val="20"/>
        </w:rPr>
      </w:pPr>
      <w:bookmarkStart w:id="444" w:name="a576317"/>
      <w:r w:rsidRPr="00F97360">
        <w:rPr>
          <w:rFonts w:ascii="Arial" w:hAnsi="Arial" w:cs="Arial"/>
          <w:sz w:val="20"/>
        </w:rPr>
        <w:t>the transfer of any business from a Group Company to any person that is not a Group Company.</w:t>
      </w:r>
      <w:bookmarkEnd w:id="444"/>
    </w:p>
    <w:p w14:paraId="56712F1F" w14:textId="77777777" w:rsidR="007B4FB5" w:rsidRPr="00F97360" w:rsidRDefault="00D8597D" w:rsidP="007B4FB5">
      <w:pPr>
        <w:pStyle w:val="Parasubclause1"/>
        <w:rPr>
          <w:rFonts w:ascii="Arial" w:hAnsi="Arial" w:cs="Arial"/>
          <w:sz w:val="20"/>
        </w:rPr>
      </w:pPr>
      <w:r w:rsidRPr="00F97360">
        <w:rPr>
          <w:rFonts w:ascii="Arial" w:hAnsi="Arial" w:cs="Arial"/>
          <w:sz w:val="20"/>
        </w:rPr>
        <w:t>This exclusion of liability shall apply however the change of status of the relevant Group Company, or the transfer of the relevant business, is caused, and however compensation or damages are claimed.</w:t>
      </w:r>
    </w:p>
    <w:p w14:paraId="56712F20" w14:textId="525AA775" w:rsidR="00F50C6F" w:rsidRPr="00F97360" w:rsidRDefault="00D8597D" w:rsidP="00D704A4">
      <w:pPr>
        <w:pStyle w:val="Untitledsubclause1"/>
        <w:rPr>
          <w:rFonts w:ascii="Arial" w:hAnsi="Arial" w:cs="Arial"/>
          <w:sz w:val="20"/>
        </w:rPr>
      </w:pPr>
      <w:r w:rsidRPr="00F97360">
        <w:rPr>
          <w:rFonts w:ascii="Arial" w:hAnsi="Arial" w:cs="Arial"/>
          <w:sz w:val="20"/>
        </w:rPr>
        <w:t xml:space="preserve">Award Holders and Employees shall have no rights (and by accepting their </w:t>
      </w:r>
      <w:r w:rsidR="00D67DB9" w:rsidRPr="00F97360">
        <w:rPr>
          <w:rFonts w:ascii="Arial" w:hAnsi="Arial" w:cs="Arial"/>
          <w:sz w:val="20"/>
        </w:rPr>
        <w:t>Award</w:t>
      </w:r>
      <w:r w:rsidRPr="00F97360">
        <w:rPr>
          <w:rFonts w:ascii="Arial" w:hAnsi="Arial" w:cs="Arial"/>
          <w:sz w:val="20"/>
        </w:rPr>
        <w:t xml:space="preserve">, </w:t>
      </w:r>
      <w:r w:rsidR="00AA32FF" w:rsidRPr="00F97360">
        <w:rPr>
          <w:rFonts w:ascii="Arial" w:hAnsi="Arial" w:cs="Arial"/>
          <w:sz w:val="20"/>
        </w:rPr>
        <w:t>an Award Holder</w:t>
      </w:r>
      <w:r w:rsidRPr="00F97360">
        <w:rPr>
          <w:rFonts w:ascii="Arial" w:hAnsi="Arial" w:cs="Arial"/>
          <w:sz w:val="20"/>
        </w:rPr>
        <w:t xml:space="preserve"> waives any claim to such rights) to compensation or damages </w:t>
      </w:r>
      <w:r w:rsidR="005C427C" w:rsidRPr="00F97360">
        <w:rPr>
          <w:rFonts w:ascii="Arial" w:hAnsi="Arial" w:cs="Arial"/>
          <w:sz w:val="20"/>
        </w:rPr>
        <w:t xml:space="preserve">for any loss of any right or benefit or prospective right or benefit under the Plan which he </w:t>
      </w:r>
      <w:r w:rsidR="000441B9" w:rsidRPr="00F97360">
        <w:rPr>
          <w:rFonts w:ascii="Arial" w:hAnsi="Arial" w:cs="Arial"/>
          <w:sz w:val="20"/>
        </w:rPr>
        <w:t xml:space="preserve">or she </w:t>
      </w:r>
      <w:r w:rsidR="005C427C" w:rsidRPr="00F97360">
        <w:rPr>
          <w:rFonts w:ascii="Arial" w:hAnsi="Arial" w:cs="Arial"/>
          <w:sz w:val="20"/>
        </w:rPr>
        <w:t xml:space="preserve">might otherwise have enjoyed (including, without limitation, the lapse of </w:t>
      </w:r>
      <w:r w:rsidR="00D67DB9" w:rsidRPr="00F97360">
        <w:rPr>
          <w:rFonts w:ascii="Arial" w:hAnsi="Arial" w:cs="Arial"/>
          <w:sz w:val="20"/>
        </w:rPr>
        <w:t>Award</w:t>
      </w:r>
      <w:r w:rsidR="00D62C51" w:rsidRPr="00F97360">
        <w:rPr>
          <w:rFonts w:ascii="Arial" w:hAnsi="Arial" w:cs="Arial"/>
          <w:sz w:val="20"/>
        </w:rPr>
        <w:t>s</w:t>
      </w:r>
      <w:r w:rsidR="005C427C" w:rsidRPr="00F97360">
        <w:rPr>
          <w:rFonts w:ascii="Arial" w:hAnsi="Arial" w:cs="Arial"/>
          <w:sz w:val="20"/>
        </w:rPr>
        <w:t xml:space="preserve"> or part thereof by reason of his </w:t>
      </w:r>
      <w:r w:rsidR="00E11C32" w:rsidRPr="00F97360">
        <w:rPr>
          <w:rFonts w:ascii="Arial" w:hAnsi="Arial" w:cs="Arial"/>
          <w:sz w:val="20"/>
        </w:rPr>
        <w:t xml:space="preserve">or her </w:t>
      </w:r>
      <w:r w:rsidR="005C427C" w:rsidRPr="00F97360">
        <w:rPr>
          <w:rFonts w:ascii="Arial" w:hAnsi="Arial" w:cs="Arial"/>
          <w:sz w:val="20"/>
        </w:rPr>
        <w:t xml:space="preserve">ceasing to be employed by any Group Company) </w:t>
      </w:r>
      <w:r w:rsidRPr="00F97360">
        <w:rPr>
          <w:rFonts w:ascii="Arial" w:hAnsi="Arial" w:cs="Arial"/>
          <w:sz w:val="20"/>
        </w:rPr>
        <w:t>where this loss arises (or is claimed to arise), in whole or in part, from:</w:t>
      </w:r>
    </w:p>
    <w:p w14:paraId="56712F21" w14:textId="77777777" w:rsidR="00F50C6F" w:rsidRPr="00F97360" w:rsidRDefault="00D8597D" w:rsidP="00F97360">
      <w:pPr>
        <w:pStyle w:val="Untitledsubclause2"/>
        <w:tabs>
          <w:tab w:val="clear" w:pos="1554"/>
          <w:tab w:val="num" w:pos="1985"/>
        </w:tabs>
        <w:ind w:left="1985"/>
        <w:rPr>
          <w:rFonts w:ascii="Arial" w:hAnsi="Arial" w:cs="Arial"/>
          <w:sz w:val="20"/>
        </w:rPr>
      </w:pPr>
      <w:bookmarkStart w:id="445" w:name="a258488"/>
      <w:r w:rsidRPr="00F97360">
        <w:rPr>
          <w:rFonts w:ascii="Arial" w:hAnsi="Arial" w:cs="Arial"/>
          <w:sz w:val="20"/>
        </w:rPr>
        <w:t>termination of</w:t>
      </w:r>
      <w:r w:rsidR="005C427C" w:rsidRPr="00F97360">
        <w:rPr>
          <w:rFonts w:ascii="Arial" w:hAnsi="Arial" w:cs="Arial"/>
          <w:sz w:val="20"/>
        </w:rPr>
        <w:t xml:space="preserve"> the office or employment by virtue of which he </w:t>
      </w:r>
      <w:r w:rsidR="000441B9" w:rsidRPr="00F97360">
        <w:rPr>
          <w:rFonts w:ascii="Arial" w:hAnsi="Arial" w:cs="Arial"/>
          <w:sz w:val="20"/>
        </w:rPr>
        <w:t xml:space="preserve">or she </w:t>
      </w:r>
      <w:r w:rsidR="005C427C" w:rsidRPr="00F97360">
        <w:rPr>
          <w:rFonts w:ascii="Arial" w:hAnsi="Arial" w:cs="Arial"/>
          <w:sz w:val="20"/>
        </w:rPr>
        <w:t>is or may be eligible to participate in the Plan</w:t>
      </w:r>
      <w:r w:rsidRPr="00F97360">
        <w:rPr>
          <w:rFonts w:ascii="Arial" w:hAnsi="Arial" w:cs="Arial"/>
          <w:sz w:val="20"/>
        </w:rPr>
        <w:t xml:space="preserve"> with; or</w:t>
      </w:r>
      <w:bookmarkEnd w:id="445"/>
    </w:p>
    <w:p w14:paraId="56712F22" w14:textId="77777777" w:rsidR="00F50C6F" w:rsidRPr="00F97360" w:rsidRDefault="00D8597D" w:rsidP="00F97360">
      <w:pPr>
        <w:pStyle w:val="Untitledsubclause2"/>
        <w:tabs>
          <w:tab w:val="clear" w:pos="1554"/>
          <w:tab w:val="num" w:pos="1985"/>
        </w:tabs>
        <w:ind w:left="1985"/>
        <w:rPr>
          <w:rFonts w:ascii="Arial" w:hAnsi="Arial" w:cs="Arial"/>
          <w:sz w:val="20"/>
        </w:rPr>
      </w:pPr>
      <w:bookmarkStart w:id="446" w:name="a251852"/>
      <w:r w:rsidRPr="00F97360">
        <w:rPr>
          <w:rFonts w:ascii="Arial" w:hAnsi="Arial" w:cs="Arial"/>
          <w:sz w:val="20"/>
        </w:rPr>
        <w:t>notice to terminate office or employment given by or to,</w:t>
      </w:r>
      <w:bookmarkEnd w:id="446"/>
    </w:p>
    <w:p w14:paraId="56712F23" w14:textId="2105D273" w:rsidR="00924C37" w:rsidRPr="00F97360" w:rsidRDefault="00D8597D" w:rsidP="0084236A">
      <w:pPr>
        <w:pStyle w:val="Parasubclause1"/>
        <w:rPr>
          <w:rFonts w:ascii="Arial" w:hAnsi="Arial" w:cs="Arial"/>
          <w:sz w:val="20"/>
        </w:rPr>
      </w:pPr>
      <w:r w:rsidRPr="00F97360">
        <w:rPr>
          <w:rFonts w:ascii="Arial" w:hAnsi="Arial" w:cs="Arial"/>
          <w:sz w:val="20"/>
        </w:rPr>
        <w:t>any Group Company or any former Group Company. This exclusion of liability shall apply however termination of office or employment, or the giving of notice, is caused, and however compensation or damages are claimed</w:t>
      </w:r>
      <w:r w:rsidR="005C427C" w:rsidRPr="00F97360">
        <w:rPr>
          <w:rFonts w:ascii="Arial" w:hAnsi="Arial" w:cs="Arial"/>
          <w:sz w:val="20"/>
        </w:rPr>
        <w:t xml:space="preserve"> (including, but not limited to, wrongful dismissal, breach of contract or by way of compensation for loss of office)</w:t>
      </w:r>
      <w:r w:rsidRPr="00F97360">
        <w:rPr>
          <w:rFonts w:ascii="Arial" w:hAnsi="Arial" w:cs="Arial"/>
          <w:sz w:val="20"/>
        </w:rPr>
        <w:t>.</w:t>
      </w:r>
      <w:r w:rsidR="00E406D7" w:rsidRPr="00F97360">
        <w:rPr>
          <w:rFonts w:ascii="Arial" w:hAnsi="Arial" w:cs="Arial"/>
          <w:sz w:val="20"/>
        </w:rPr>
        <w:t xml:space="preserve"> </w:t>
      </w:r>
      <w:r w:rsidRPr="00F97360">
        <w:rPr>
          <w:rFonts w:ascii="Arial" w:hAnsi="Arial" w:cs="Arial"/>
          <w:sz w:val="20"/>
        </w:rPr>
        <w:t xml:space="preserve">By accepting </w:t>
      </w:r>
      <w:r w:rsidR="00CF4817" w:rsidRPr="00F97360">
        <w:rPr>
          <w:rFonts w:ascii="Arial" w:hAnsi="Arial" w:cs="Arial"/>
          <w:sz w:val="20"/>
        </w:rPr>
        <w:t xml:space="preserve">an </w:t>
      </w:r>
      <w:r w:rsidR="00D67DB9" w:rsidRPr="00F97360">
        <w:rPr>
          <w:rFonts w:ascii="Arial" w:hAnsi="Arial" w:cs="Arial"/>
          <w:sz w:val="20"/>
        </w:rPr>
        <w:t>Award</w:t>
      </w:r>
      <w:r w:rsidRPr="00F97360">
        <w:rPr>
          <w:rFonts w:ascii="Arial" w:hAnsi="Arial" w:cs="Arial"/>
          <w:sz w:val="20"/>
        </w:rPr>
        <w:t xml:space="preserve">, </w:t>
      </w:r>
      <w:r w:rsidR="00AA32FF" w:rsidRPr="00F97360">
        <w:rPr>
          <w:rFonts w:ascii="Arial" w:hAnsi="Arial" w:cs="Arial"/>
          <w:sz w:val="20"/>
        </w:rPr>
        <w:t>an Award Holder</w:t>
      </w:r>
      <w:r w:rsidRPr="00F97360">
        <w:rPr>
          <w:rFonts w:ascii="Arial" w:hAnsi="Arial" w:cs="Arial"/>
          <w:sz w:val="20"/>
        </w:rPr>
        <w:t xml:space="preserve"> shall be deemed to have agreed to </w:t>
      </w:r>
      <w:proofErr w:type="gramStart"/>
      <w:r w:rsidRPr="00F97360">
        <w:rPr>
          <w:rFonts w:ascii="Arial" w:hAnsi="Arial" w:cs="Arial"/>
          <w:sz w:val="20"/>
        </w:rPr>
        <w:t>all of</w:t>
      </w:r>
      <w:proofErr w:type="gramEnd"/>
      <w:r w:rsidRPr="00F97360">
        <w:rPr>
          <w:rFonts w:ascii="Arial" w:hAnsi="Arial" w:cs="Arial"/>
          <w:sz w:val="20"/>
        </w:rPr>
        <w:t xml:space="preserve"> the provisions of rule </w:t>
      </w:r>
      <w:r w:rsidRPr="00F97360">
        <w:rPr>
          <w:rFonts w:ascii="Arial" w:hAnsi="Arial" w:cs="Arial"/>
          <w:sz w:val="20"/>
        </w:rPr>
        <w:fldChar w:fldCharType="begin"/>
      </w:r>
      <w:r w:rsidRPr="00F97360">
        <w:rPr>
          <w:rFonts w:ascii="Arial" w:hAnsi="Arial" w:cs="Arial"/>
          <w:sz w:val="20"/>
        </w:rPr>
        <w:instrText xml:space="preserve"> REF a939899 \r \h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24</w:t>
      </w:r>
      <w:r w:rsidRPr="00F97360">
        <w:rPr>
          <w:rFonts w:ascii="Arial" w:hAnsi="Arial" w:cs="Arial"/>
          <w:sz w:val="20"/>
        </w:rPr>
        <w:fldChar w:fldCharType="end"/>
      </w:r>
      <w:r w:rsidRPr="00F97360">
        <w:rPr>
          <w:rFonts w:ascii="Arial" w:hAnsi="Arial" w:cs="Arial"/>
          <w:sz w:val="20"/>
        </w:rPr>
        <w:t xml:space="preserve"> above.</w:t>
      </w:r>
    </w:p>
    <w:p w14:paraId="56712F24" w14:textId="77777777" w:rsidR="007B4FB5" w:rsidRPr="00F97360" w:rsidRDefault="00D8597D" w:rsidP="007B4FB5">
      <w:pPr>
        <w:pStyle w:val="TitleClause"/>
        <w:rPr>
          <w:rFonts w:ascii="Arial" w:hAnsi="Arial" w:cs="Arial"/>
          <w:sz w:val="20"/>
        </w:rPr>
      </w:pPr>
      <w:r w:rsidRPr="00F97360">
        <w:rPr>
          <w:rFonts w:ascii="Arial" w:hAnsi="Arial" w:cs="Arial"/>
          <w:sz w:val="20"/>
        </w:rPr>
        <w:lastRenderedPageBreak/>
        <w:fldChar w:fldCharType="begin"/>
      </w:r>
      <w:r w:rsidRPr="00F97360">
        <w:rPr>
          <w:rFonts w:ascii="Arial" w:hAnsi="Arial" w:cs="Arial"/>
          <w:sz w:val="20"/>
        </w:rPr>
        <w:instrText>TC "25. Notices" \l 1</w:instrText>
      </w:r>
      <w:r w:rsidRPr="00F97360">
        <w:rPr>
          <w:rFonts w:ascii="Arial" w:hAnsi="Arial" w:cs="Arial"/>
          <w:sz w:val="20"/>
        </w:rPr>
        <w:fldChar w:fldCharType="end"/>
      </w:r>
      <w:bookmarkStart w:id="447" w:name="a360067"/>
      <w:bookmarkStart w:id="448" w:name="_Toc105671038"/>
      <w:bookmarkStart w:id="449" w:name="_Toc103273414"/>
      <w:bookmarkStart w:id="450" w:name="_Toc145339795"/>
      <w:bookmarkStart w:id="451" w:name="_Toc131682145"/>
      <w:bookmarkStart w:id="452" w:name="_Toc161658078"/>
      <w:r w:rsidRPr="00F97360">
        <w:rPr>
          <w:rFonts w:ascii="Arial" w:hAnsi="Arial" w:cs="Arial"/>
          <w:sz w:val="20"/>
        </w:rPr>
        <w:t>Notices</w:t>
      </w:r>
      <w:bookmarkEnd w:id="447"/>
      <w:bookmarkEnd w:id="448"/>
      <w:bookmarkEnd w:id="449"/>
      <w:bookmarkEnd w:id="450"/>
      <w:bookmarkEnd w:id="451"/>
      <w:bookmarkEnd w:id="452"/>
    </w:p>
    <w:p w14:paraId="56712F25" w14:textId="103E55B5" w:rsidR="007B4FB5" w:rsidRPr="00F97360" w:rsidRDefault="00D8597D" w:rsidP="007B4FB5">
      <w:pPr>
        <w:pStyle w:val="Untitledsubclause1"/>
        <w:rPr>
          <w:rFonts w:ascii="Arial" w:hAnsi="Arial" w:cs="Arial"/>
          <w:sz w:val="20"/>
        </w:rPr>
      </w:pPr>
      <w:bookmarkStart w:id="453" w:name="a87327"/>
      <w:r w:rsidRPr="00F97360">
        <w:rPr>
          <w:rFonts w:ascii="Arial" w:hAnsi="Arial" w:cs="Arial"/>
          <w:sz w:val="20"/>
        </w:rPr>
        <w:t xml:space="preserve">Subject to </w:t>
      </w:r>
      <w:r w:rsidRPr="00F97360">
        <w:rPr>
          <w:rFonts w:ascii="Arial" w:hAnsi="Arial" w:cs="Arial"/>
          <w:sz w:val="20"/>
        </w:rPr>
        <w:fldChar w:fldCharType="begin"/>
      </w:r>
      <w:r w:rsidRPr="00F97360">
        <w:rPr>
          <w:rFonts w:ascii="Arial" w:hAnsi="Arial" w:cs="Arial"/>
          <w:sz w:val="20"/>
        </w:rPr>
        <w:instrText>PAGEREF a594728\# "'rule '"  \h</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 xml:space="preserve">rule </w:t>
      </w:r>
      <w:r w:rsidRPr="00F97360">
        <w:rPr>
          <w:rFonts w:ascii="Arial" w:hAnsi="Arial" w:cs="Arial"/>
          <w:sz w:val="20"/>
        </w:rPr>
        <w:fldChar w:fldCharType="end"/>
      </w:r>
      <w:r w:rsidRPr="00F97360">
        <w:rPr>
          <w:rFonts w:ascii="Arial" w:hAnsi="Arial" w:cs="Arial"/>
          <w:sz w:val="20"/>
        </w:rPr>
        <w:fldChar w:fldCharType="begin"/>
      </w:r>
      <w:r w:rsidRPr="00F97360">
        <w:rPr>
          <w:rFonts w:ascii="Arial" w:hAnsi="Arial" w:cs="Arial"/>
          <w:sz w:val="20"/>
          <w:highlight w:val="lightGray"/>
        </w:rPr>
        <w:instrText>REF a594728 \h \w</w:instrText>
      </w:r>
      <w:r w:rsidR="0037270F"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highlight w:val="lightGray"/>
        </w:rPr>
        <w:t>25.3</w:t>
      </w:r>
      <w:r w:rsidRPr="00F97360">
        <w:rPr>
          <w:rFonts w:ascii="Arial" w:hAnsi="Arial" w:cs="Arial"/>
          <w:sz w:val="20"/>
        </w:rPr>
        <w:fldChar w:fldCharType="end"/>
      </w:r>
      <w:r w:rsidRPr="00F97360">
        <w:rPr>
          <w:rFonts w:ascii="Arial" w:hAnsi="Arial" w:cs="Arial"/>
          <w:sz w:val="20"/>
        </w:rPr>
        <w:t>, any notice or other communication given under or in connection with the Plan shall be in writing and shall be:</w:t>
      </w:r>
      <w:bookmarkEnd w:id="453"/>
    </w:p>
    <w:p w14:paraId="56712F26" w14:textId="77777777" w:rsidR="007B4FB5" w:rsidRPr="00F97360" w:rsidRDefault="00D8597D" w:rsidP="00F97360">
      <w:pPr>
        <w:pStyle w:val="Untitledsubclause2"/>
        <w:tabs>
          <w:tab w:val="clear" w:pos="1554"/>
          <w:tab w:val="num" w:pos="1985"/>
        </w:tabs>
        <w:ind w:left="1985" w:hanging="567"/>
        <w:rPr>
          <w:rFonts w:ascii="Arial" w:hAnsi="Arial" w:cs="Arial"/>
          <w:sz w:val="20"/>
        </w:rPr>
      </w:pPr>
      <w:bookmarkStart w:id="454" w:name="a534368"/>
      <w:r w:rsidRPr="00F97360">
        <w:rPr>
          <w:rFonts w:ascii="Arial" w:hAnsi="Arial" w:cs="Arial"/>
          <w:sz w:val="20"/>
        </w:rPr>
        <w:t xml:space="preserve">delivered by hand or by prepaid first-class post or other next working day delivery service at the </w:t>
      </w:r>
      <w:r w:rsidRPr="00F97360">
        <w:rPr>
          <w:rStyle w:val="DefTerm"/>
          <w:color w:val="auto"/>
          <w:sz w:val="20"/>
        </w:rPr>
        <w:t>Appropriate Address</w:t>
      </w:r>
      <w:r w:rsidR="00B6338E" w:rsidRPr="00F97360">
        <w:rPr>
          <w:rStyle w:val="DefTerm"/>
          <w:b w:val="0"/>
          <w:color w:val="auto"/>
          <w:sz w:val="20"/>
        </w:rPr>
        <w:t>;</w:t>
      </w:r>
      <w:r w:rsidR="00583D05" w:rsidRPr="00F97360">
        <w:rPr>
          <w:rStyle w:val="DefTerm"/>
          <w:b w:val="0"/>
          <w:bCs/>
          <w:color w:val="auto"/>
          <w:sz w:val="20"/>
        </w:rPr>
        <w:t xml:space="preserve"> or</w:t>
      </w:r>
      <w:bookmarkEnd w:id="454"/>
    </w:p>
    <w:p w14:paraId="56712F27" w14:textId="142CA8CC" w:rsidR="007B4FB5" w:rsidRPr="00F97360" w:rsidRDefault="001F3A28" w:rsidP="00F97360">
      <w:pPr>
        <w:pStyle w:val="Parasubclause2"/>
        <w:tabs>
          <w:tab w:val="num" w:pos="1985"/>
        </w:tabs>
        <w:ind w:left="1985" w:hanging="567"/>
        <w:rPr>
          <w:rFonts w:ascii="Arial" w:hAnsi="Arial" w:cs="Arial"/>
          <w:sz w:val="20"/>
        </w:rPr>
      </w:pPr>
      <w:r w:rsidRPr="0059105D">
        <w:rPr>
          <w:rFonts w:ascii="Arial" w:hAnsi="Arial" w:cs="Arial"/>
          <w:sz w:val="20"/>
        </w:rPr>
        <w:tab/>
      </w:r>
      <w:r w:rsidR="00D8597D" w:rsidRPr="00F97360">
        <w:rPr>
          <w:rFonts w:ascii="Arial" w:hAnsi="Arial" w:cs="Arial"/>
          <w:sz w:val="20"/>
        </w:rPr>
        <w:t xml:space="preserve">For the purposes of this </w:t>
      </w:r>
      <w:r w:rsidR="00D8597D" w:rsidRPr="00F97360">
        <w:rPr>
          <w:rFonts w:ascii="Arial" w:hAnsi="Arial" w:cs="Arial"/>
          <w:sz w:val="20"/>
        </w:rPr>
        <w:fldChar w:fldCharType="begin"/>
      </w:r>
      <w:r w:rsidR="00D8597D" w:rsidRPr="00F97360">
        <w:rPr>
          <w:rFonts w:ascii="Arial" w:hAnsi="Arial" w:cs="Arial"/>
          <w:sz w:val="20"/>
        </w:rPr>
        <w:instrText>PAGEREF a87327\# "'rule '"  \h</w:instrText>
      </w:r>
      <w:r w:rsidR="00D8597D" w:rsidRPr="00F97360">
        <w:rPr>
          <w:rFonts w:ascii="Arial" w:hAnsi="Arial" w:cs="Arial"/>
          <w:sz w:val="20"/>
        </w:rPr>
      </w:r>
      <w:r w:rsidR="00D8597D" w:rsidRPr="00F97360">
        <w:rPr>
          <w:rFonts w:ascii="Arial" w:hAnsi="Arial" w:cs="Arial"/>
          <w:sz w:val="20"/>
        </w:rPr>
        <w:fldChar w:fldCharType="separate"/>
      </w:r>
      <w:r w:rsidR="00710210" w:rsidRPr="00F97360">
        <w:rPr>
          <w:rFonts w:ascii="Arial" w:hAnsi="Arial" w:cs="Arial"/>
          <w:sz w:val="20"/>
        </w:rPr>
        <w:t xml:space="preserve">rule </w:t>
      </w:r>
      <w:r w:rsidR="00D8597D" w:rsidRPr="00F97360">
        <w:rPr>
          <w:rFonts w:ascii="Arial" w:hAnsi="Arial" w:cs="Arial"/>
          <w:sz w:val="20"/>
        </w:rPr>
        <w:fldChar w:fldCharType="end"/>
      </w:r>
      <w:r w:rsidR="00D8597D" w:rsidRPr="00F97360">
        <w:rPr>
          <w:rFonts w:ascii="Arial" w:hAnsi="Arial" w:cs="Arial"/>
          <w:sz w:val="20"/>
        </w:rPr>
        <w:fldChar w:fldCharType="begin"/>
      </w:r>
      <w:r w:rsidR="00D8597D" w:rsidRPr="00F97360">
        <w:rPr>
          <w:rFonts w:ascii="Arial" w:hAnsi="Arial" w:cs="Arial"/>
          <w:sz w:val="20"/>
          <w:highlight w:val="lightGray"/>
        </w:rPr>
        <w:instrText>REF a87327 \h \w</w:instrText>
      </w:r>
      <w:r w:rsidR="0037270F" w:rsidRPr="00F97360">
        <w:rPr>
          <w:rFonts w:ascii="Arial" w:hAnsi="Arial" w:cs="Arial"/>
          <w:sz w:val="20"/>
        </w:rPr>
        <w:instrText xml:space="preserve"> \* MERGEFORMAT </w:instrText>
      </w:r>
      <w:r w:rsidR="00D8597D" w:rsidRPr="00F97360">
        <w:rPr>
          <w:rFonts w:ascii="Arial" w:hAnsi="Arial" w:cs="Arial"/>
          <w:sz w:val="20"/>
        </w:rPr>
      </w:r>
      <w:r w:rsidR="00D8597D" w:rsidRPr="00F97360">
        <w:rPr>
          <w:rFonts w:ascii="Arial" w:hAnsi="Arial" w:cs="Arial"/>
          <w:sz w:val="20"/>
        </w:rPr>
        <w:fldChar w:fldCharType="separate"/>
      </w:r>
      <w:r w:rsidR="00710210" w:rsidRPr="00F97360">
        <w:rPr>
          <w:rFonts w:ascii="Arial" w:hAnsi="Arial" w:cs="Arial"/>
          <w:sz w:val="20"/>
          <w:highlight w:val="lightGray"/>
        </w:rPr>
        <w:t>25.1</w:t>
      </w:r>
      <w:r w:rsidR="00D8597D" w:rsidRPr="00F97360">
        <w:rPr>
          <w:rFonts w:ascii="Arial" w:hAnsi="Arial" w:cs="Arial"/>
          <w:sz w:val="20"/>
        </w:rPr>
        <w:fldChar w:fldCharType="end"/>
      </w:r>
      <w:r w:rsidR="00D8597D" w:rsidRPr="00F97360">
        <w:rPr>
          <w:rFonts w:ascii="Arial" w:hAnsi="Arial" w:cs="Arial"/>
          <w:sz w:val="20"/>
        </w:rPr>
        <w:t>, the Appropriate Address means:</w:t>
      </w:r>
    </w:p>
    <w:p w14:paraId="56712F28" w14:textId="30B9432E" w:rsidR="007B4FB5" w:rsidRPr="00F97360" w:rsidRDefault="00D8597D" w:rsidP="007B4FB5">
      <w:pPr>
        <w:pStyle w:val="Untitledsubclause3"/>
        <w:rPr>
          <w:rFonts w:ascii="Arial" w:hAnsi="Arial" w:cs="Arial"/>
          <w:sz w:val="20"/>
        </w:rPr>
      </w:pPr>
      <w:bookmarkStart w:id="455" w:name="a613183"/>
      <w:r w:rsidRPr="00F97360">
        <w:rPr>
          <w:rFonts w:ascii="Arial" w:hAnsi="Arial" w:cs="Arial"/>
          <w:sz w:val="20"/>
        </w:rPr>
        <w:t xml:space="preserve">in respect of the Company, </w:t>
      </w:r>
      <w:r w:rsidR="006A5F01" w:rsidRPr="00F97360">
        <w:rPr>
          <w:rFonts w:ascii="Arial" w:hAnsi="Arial" w:cs="Arial"/>
          <w:sz w:val="20"/>
        </w:rPr>
        <w:t xml:space="preserve">the Company's registered office </w:t>
      </w:r>
      <w:r w:rsidR="001B21E5" w:rsidRPr="00F97360">
        <w:rPr>
          <w:rFonts w:ascii="Arial" w:hAnsi="Arial" w:cs="Arial"/>
          <w:sz w:val="20"/>
        </w:rPr>
        <w:t>at the relevant time</w:t>
      </w:r>
      <w:r w:rsidR="006A5F01" w:rsidRPr="00F97360">
        <w:rPr>
          <w:rFonts w:ascii="Arial" w:hAnsi="Arial" w:cs="Arial"/>
          <w:sz w:val="20"/>
        </w:rPr>
        <w:t xml:space="preserve"> (</w:t>
      </w:r>
      <w:r w:rsidR="001B21E5" w:rsidRPr="00F97360">
        <w:rPr>
          <w:rFonts w:ascii="Arial" w:hAnsi="Arial" w:cs="Arial"/>
          <w:sz w:val="20"/>
        </w:rPr>
        <w:t>currently,</w:t>
      </w:r>
      <w:r w:rsidR="00716014" w:rsidRPr="00F97360">
        <w:rPr>
          <w:rFonts w:ascii="Arial" w:hAnsi="Arial" w:cs="Arial"/>
          <w:sz w:val="20"/>
        </w:rPr>
        <w:t xml:space="preserve"> 4 Victoria Place, Holbeck, Leeds, England, LS11 5AE</w:t>
      </w:r>
      <w:r w:rsidR="006A5F01" w:rsidRPr="00F97360">
        <w:rPr>
          <w:rFonts w:ascii="Arial" w:hAnsi="Arial" w:cs="Arial"/>
          <w:sz w:val="20"/>
        </w:rPr>
        <w:t>)</w:t>
      </w:r>
      <w:r w:rsidRPr="00F97360">
        <w:rPr>
          <w:rFonts w:ascii="Arial" w:hAnsi="Arial" w:cs="Arial"/>
          <w:sz w:val="20"/>
        </w:rPr>
        <w:t xml:space="preserve">, provided the notice is marked for the attention of </w:t>
      </w:r>
      <w:r w:rsidR="00215916" w:rsidRPr="00F97360">
        <w:rPr>
          <w:rFonts w:ascii="Arial" w:hAnsi="Arial" w:cs="Arial"/>
          <w:sz w:val="20"/>
        </w:rPr>
        <w:t xml:space="preserve">the Company </w:t>
      </w:r>
      <w:proofErr w:type="gramStart"/>
      <w:r w:rsidR="00215916" w:rsidRPr="00F97360">
        <w:rPr>
          <w:rFonts w:ascii="Arial" w:hAnsi="Arial" w:cs="Arial"/>
          <w:sz w:val="20"/>
        </w:rPr>
        <w:t>Secretary</w:t>
      </w:r>
      <w:r w:rsidR="001F3A28" w:rsidRPr="0059105D">
        <w:rPr>
          <w:rFonts w:ascii="Arial" w:hAnsi="Arial" w:cs="Arial"/>
          <w:sz w:val="20"/>
        </w:rPr>
        <w:t>;</w:t>
      </w:r>
      <w:bookmarkEnd w:id="455"/>
      <w:proofErr w:type="gramEnd"/>
    </w:p>
    <w:p w14:paraId="56712F29" w14:textId="340289A5" w:rsidR="007B4FB5" w:rsidRPr="00F97360" w:rsidRDefault="00D8597D" w:rsidP="006D3077">
      <w:pPr>
        <w:pStyle w:val="Untitledsubclause3"/>
        <w:rPr>
          <w:rFonts w:ascii="Arial" w:hAnsi="Arial" w:cs="Arial"/>
          <w:sz w:val="20"/>
        </w:rPr>
      </w:pPr>
      <w:bookmarkStart w:id="456" w:name="a882807"/>
      <w:r w:rsidRPr="00F97360">
        <w:rPr>
          <w:rFonts w:ascii="Arial" w:hAnsi="Arial" w:cs="Arial"/>
          <w:sz w:val="20"/>
        </w:rPr>
        <w:t xml:space="preserve">in respect of </w:t>
      </w:r>
      <w:r w:rsidR="00AA32FF" w:rsidRPr="00F97360">
        <w:rPr>
          <w:rFonts w:ascii="Arial" w:hAnsi="Arial" w:cs="Arial"/>
          <w:sz w:val="20"/>
        </w:rPr>
        <w:t>an Award Holder</w:t>
      </w:r>
      <w:r w:rsidRPr="00F97360">
        <w:rPr>
          <w:rFonts w:ascii="Arial" w:hAnsi="Arial" w:cs="Arial"/>
          <w:sz w:val="20"/>
        </w:rPr>
        <w:t>, their</w:t>
      </w:r>
      <w:bookmarkEnd w:id="456"/>
      <w:r w:rsidRPr="00F97360">
        <w:rPr>
          <w:rFonts w:ascii="Arial" w:hAnsi="Arial" w:cs="Arial"/>
          <w:sz w:val="20"/>
        </w:rPr>
        <w:t xml:space="preserve"> address last known to the Company, or </w:t>
      </w:r>
      <w:bookmarkStart w:id="457" w:name="a833445"/>
      <w:r w:rsidRPr="00F97360">
        <w:rPr>
          <w:rFonts w:ascii="Arial" w:hAnsi="Arial" w:cs="Arial"/>
          <w:sz w:val="20"/>
        </w:rPr>
        <w:t>if the Award Holder has died, and notice of the appointment of personal representatives is given to the Company, any contact address specified in that notice</w:t>
      </w:r>
      <w:bookmarkEnd w:id="457"/>
      <w:r w:rsidR="00DB0AE3" w:rsidRPr="00F97360">
        <w:rPr>
          <w:rFonts w:ascii="Arial" w:hAnsi="Arial" w:cs="Arial"/>
          <w:sz w:val="20"/>
        </w:rPr>
        <w:t>, or</w:t>
      </w:r>
    </w:p>
    <w:p w14:paraId="56712F2B" w14:textId="77777777" w:rsidR="007B4FB5" w:rsidRPr="00F97360" w:rsidRDefault="00D8597D" w:rsidP="00F97360">
      <w:pPr>
        <w:pStyle w:val="Untitledsubclause2"/>
        <w:tabs>
          <w:tab w:val="clear" w:pos="1554"/>
        </w:tabs>
        <w:ind w:left="1985" w:hanging="567"/>
        <w:rPr>
          <w:rFonts w:ascii="Arial" w:hAnsi="Arial" w:cs="Arial"/>
          <w:sz w:val="20"/>
        </w:rPr>
      </w:pPr>
      <w:bookmarkStart w:id="458" w:name="a1010983"/>
      <w:r w:rsidRPr="00F97360">
        <w:rPr>
          <w:rFonts w:ascii="Arial" w:hAnsi="Arial" w:cs="Arial"/>
          <w:sz w:val="20"/>
        </w:rPr>
        <w:t xml:space="preserve">sent by email to the </w:t>
      </w:r>
      <w:r w:rsidRPr="00F97360">
        <w:rPr>
          <w:rStyle w:val="DefTerm"/>
          <w:color w:val="auto"/>
          <w:sz w:val="20"/>
        </w:rPr>
        <w:t>Appropriate Email Address</w:t>
      </w:r>
      <w:r w:rsidRPr="00F97360">
        <w:rPr>
          <w:rFonts w:ascii="Arial" w:hAnsi="Arial" w:cs="Arial"/>
          <w:sz w:val="20"/>
        </w:rPr>
        <w:t>.</w:t>
      </w:r>
      <w:bookmarkEnd w:id="458"/>
    </w:p>
    <w:p w14:paraId="56712F2C" w14:textId="21A51994" w:rsidR="007B4FB5" w:rsidRPr="00F97360" w:rsidRDefault="00D8597D" w:rsidP="00F97360">
      <w:pPr>
        <w:pStyle w:val="Parasubclause2"/>
        <w:ind w:firstLine="426"/>
        <w:rPr>
          <w:rFonts w:ascii="Arial" w:hAnsi="Arial" w:cs="Arial"/>
          <w:sz w:val="20"/>
        </w:rPr>
      </w:pPr>
      <w:r w:rsidRPr="00F97360">
        <w:rPr>
          <w:rFonts w:ascii="Arial" w:hAnsi="Arial" w:cs="Arial"/>
          <w:sz w:val="20"/>
        </w:rPr>
        <w:t xml:space="preserve">For the purposes of this </w:t>
      </w:r>
      <w:r w:rsidRPr="00F97360">
        <w:rPr>
          <w:rFonts w:ascii="Arial" w:hAnsi="Arial" w:cs="Arial"/>
          <w:sz w:val="20"/>
        </w:rPr>
        <w:fldChar w:fldCharType="begin"/>
      </w:r>
      <w:r w:rsidRPr="00F97360">
        <w:rPr>
          <w:rFonts w:ascii="Arial" w:hAnsi="Arial" w:cs="Arial"/>
          <w:sz w:val="20"/>
        </w:rPr>
        <w:instrText>PAGEREF a87327\# "'rule '"  \h</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 xml:space="preserve">rule </w:t>
      </w:r>
      <w:r w:rsidRPr="00F97360">
        <w:rPr>
          <w:rFonts w:ascii="Arial" w:hAnsi="Arial" w:cs="Arial"/>
          <w:sz w:val="20"/>
        </w:rPr>
        <w:fldChar w:fldCharType="end"/>
      </w:r>
      <w:r w:rsidRPr="00F97360">
        <w:rPr>
          <w:rFonts w:ascii="Arial" w:hAnsi="Arial" w:cs="Arial"/>
          <w:sz w:val="20"/>
        </w:rPr>
        <w:fldChar w:fldCharType="begin"/>
      </w:r>
      <w:r w:rsidRPr="00F97360">
        <w:rPr>
          <w:rFonts w:ascii="Arial" w:hAnsi="Arial" w:cs="Arial"/>
          <w:sz w:val="20"/>
        </w:rPr>
        <w:instrText>REF a87327 \h \w</w:instrText>
      </w:r>
      <w:r w:rsidR="0037270F"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25.1</w:t>
      </w:r>
      <w:r w:rsidRPr="00F97360">
        <w:rPr>
          <w:rFonts w:ascii="Arial" w:hAnsi="Arial" w:cs="Arial"/>
          <w:sz w:val="20"/>
        </w:rPr>
        <w:fldChar w:fldCharType="end"/>
      </w:r>
      <w:r w:rsidRPr="00F97360">
        <w:rPr>
          <w:rFonts w:ascii="Arial" w:hAnsi="Arial" w:cs="Arial"/>
          <w:sz w:val="20"/>
        </w:rPr>
        <w:t>, Appropriate Email Address means:</w:t>
      </w:r>
    </w:p>
    <w:p w14:paraId="56712F2D" w14:textId="451A0379" w:rsidR="007B4FB5" w:rsidRPr="00F97360" w:rsidRDefault="00D8597D" w:rsidP="007B4FB5">
      <w:pPr>
        <w:pStyle w:val="Untitledsubclause3"/>
        <w:rPr>
          <w:rFonts w:ascii="Arial" w:hAnsi="Arial" w:cs="Arial"/>
          <w:sz w:val="20"/>
        </w:rPr>
      </w:pPr>
      <w:bookmarkStart w:id="459" w:name="a448918"/>
      <w:r w:rsidRPr="00F97360">
        <w:rPr>
          <w:rFonts w:ascii="Arial" w:hAnsi="Arial" w:cs="Arial"/>
          <w:sz w:val="20"/>
        </w:rPr>
        <w:t>in respect of the Company,</w:t>
      </w:r>
      <w:r w:rsidR="00ED0AF2" w:rsidRPr="00F97360">
        <w:rPr>
          <w:rFonts w:ascii="Arial" w:hAnsi="Arial" w:cs="Arial"/>
          <w:sz w:val="20"/>
        </w:rPr>
        <w:t xml:space="preserve"> the email address of the Company Secretary,</w:t>
      </w:r>
      <w:r w:rsidR="00467386" w:rsidRPr="00F97360">
        <w:rPr>
          <w:rFonts w:ascii="Arial" w:hAnsi="Arial" w:cs="Arial"/>
          <w:sz w:val="20"/>
        </w:rPr>
        <w:t xml:space="preserve"> </w:t>
      </w:r>
      <w:r w:rsidR="001F3A28" w:rsidRPr="0059105D">
        <w:rPr>
          <w:rFonts w:ascii="Arial" w:hAnsi="Arial" w:cs="Arial"/>
          <w:sz w:val="20"/>
        </w:rPr>
        <w:t xml:space="preserve">at </w:t>
      </w:r>
      <w:r w:rsidR="001F3A28" w:rsidRPr="00F97360">
        <w:rPr>
          <w:rFonts w:ascii="Arial" w:hAnsi="Arial"/>
          <w:sz w:val="20"/>
        </w:rPr>
        <w:t>company.secretary</w:t>
      </w:r>
      <w:r w:rsidR="002B3F23" w:rsidRPr="00F97360">
        <w:rPr>
          <w:rFonts w:ascii="Arial" w:hAnsi="Arial"/>
          <w:sz w:val="20"/>
        </w:rPr>
        <w:t>@genuitgroup.com</w:t>
      </w:r>
      <w:r w:rsidRPr="00F97360">
        <w:rPr>
          <w:rFonts w:ascii="Arial" w:hAnsi="Arial" w:cs="Arial"/>
          <w:sz w:val="20"/>
        </w:rPr>
        <w:t>; and</w:t>
      </w:r>
      <w:bookmarkEnd w:id="459"/>
    </w:p>
    <w:p w14:paraId="56712F2E" w14:textId="77777777" w:rsidR="007B4FB5" w:rsidRPr="00F97360" w:rsidRDefault="00D8597D" w:rsidP="007B4FB5">
      <w:pPr>
        <w:pStyle w:val="Untitledsubclause3"/>
        <w:rPr>
          <w:rFonts w:ascii="Arial" w:hAnsi="Arial" w:cs="Arial"/>
          <w:sz w:val="20"/>
        </w:rPr>
      </w:pPr>
      <w:bookmarkStart w:id="460" w:name="a342104"/>
      <w:r w:rsidRPr="00F97360">
        <w:rPr>
          <w:rFonts w:ascii="Arial" w:hAnsi="Arial" w:cs="Arial"/>
          <w:sz w:val="20"/>
        </w:rPr>
        <w:t xml:space="preserve">in respect of </w:t>
      </w:r>
      <w:r w:rsidR="00AA32FF" w:rsidRPr="00F97360">
        <w:rPr>
          <w:rFonts w:ascii="Arial" w:hAnsi="Arial" w:cs="Arial"/>
          <w:sz w:val="20"/>
        </w:rPr>
        <w:t>an Award Holder</w:t>
      </w:r>
      <w:r w:rsidR="009E0102" w:rsidRPr="00F97360">
        <w:rPr>
          <w:rFonts w:ascii="Arial" w:hAnsi="Arial" w:cs="Arial"/>
          <w:sz w:val="20"/>
        </w:rPr>
        <w:t>, their work email address or such other e-mail address last known to the Company</w:t>
      </w:r>
      <w:r w:rsidRPr="00F97360">
        <w:rPr>
          <w:rFonts w:ascii="Arial" w:hAnsi="Arial" w:cs="Arial"/>
          <w:sz w:val="20"/>
        </w:rPr>
        <w:t>.</w:t>
      </w:r>
      <w:bookmarkEnd w:id="460"/>
    </w:p>
    <w:p w14:paraId="56712F2F" w14:textId="79F22BCF" w:rsidR="007B4FB5" w:rsidRPr="00F97360" w:rsidRDefault="00D8597D" w:rsidP="007B4FB5">
      <w:pPr>
        <w:pStyle w:val="Untitledsubclause1"/>
        <w:rPr>
          <w:rFonts w:ascii="Arial" w:hAnsi="Arial" w:cs="Arial"/>
          <w:sz w:val="20"/>
        </w:rPr>
      </w:pPr>
      <w:bookmarkStart w:id="461" w:name="a380785"/>
      <w:r w:rsidRPr="00F97360">
        <w:rPr>
          <w:rFonts w:ascii="Arial" w:hAnsi="Arial" w:cs="Arial"/>
          <w:sz w:val="20"/>
        </w:rPr>
        <w:t xml:space="preserve">Any notice or other communication given under this </w:t>
      </w:r>
      <w:r w:rsidRPr="00F97360">
        <w:rPr>
          <w:rFonts w:ascii="Arial" w:hAnsi="Arial" w:cs="Arial"/>
          <w:sz w:val="20"/>
        </w:rPr>
        <w:fldChar w:fldCharType="begin"/>
      </w:r>
      <w:r w:rsidRPr="00F97360">
        <w:rPr>
          <w:rFonts w:ascii="Arial" w:hAnsi="Arial" w:cs="Arial"/>
          <w:sz w:val="20"/>
        </w:rPr>
        <w:instrText>PAGEREF a360067\# "'rule '"  \h</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 xml:space="preserve">rule </w:t>
      </w:r>
      <w:r w:rsidRPr="00F97360">
        <w:rPr>
          <w:rFonts w:ascii="Arial" w:hAnsi="Arial" w:cs="Arial"/>
          <w:sz w:val="20"/>
        </w:rPr>
        <w:fldChar w:fldCharType="end"/>
      </w:r>
      <w:r w:rsidRPr="00F97360">
        <w:rPr>
          <w:rFonts w:ascii="Arial" w:hAnsi="Arial" w:cs="Arial"/>
          <w:sz w:val="20"/>
        </w:rPr>
        <w:fldChar w:fldCharType="begin"/>
      </w:r>
      <w:r w:rsidRPr="00F97360">
        <w:rPr>
          <w:rFonts w:ascii="Arial" w:hAnsi="Arial" w:cs="Arial"/>
          <w:sz w:val="20"/>
          <w:highlight w:val="lightGray"/>
        </w:rPr>
        <w:instrText>REF a360067 \h \w</w:instrText>
      </w:r>
      <w:r w:rsidR="0037270F"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highlight w:val="lightGray"/>
        </w:rPr>
        <w:t>25</w:t>
      </w:r>
      <w:r w:rsidRPr="00F97360">
        <w:rPr>
          <w:rFonts w:ascii="Arial" w:hAnsi="Arial" w:cs="Arial"/>
          <w:sz w:val="20"/>
        </w:rPr>
        <w:fldChar w:fldCharType="end"/>
      </w:r>
      <w:r w:rsidRPr="00F97360">
        <w:rPr>
          <w:rFonts w:ascii="Arial" w:hAnsi="Arial" w:cs="Arial"/>
          <w:sz w:val="20"/>
        </w:rPr>
        <w:t xml:space="preserve"> shall be deemed to have been received:</w:t>
      </w:r>
      <w:bookmarkEnd w:id="461"/>
    </w:p>
    <w:p w14:paraId="56712F30" w14:textId="77777777" w:rsidR="007B4FB5" w:rsidRPr="00F97360" w:rsidRDefault="00D8597D" w:rsidP="00F97360">
      <w:pPr>
        <w:pStyle w:val="Untitledsubclause2"/>
        <w:tabs>
          <w:tab w:val="clear" w:pos="1554"/>
          <w:tab w:val="num" w:pos="1985"/>
        </w:tabs>
        <w:ind w:left="1985"/>
        <w:rPr>
          <w:rFonts w:ascii="Arial" w:hAnsi="Arial" w:cs="Arial"/>
          <w:sz w:val="20"/>
        </w:rPr>
      </w:pPr>
      <w:bookmarkStart w:id="462" w:name="a605092"/>
      <w:r w:rsidRPr="00F97360">
        <w:rPr>
          <w:rFonts w:ascii="Arial" w:hAnsi="Arial" w:cs="Arial"/>
          <w:sz w:val="20"/>
        </w:rPr>
        <w:t xml:space="preserve">if delivered by hand, on signature of a delivery receipt, or at the time the notice is left at the appropriate </w:t>
      </w:r>
      <w:proofErr w:type="gramStart"/>
      <w:r w:rsidRPr="00F97360">
        <w:rPr>
          <w:rFonts w:ascii="Arial" w:hAnsi="Arial" w:cs="Arial"/>
          <w:sz w:val="20"/>
        </w:rPr>
        <w:t>address;</w:t>
      </w:r>
      <w:bookmarkEnd w:id="462"/>
      <w:proofErr w:type="gramEnd"/>
    </w:p>
    <w:p w14:paraId="56712F31" w14:textId="682E6B7A" w:rsidR="007B4FB5" w:rsidRPr="00F97360" w:rsidRDefault="00D8597D" w:rsidP="00F97360">
      <w:pPr>
        <w:pStyle w:val="Untitledsubclause2"/>
        <w:tabs>
          <w:tab w:val="clear" w:pos="1554"/>
          <w:tab w:val="num" w:pos="1985"/>
        </w:tabs>
        <w:ind w:left="1985"/>
        <w:rPr>
          <w:rFonts w:ascii="Arial" w:hAnsi="Arial" w:cs="Arial"/>
          <w:sz w:val="20"/>
        </w:rPr>
      </w:pPr>
      <w:bookmarkStart w:id="463" w:name="a666589"/>
      <w:r w:rsidRPr="00F97360">
        <w:rPr>
          <w:rFonts w:ascii="Arial" w:hAnsi="Arial" w:cs="Arial"/>
          <w:sz w:val="20"/>
        </w:rPr>
        <w:t>if sent by prepaid first-class post or other next working day delivery service, at 9.00 am on the second Business Day after posting, or</w:t>
      </w:r>
      <w:r w:rsidR="001B21E5" w:rsidRPr="00F97360">
        <w:rPr>
          <w:rFonts w:ascii="Arial" w:hAnsi="Arial" w:cs="Arial"/>
          <w:sz w:val="20"/>
        </w:rPr>
        <w:t>, if provided,</w:t>
      </w:r>
      <w:r w:rsidRPr="00F97360">
        <w:rPr>
          <w:rFonts w:ascii="Arial" w:hAnsi="Arial" w:cs="Arial"/>
          <w:sz w:val="20"/>
        </w:rPr>
        <w:t xml:space="preserve"> at the time recorded by the delivery service</w:t>
      </w:r>
      <w:bookmarkEnd w:id="463"/>
      <w:r w:rsidR="006701B3" w:rsidRPr="00F97360">
        <w:rPr>
          <w:rFonts w:ascii="Arial" w:hAnsi="Arial" w:cs="Arial"/>
          <w:sz w:val="20"/>
        </w:rPr>
        <w:t>, and</w:t>
      </w:r>
    </w:p>
    <w:p w14:paraId="56712F33" w14:textId="77777777" w:rsidR="007B4FB5" w:rsidRPr="00F97360" w:rsidRDefault="00D8597D" w:rsidP="00F97360">
      <w:pPr>
        <w:pStyle w:val="Untitledsubclause2"/>
        <w:tabs>
          <w:tab w:val="clear" w:pos="1554"/>
          <w:tab w:val="num" w:pos="1985"/>
        </w:tabs>
        <w:ind w:left="1985"/>
        <w:rPr>
          <w:rFonts w:ascii="Arial" w:hAnsi="Arial" w:cs="Arial"/>
          <w:sz w:val="20"/>
        </w:rPr>
      </w:pPr>
      <w:bookmarkStart w:id="464" w:name="a566729"/>
      <w:r w:rsidRPr="00F97360">
        <w:rPr>
          <w:rFonts w:ascii="Arial" w:hAnsi="Arial" w:cs="Arial"/>
          <w:sz w:val="20"/>
        </w:rPr>
        <w:t>if sent by email, at 9.00 am on the next Business Day after sending.</w:t>
      </w:r>
      <w:bookmarkEnd w:id="464"/>
    </w:p>
    <w:p w14:paraId="56712F34" w14:textId="77777777" w:rsidR="007B4FB5" w:rsidRPr="00F97360" w:rsidRDefault="00D8597D" w:rsidP="007B4FB5">
      <w:pPr>
        <w:pStyle w:val="Untitledsubclause1"/>
        <w:rPr>
          <w:rFonts w:ascii="Arial" w:hAnsi="Arial" w:cs="Arial"/>
          <w:sz w:val="20"/>
        </w:rPr>
      </w:pPr>
      <w:bookmarkStart w:id="465" w:name="a594728"/>
      <w:r w:rsidRPr="00F97360">
        <w:rPr>
          <w:rFonts w:ascii="Arial" w:hAnsi="Arial" w:cs="Arial"/>
          <w:sz w:val="20"/>
        </w:rPr>
        <w:t>This rule does not apply to:</w:t>
      </w:r>
      <w:bookmarkEnd w:id="465"/>
    </w:p>
    <w:p w14:paraId="56712F35" w14:textId="74E5A62A" w:rsidR="007B4FB5" w:rsidRPr="00F97360" w:rsidRDefault="00D8597D" w:rsidP="00F97360">
      <w:pPr>
        <w:pStyle w:val="Untitledsubclause2"/>
        <w:tabs>
          <w:tab w:val="clear" w:pos="1554"/>
          <w:tab w:val="num" w:pos="1985"/>
        </w:tabs>
        <w:ind w:left="1985"/>
        <w:rPr>
          <w:rFonts w:ascii="Arial" w:hAnsi="Arial" w:cs="Arial"/>
          <w:sz w:val="20"/>
        </w:rPr>
      </w:pPr>
      <w:bookmarkStart w:id="466" w:name="a776311"/>
      <w:r w:rsidRPr="00F97360">
        <w:rPr>
          <w:rFonts w:ascii="Arial" w:hAnsi="Arial" w:cs="Arial"/>
          <w:sz w:val="20"/>
        </w:rPr>
        <w:t>the service of any Acceptance Notice or Exercise Notice; and</w:t>
      </w:r>
      <w:bookmarkEnd w:id="466"/>
    </w:p>
    <w:p w14:paraId="56712F36" w14:textId="77777777" w:rsidR="007B4FB5" w:rsidRPr="00F97360" w:rsidRDefault="00D8597D" w:rsidP="00F97360">
      <w:pPr>
        <w:pStyle w:val="Untitledsubclause2"/>
        <w:tabs>
          <w:tab w:val="clear" w:pos="1554"/>
          <w:tab w:val="num" w:pos="1985"/>
        </w:tabs>
        <w:ind w:left="1985"/>
        <w:rPr>
          <w:rFonts w:ascii="Arial" w:hAnsi="Arial" w:cs="Arial"/>
          <w:sz w:val="20"/>
        </w:rPr>
      </w:pPr>
      <w:bookmarkStart w:id="467" w:name="a965983"/>
      <w:r w:rsidRPr="00F97360">
        <w:rPr>
          <w:rFonts w:ascii="Arial" w:hAnsi="Arial" w:cs="Arial"/>
          <w:sz w:val="20"/>
        </w:rPr>
        <w:t>the service of any proceedings or other documents in any legal action or, where applicable, any arbitration or other method of dispute resolution.</w:t>
      </w:r>
      <w:bookmarkEnd w:id="467"/>
    </w:p>
    <w:p w14:paraId="56712F37" w14:textId="77777777" w:rsidR="007B4FB5" w:rsidRPr="00F97360" w:rsidRDefault="00D8597D" w:rsidP="007B4FB5">
      <w:pPr>
        <w:pStyle w:val="TitleClause"/>
        <w:rPr>
          <w:rFonts w:ascii="Arial" w:hAnsi="Arial" w:cs="Arial"/>
          <w:sz w:val="20"/>
        </w:rPr>
      </w:pPr>
      <w:r w:rsidRPr="00F97360">
        <w:rPr>
          <w:rFonts w:ascii="Arial" w:hAnsi="Arial" w:cs="Arial"/>
          <w:sz w:val="20"/>
        </w:rPr>
        <w:fldChar w:fldCharType="begin"/>
      </w:r>
      <w:r w:rsidRPr="00F97360">
        <w:rPr>
          <w:rFonts w:ascii="Arial" w:hAnsi="Arial" w:cs="Arial"/>
          <w:sz w:val="20"/>
        </w:rPr>
        <w:instrText>TC "26. Administration and amendment" \l 1</w:instrText>
      </w:r>
      <w:r w:rsidRPr="00F97360">
        <w:rPr>
          <w:rFonts w:ascii="Arial" w:hAnsi="Arial" w:cs="Arial"/>
          <w:sz w:val="20"/>
        </w:rPr>
        <w:fldChar w:fldCharType="end"/>
      </w:r>
      <w:bookmarkStart w:id="468" w:name="a343464"/>
      <w:bookmarkStart w:id="469" w:name="_Toc105671039"/>
      <w:bookmarkStart w:id="470" w:name="_Toc103273415"/>
      <w:bookmarkStart w:id="471" w:name="_Toc145339796"/>
      <w:bookmarkStart w:id="472" w:name="_Toc131682146"/>
      <w:bookmarkStart w:id="473" w:name="_Toc161658079"/>
      <w:r w:rsidRPr="00F97360">
        <w:rPr>
          <w:rFonts w:ascii="Arial" w:hAnsi="Arial" w:cs="Arial"/>
          <w:sz w:val="20"/>
        </w:rPr>
        <w:t>Administration and amendment</w:t>
      </w:r>
      <w:bookmarkEnd w:id="468"/>
      <w:bookmarkEnd w:id="469"/>
      <w:bookmarkEnd w:id="470"/>
      <w:bookmarkEnd w:id="471"/>
      <w:bookmarkEnd w:id="472"/>
      <w:bookmarkEnd w:id="473"/>
    </w:p>
    <w:p w14:paraId="56712F38" w14:textId="51B5C60C" w:rsidR="007B4FB5" w:rsidRPr="00F97360" w:rsidRDefault="00D8597D" w:rsidP="007B4FB5">
      <w:pPr>
        <w:pStyle w:val="Untitledsubclause1"/>
        <w:rPr>
          <w:rFonts w:ascii="Arial" w:hAnsi="Arial" w:cs="Arial"/>
          <w:sz w:val="20"/>
        </w:rPr>
      </w:pPr>
      <w:bookmarkStart w:id="474" w:name="a909574"/>
      <w:r w:rsidRPr="00F97360">
        <w:rPr>
          <w:rFonts w:ascii="Arial" w:hAnsi="Arial" w:cs="Arial"/>
          <w:sz w:val="20"/>
        </w:rPr>
        <w:t xml:space="preserve">The </w:t>
      </w:r>
      <w:r w:rsidR="00623047" w:rsidRPr="00F97360">
        <w:rPr>
          <w:rFonts w:ascii="Arial" w:hAnsi="Arial" w:cs="Arial"/>
          <w:sz w:val="20"/>
        </w:rPr>
        <w:t>Remuneration Committee</w:t>
      </w:r>
      <w:r w:rsidRPr="00F97360">
        <w:rPr>
          <w:rFonts w:ascii="Arial" w:hAnsi="Arial" w:cs="Arial"/>
          <w:sz w:val="20"/>
        </w:rPr>
        <w:t xml:space="preserve"> shall administer the Plan.</w:t>
      </w:r>
      <w:bookmarkEnd w:id="474"/>
    </w:p>
    <w:p w14:paraId="56712F39" w14:textId="3828AB26" w:rsidR="007B4FB5" w:rsidRPr="00F97360" w:rsidRDefault="00D8597D" w:rsidP="007B4FB5">
      <w:pPr>
        <w:pStyle w:val="Untitledsubclause1"/>
        <w:numPr>
          <w:ilvl w:val="1"/>
          <w:numId w:val="23"/>
        </w:numPr>
        <w:rPr>
          <w:rFonts w:ascii="Arial" w:hAnsi="Arial" w:cs="Arial"/>
          <w:sz w:val="20"/>
        </w:rPr>
      </w:pPr>
      <w:bookmarkStart w:id="475" w:name="a945663"/>
      <w:r w:rsidRPr="00F97360">
        <w:rPr>
          <w:rFonts w:ascii="Arial" w:hAnsi="Arial" w:cs="Arial"/>
          <w:sz w:val="20"/>
        </w:rPr>
        <w:lastRenderedPageBreak/>
        <w:t xml:space="preserve">The </w:t>
      </w:r>
      <w:r w:rsidR="00623047" w:rsidRPr="00F97360">
        <w:rPr>
          <w:rFonts w:ascii="Arial" w:hAnsi="Arial" w:cs="Arial"/>
          <w:sz w:val="20"/>
        </w:rPr>
        <w:t>Remuneration Committee</w:t>
      </w:r>
      <w:r w:rsidRPr="00F97360">
        <w:rPr>
          <w:rFonts w:ascii="Arial" w:hAnsi="Arial" w:cs="Arial"/>
          <w:sz w:val="20"/>
        </w:rPr>
        <w:t xml:space="preserve"> may amend the Plan from time to time, but:</w:t>
      </w:r>
      <w:bookmarkEnd w:id="475"/>
    </w:p>
    <w:p w14:paraId="57FDE652" w14:textId="225F69A0" w:rsidR="00E97657" w:rsidRPr="00F97360" w:rsidRDefault="00D8597D" w:rsidP="00F97360">
      <w:pPr>
        <w:pStyle w:val="Untitledsubclause2"/>
        <w:tabs>
          <w:tab w:val="clear" w:pos="1554"/>
          <w:tab w:val="num" w:pos="1985"/>
        </w:tabs>
        <w:ind w:left="1985"/>
        <w:rPr>
          <w:rFonts w:ascii="Arial" w:hAnsi="Arial" w:cs="Arial"/>
          <w:sz w:val="20"/>
        </w:rPr>
      </w:pPr>
      <w:r w:rsidRPr="00F97360">
        <w:rPr>
          <w:rFonts w:ascii="Arial" w:hAnsi="Arial" w:cs="Arial"/>
          <w:sz w:val="20"/>
        </w:rPr>
        <w:t xml:space="preserve">no amendment will be made which would have a material adverse effect on the existing rights of </w:t>
      </w:r>
      <w:r w:rsidR="00AA32FF" w:rsidRPr="00F97360">
        <w:rPr>
          <w:rFonts w:ascii="Arial" w:hAnsi="Arial" w:cs="Arial"/>
          <w:sz w:val="20"/>
        </w:rPr>
        <w:t>an Award Holder</w:t>
      </w:r>
      <w:r w:rsidRPr="00F97360">
        <w:rPr>
          <w:rFonts w:ascii="Arial" w:hAnsi="Arial" w:cs="Arial"/>
          <w:sz w:val="20"/>
        </w:rPr>
        <w:t xml:space="preserve"> </w:t>
      </w:r>
      <w:r w:rsidR="00FF7B50" w:rsidRPr="00F97360">
        <w:rPr>
          <w:rFonts w:ascii="Arial" w:hAnsi="Arial" w:cs="Arial"/>
          <w:sz w:val="20"/>
        </w:rPr>
        <w:t xml:space="preserve">(except in respect of a Performance Condition) </w:t>
      </w:r>
      <w:r w:rsidRPr="00F97360">
        <w:rPr>
          <w:rFonts w:ascii="Arial" w:hAnsi="Arial" w:cs="Arial"/>
          <w:sz w:val="20"/>
        </w:rPr>
        <w:t>unless it is made with the Award Holder’s prior written consent</w:t>
      </w:r>
      <w:r w:rsidR="00EF62E4" w:rsidRPr="00F97360">
        <w:rPr>
          <w:rFonts w:ascii="Arial" w:hAnsi="Arial" w:cs="Arial"/>
          <w:sz w:val="20"/>
        </w:rPr>
        <w:t xml:space="preserve"> </w:t>
      </w:r>
      <w:r w:rsidR="005D3D64" w:rsidRPr="00F97360">
        <w:rPr>
          <w:rFonts w:ascii="Arial" w:hAnsi="Arial" w:cs="Arial"/>
          <w:sz w:val="20"/>
        </w:rPr>
        <w:t>or</w:t>
      </w:r>
      <w:r w:rsidR="00E97657" w:rsidRPr="00F97360">
        <w:rPr>
          <w:rFonts w:ascii="Arial" w:hAnsi="Arial" w:cs="Arial"/>
          <w:sz w:val="20"/>
        </w:rPr>
        <w:t>:</w:t>
      </w:r>
    </w:p>
    <w:p w14:paraId="56712F3A" w14:textId="12C6EC87" w:rsidR="00C1212D" w:rsidRPr="00F97360" w:rsidRDefault="00025C3F" w:rsidP="00E97657">
      <w:pPr>
        <w:pStyle w:val="Untitledsubclause3"/>
        <w:numPr>
          <w:ilvl w:val="3"/>
          <w:numId w:val="23"/>
        </w:numPr>
        <w:rPr>
          <w:rFonts w:ascii="Arial" w:hAnsi="Arial" w:cs="Arial"/>
          <w:sz w:val="20"/>
        </w:rPr>
      </w:pPr>
      <w:r w:rsidRPr="00F97360">
        <w:rPr>
          <w:rFonts w:ascii="Arial" w:hAnsi="Arial" w:cs="Arial"/>
          <w:sz w:val="20"/>
        </w:rPr>
        <w:t xml:space="preserve">where </w:t>
      </w:r>
      <w:r w:rsidR="00E44805" w:rsidRPr="00F97360">
        <w:rPr>
          <w:rFonts w:ascii="Arial" w:hAnsi="Arial" w:cs="Arial"/>
          <w:sz w:val="20"/>
        </w:rPr>
        <w:t xml:space="preserve">every Award Holder who may be affected by such amendment has been invited to consent to the amendment and consent is given by </w:t>
      </w:r>
      <w:proofErr w:type="gramStart"/>
      <w:r w:rsidR="00E44805" w:rsidRPr="00F97360">
        <w:rPr>
          <w:rFonts w:ascii="Arial" w:hAnsi="Arial" w:cs="Arial"/>
          <w:sz w:val="20"/>
        </w:rPr>
        <w:t>a majority of</w:t>
      </w:r>
      <w:proofErr w:type="gramEnd"/>
      <w:r w:rsidR="00E44805" w:rsidRPr="00F97360">
        <w:rPr>
          <w:rFonts w:ascii="Arial" w:hAnsi="Arial" w:cs="Arial"/>
          <w:sz w:val="20"/>
        </w:rPr>
        <w:t xml:space="preserve"> those Participants</w:t>
      </w:r>
      <w:r w:rsidR="00E97657" w:rsidRPr="00F97360">
        <w:rPr>
          <w:rFonts w:ascii="Arial" w:hAnsi="Arial" w:cs="Arial"/>
          <w:sz w:val="20"/>
        </w:rPr>
        <w:t>, or</w:t>
      </w:r>
    </w:p>
    <w:p w14:paraId="14822F47" w14:textId="6C7BC5F0" w:rsidR="007E1545" w:rsidRPr="00F97360" w:rsidRDefault="00E97657" w:rsidP="007E1545">
      <w:pPr>
        <w:pStyle w:val="Untitledsubclause3"/>
        <w:numPr>
          <w:ilvl w:val="3"/>
          <w:numId w:val="23"/>
        </w:numPr>
        <w:rPr>
          <w:rFonts w:ascii="Arial" w:hAnsi="Arial" w:cs="Arial"/>
          <w:sz w:val="20"/>
        </w:rPr>
      </w:pPr>
      <w:r w:rsidRPr="00F97360">
        <w:rPr>
          <w:rFonts w:ascii="Arial" w:hAnsi="Arial" w:cs="Arial"/>
          <w:sz w:val="20"/>
        </w:rPr>
        <w:t xml:space="preserve">to enable any Group Company </w:t>
      </w:r>
      <w:r w:rsidR="007E1545" w:rsidRPr="00F97360">
        <w:rPr>
          <w:rFonts w:ascii="Arial" w:hAnsi="Arial" w:cs="Arial"/>
          <w:sz w:val="20"/>
        </w:rPr>
        <w:t xml:space="preserve">to </w:t>
      </w:r>
      <w:r w:rsidRPr="00F97360">
        <w:rPr>
          <w:rFonts w:ascii="Arial" w:hAnsi="Arial" w:cs="Arial"/>
          <w:sz w:val="20"/>
        </w:rPr>
        <w:t xml:space="preserve">comply with </w:t>
      </w:r>
      <w:r w:rsidR="00674C20" w:rsidRPr="00F97360">
        <w:rPr>
          <w:rFonts w:ascii="Arial" w:hAnsi="Arial" w:cs="Arial"/>
          <w:sz w:val="20"/>
        </w:rPr>
        <w:t xml:space="preserve">any </w:t>
      </w:r>
      <w:r w:rsidR="007E1545" w:rsidRPr="00F97360">
        <w:rPr>
          <w:rFonts w:ascii="Arial" w:hAnsi="Arial" w:cs="Arial"/>
          <w:sz w:val="20"/>
        </w:rPr>
        <w:t>relevant legal or regulatory requirement</w:t>
      </w:r>
      <w:r w:rsidR="009F2FBF" w:rsidRPr="00F97360">
        <w:rPr>
          <w:rFonts w:ascii="Arial" w:hAnsi="Arial" w:cs="Arial"/>
          <w:sz w:val="20"/>
        </w:rPr>
        <w:t>,</w:t>
      </w:r>
    </w:p>
    <w:p w14:paraId="56712F3B" w14:textId="2B246004" w:rsidR="007B4FB5" w:rsidRPr="00F97360" w:rsidRDefault="0087634E" w:rsidP="00F97360">
      <w:pPr>
        <w:pStyle w:val="Untitledsubclause2"/>
        <w:tabs>
          <w:tab w:val="clear" w:pos="1554"/>
          <w:tab w:val="num" w:pos="1985"/>
        </w:tabs>
        <w:ind w:left="1985"/>
        <w:rPr>
          <w:rFonts w:ascii="Arial" w:hAnsi="Arial" w:cs="Arial"/>
          <w:sz w:val="20"/>
        </w:rPr>
      </w:pPr>
      <w:bookmarkStart w:id="476" w:name="a958935"/>
      <w:r w:rsidRPr="00F97360">
        <w:rPr>
          <w:rFonts w:ascii="Arial" w:hAnsi="Arial" w:cs="Arial"/>
          <w:sz w:val="20"/>
        </w:rPr>
        <w:t>w</w:t>
      </w:r>
      <w:r w:rsidR="00D8597D" w:rsidRPr="00F97360">
        <w:rPr>
          <w:rFonts w:ascii="Arial" w:hAnsi="Arial" w:cs="Arial"/>
          <w:sz w:val="20"/>
        </w:rPr>
        <w:t xml:space="preserve">hile Shares are admitted to the Official List, the </w:t>
      </w:r>
      <w:r w:rsidR="00623047" w:rsidRPr="00F97360">
        <w:rPr>
          <w:rFonts w:ascii="Arial" w:hAnsi="Arial" w:cs="Arial"/>
          <w:sz w:val="20"/>
        </w:rPr>
        <w:t>Remuneration Committee</w:t>
      </w:r>
      <w:r w:rsidR="00D8597D" w:rsidRPr="00F97360">
        <w:rPr>
          <w:rFonts w:ascii="Arial" w:hAnsi="Arial" w:cs="Arial"/>
          <w:sz w:val="20"/>
        </w:rPr>
        <w:t xml:space="preserve"> may not make any amendment to the advantage of </w:t>
      </w:r>
      <w:r w:rsidR="00331B3C" w:rsidRPr="00F97360">
        <w:rPr>
          <w:rFonts w:ascii="Arial" w:hAnsi="Arial" w:cs="Arial"/>
          <w:sz w:val="20"/>
        </w:rPr>
        <w:t xml:space="preserve">Employees or </w:t>
      </w:r>
      <w:r w:rsidR="00D8597D" w:rsidRPr="00F97360">
        <w:rPr>
          <w:rFonts w:ascii="Arial" w:hAnsi="Arial" w:cs="Arial"/>
          <w:sz w:val="20"/>
        </w:rPr>
        <w:t>Award Holders if that amendment relates to:</w:t>
      </w:r>
      <w:bookmarkEnd w:id="476"/>
    </w:p>
    <w:p w14:paraId="56712F3C" w14:textId="77777777" w:rsidR="007B4FB5" w:rsidRPr="00F97360" w:rsidRDefault="00D8597D" w:rsidP="007B4FB5">
      <w:pPr>
        <w:pStyle w:val="Untitledsubclause3"/>
        <w:numPr>
          <w:ilvl w:val="3"/>
          <w:numId w:val="23"/>
        </w:numPr>
        <w:rPr>
          <w:rFonts w:ascii="Arial" w:hAnsi="Arial" w:cs="Arial"/>
          <w:sz w:val="20"/>
        </w:rPr>
      </w:pPr>
      <w:bookmarkStart w:id="477" w:name="a157352"/>
      <w:r w:rsidRPr="00F97360">
        <w:rPr>
          <w:rFonts w:ascii="Arial" w:hAnsi="Arial" w:cs="Arial"/>
          <w:sz w:val="20"/>
        </w:rPr>
        <w:t xml:space="preserve">the definition of </w:t>
      </w:r>
      <w:proofErr w:type="gramStart"/>
      <w:r w:rsidRPr="00F97360">
        <w:rPr>
          <w:rFonts w:ascii="Arial" w:hAnsi="Arial" w:cs="Arial"/>
          <w:sz w:val="20"/>
        </w:rPr>
        <w:t>Employee;</w:t>
      </w:r>
      <w:bookmarkEnd w:id="477"/>
      <w:proofErr w:type="gramEnd"/>
    </w:p>
    <w:p w14:paraId="56712F3D" w14:textId="730D60CD" w:rsidR="007B4FB5" w:rsidRPr="00F97360" w:rsidRDefault="007B4FB5" w:rsidP="007B4FB5">
      <w:pPr>
        <w:pStyle w:val="Untitledsubclause3"/>
        <w:numPr>
          <w:ilvl w:val="3"/>
          <w:numId w:val="23"/>
        </w:numPr>
        <w:rPr>
          <w:rFonts w:ascii="Arial" w:hAnsi="Arial" w:cs="Arial"/>
          <w:sz w:val="20"/>
        </w:rPr>
      </w:pPr>
      <w:r w:rsidRPr="00F97360">
        <w:rPr>
          <w:rFonts w:ascii="Arial" w:hAnsi="Arial" w:cs="Arial"/>
          <w:sz w:val="20"/>
        </w:rPr>
        <w:fldChar w:fldCharType="begin"/>
      </w:r>
      <w:r w:rsidRPr="00F97360">
        <w:rPr>
          <w:rFonts w:ascii="Arial" w:hAnsi="Arial" w:cs="Arial"/>
          <w:sz w:val="20"/>
        </w:rPr>
        <w:instrText>PAGEREF a272740\# "'rule '"  \h</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 xml:space="preserve">rule </w:t>
      </w:r>
      <w:r w:rsidRPr="00F97360">
        <w:rPr>
          <w:rFonts w:ascii="Arial" w:hAnsi="Arial" w:cs="Arial"/>
          <w:sz w:val="20"/>
        </w:rPr>
        <w:fldChar w:fldCharType="end"/>
      </w:r>
      <w:r w:rsidRPr="00F97360">
        <w:rPr>
          <w:rFonts w:ascii="Arial" w:hAnsi="Arial" w:cs="Arial"/>
          <w:sz w:val="20"/>
        </w:rPr>
        <w:fldChar w:fldCharType="begin"/>
      </w:r>
      <w:r w:rsidRPr="00F97360">
        <w:rPr>
          <w:rFonts w:ascii="Arial" w:hAnsi="Arial" w:cs="Arial"/>
          <w:sz w:val="20"/>
        </w:rPr>
        <w:instrText>REF a272740 \h \w</w:instrText>
      </w:r>
      <w:r w:rsidR="00F111AC"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6</w:t>
      </w:r>
      <w:r w:rsidRPr="00F97360">
        <w:rPr>
          <w:rFonts w:ascii="Arial" w:hAnsi="Arial" w:cs="Arial"/>
          <w:sz w:val="20"/>
        </w:rPr>
        <w:fldChar w:fldCharType="end"/>
      </w:r>
      <w:r w:rsidRPr="00F97360">
        <w:rPr>
          <w:rFonts w:ascii="Arial" w:hAnsi="Arial" w:cs="Arial"/>
          <w:sz w:val="20"/>
        </w:rPr>
        <w:t xml:space="preserve"> or</w:t>
      </w:r>
      <w:bookmarkStart w:id="478" w:name="a487613"/>
      <w:r w:rsidR="00E9267F" w:rsidRPr="00F97360">
        <w:rPr>
          <w:rFonts w:ascii="Arial" w:hAnsi="Arial" w:cs="Arial"/>
          <w:sz w:val="20"/>
        </w:rPr>
        <w:t xml:space="preserve"> </w:t>
      </w:r>
      <w:r w:rsidR="00D8597D" w:rsidRPr="00F97360">
        <w:rPr>
          <w:rFonts w:ascii="Arial" w:hAnsi="Arial" w:cs="Arial"/>
          <w:sz w:val="20"/>
        </w:rPr>
        <w:fldChar w:fldCharType="begin"/>
      </w:r>
      <w:r w:rsidR="00D8597D" w:rsidRPr="00F97360">
        <w:rPr>
          <w:rFonts w:ascii="Arial" w:hAnsi="Arial" w:cs="Arial"/>
          <w:sz w:val="20"/>
        </w:rPr>
        <w:instrText>PAGEREF a341102\# "'rule '"  \h</w:instrText>
      </w:r>
      <w:r w:rsidR="00D8597D" w:rsidRPr="00F97360">
        <w:rPr>
          <w:rFonts w:ascii="Arial" w:hAnsi="Arial" w:cs="Arial"/>
          <w:sz w:val="20"/>
        </w:rPr>
      </w:r>
      <w:r w:rsidR="00D8597D" w:rsidRPr="00F97360">
        <w:rPr>
          <w:rFonts w:ascii="Arial" w:hAnsi="Arial" w:cs="Arial"/>
          <w:sz w:val="20"/>
        </w:rPr>
        <w:fldChar w:fldCharType="separate"/>
      </w:r>
      <w:r w:rsidR="00710210" w:rsidRPr="00F97360">
        <w:rPr>
          <w:rFonts w:ascii="Arial" w:hAnsi="Arial" w:cs="Arial"/>
          <w:sz w:val="20"/>
        </w:rPr>
        <w:t xml:space="preserve">rule </w:t>
      </w:r>
      <w:r w:rsidR="00D8597D" w:rsidRPr="00F97360">
        <w:rPr>
          <w:rFonts w:ascii="Arial" w:hAnsi="Arial" w:cs="Arial"/>
          <w:sz w:val="20"/>
        </w:rPr>
        <w:fldChar w:fldCharType="end"/>
      </w:r>
      <w:r w:rsidR="00D8597D" w:rsidRPr="00F97360">
        <w:rPr>
          <w:rFonts w:ascii="Arial" w:hAnsi="Arial" w:cs="Arial"/>
          <w:sz w:val="20"/>
        </w:rPr>
        <w:fldChar w:fldCharType="begin"/>
      </w:r>
      <w:r w:rsidR="00D8597D" w:rsidRPr="00F97360">
        <w:rPr>
          <w:rFonts w:ascii="Arial" w:hAnsi="Arial" w:cs="Arial"/>
          <w:sz w:val="20"/>
        </w:rPr>
        <w:instrText>REF a341102 \h \w</w:instrText>
      </w:r>
      <w:r w:rsidR="00F111AC" w:rsidRPr="00F97360">
        <w:rPr>
          <w:rFonts w:ascii="Arial" w:hAnsi="Arial" w:cs="Arial"/>
          <w:sz w:val="20"/>
        </w:rPr>
        <w:instrText xml:space="preserve"> \* MERGEFORMAT </w:instrText>
      </w:r>
      <w:r w:rsidR="00D8597D" w:rsidRPr="00F97360">
        <w:rPr>
          <w:rFonts w:ascii="Arial" w:hAnsi="Arial" w:cs="Arial"/>
          <w:sz w:val="20"/>
        </w:rPr>
      </w:r>
      <w:r w:rsidR="00D8597D" w:rsidRPr="00F97360">
        <w:rPr>
          <w:rFonts w:ascii="Arial" w:hAnsi="Arial" w:cs="Arial"/>
          <w:sz w:val="20"/>
        </w:rPr>
        <w:fldChar w:fldCharType="separate"/>
      </w:r>
      <w:r w:rsidR="00710210" w:rsidRPr="00F97360">
        <w:rPr>
          <w:rFonts w:ascii="Arial" w:hAnsi="Arial" w:cs="Arial"/>
          <w:sz w:val="20"/>
        </w:rPr>
        <w:t>7</w:t>
      </w:r>
      <w:r w:rsidR="00D8597D" w:rsidRPr="00F97360">
        <w:rPr>
          <w:rFonts w:ascii="Arial" w:hAnsi="Arial" w:cs="Arial"/>
          <w:sz w:val="20"/>
        </w:rPr>
        <w:fldChar w:fldCharType="end"/>
      </w:r>
      <w:r w:rsidR="00331B3C" w:rsidRPr="00F97360">
        <w:rPr>
          <w:rFonts w:ascii="Arial" w:hAnsi="Arial" w:cs="Arial"/>
          <w:sz w:val="20"/>
        </w:rPr>
        <w:t xml:space="preserve"> (relating to overall grant limits and individual grant limits respectively)</w:t>
      </w:r>
      <w:r w:rsidR="00D8597D" w:rsidRPr="00F97360">
        <w:rPr>
          <w:rFonts w:ascii="Arial" w:hAnsi="Arial" w:cs="Arial"/>
          <w:sz w:val="20"/>
        </w:rPr>
        <w:t>;</w:t>
      </w:r>
      <w:bookmarkEnd w:id="478"/>
    </w:p>
    <w:p w14:paraId="56712F3E" w14:textId="77777777" w:rsidR="002A037D" w:rsidRPr="00F97360" w:rsidRDefault="00D8597D" w:rsidP="007B4FB5">
      <w:pPr>
        <w:pStyle w:val="Untitledsubclause3"/>
        <w:numPr>
          <w:ilvl w:val="3"/>
          <w:numId w:val="23"/>
        </w:numPr>
        <w:rPr>
          <w:rFonts w:ascii="Arial" w:hAnsi="Arial" w:cs="Arial"/>
          <w:sz w:val="20"/>
        </w:rPr>
      </w:pPr>
      <w:r w:rsidRPr="00F97360">
        <w:rPr>
          <w:rFonts w:ascii="Arial" w:hAnsi="Arial" w:cs="Arial"/>
          <w:sz w:val="20"/>
        </w:rPr>
        <w:t xml:space="preserve">the basis for determining </w:t>
      </w:r>
      <w:r w:rsidR="00AA32FF" w:rsidRPr="00F97360">
        <w:rPr>
          <w:rFonts w:ascii="Arial" w:hAnsi="Arial" w:cs="Arial"/>
          <w:sz w:val="20"/>
        </w:rPr>
        <w:t>an Award Holder</w:t>
      </w:r>
      <w:r w:rsidRPr="00F97360">
        <w:rPr>
          <w:rFonts w:ascii="Arial" w:hAnsi="Arial" w:cs="Arial"/>
          <w:sz w:val="20"/>
        </w:rPr>
        <w:t>’s entitlement to, and the terms of, Shares or cash to be provided under the Plan, or</w:t>
      </w:r>
    </w:p>
    <w:p w14:paraId="56712F3F" w14:textId="18027BA0" w:rsidR="007B4FB5" w:rsidRPr="00F97360" w:rsidRDefault="00D8597D" w:rsidP="007B4FB5">
      <w:pPr>
        <w:pStyle w:val="Untitledsubclause3"/>
        <w:numPr>
          <w:ilvl w:val="3"/>
          <w:numId w:val="23"/>
        </w:numPr>
        <w:rPr>
          <w:rFonts w:ascii="Arial" w:hAnsi="Arial" w:cs="Arial"/>
          <w:sz w:val="20"/>
        </w:rPr>
      </w:pPr>
      <w:r w:rsidRPr="00F97360">
        <w:rPr>
          <w:rFonts w:ascii="Arial" w:hAnsi="Arial" w:cs="Arial"/>
          <w:sz w:val="20"/>
        </w:rPr>
        <w:fldChar w:fldCharType="begin"/>
      </w:r>
      <w:r w:rsidRPr="00F97360">
        <w:rPr>
          <w:rFonts w:ascii="Arial" w:hAnsi="Arial" w:cs="Arial"/>
          <w:sz w:val="20"/>
        </w:rPr>
        <w:instrText>PAGEREF a129837\# "'rule '"  \h</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 xml:space="preserve">rule </w:t>
      </w:r>
      <w:r w:rsidRPr="00F97360">
        <w:rPr>
          <w:rFonts w:ascii="Arial" w:hAnsi="Arial" w:cs="Arial"/>
          <w:sz w:val="20"/>
        </w:rPr>
        <w:fldChar w:fldCharType="end"/>
      </w:r>
      <w:bookmarkStart w:id="479" w:name="a149855"/>
      <w:r w:rsidRPr="00F97360">
        <w:rPr>
          <w:rFonts w:ascii="Arial" w:hAnsi="Arial" w:cs="Arial"/>
          <w:sz w:val="20"/>
        </w:rPr>
        <w:fldChar w:fldCharType="begin"/>
      </w:r>
      <w:r w:rsidRPr="00F97360">
        <w:rPr>
          <w:rFonts w:ascii="Arial" w:hAnsi="Arial" w:cs="Arial"/>
          <w:sz w:val="20"/>
        </w:rPr>
        <w:instrText>REF a129837 \h \w</w:instrText>
      </w:r>
      <w:r w:rsidR="00F111AC"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22</w:t>
      </w:r>
      <w:r w:rsidRPr="00F97360">
        <w:rPr>
          <w:rFonts w:ascii="Arial" w:hAnsi="Arial" w:cs="Arial"/>
          <w:sz w:val="20"/>
        </w:rPr>
        <w:fldChar w:fldCharType="end"/>
      </w:r>
      <w:bookmarkEnd w:id="479"/>
      <w:r w:rsidR="00331B3C" w:rsidRPr="00F97360">
        <w:rPr>
          <w:rFonts w:ascii="Arial" w:hAnsi="Arial" w:cs="Arial"/>
          <w:sz w:val="20"/>
        </w:rPr>
        <w:t xml:space="preserve"> (relating to the variation of share capital)</w:t>
      </w:r>
    </w:p>
    <w:p w14:paraId="56712F40" w14:textId="1D6767BA" w:rsidR="007B4FB5" w:rsidRPr="00F97360" w:rsidRDefault="00D8597D" w:rsidP="00F97360">
      <w:pPr>
        <w:pStyle w:val="Parasubclause2"/>
        <w:ind w:left="2160"/>
        <w:rPr>
          <w:rFonts w:ascii="Arial" w:hAnsi="Arial" w:cs="Arial"/>
          <w:sz w:val="20"/>
        </w:rPr>
      </w:pPr>
      <w:r w:rsidRPr="00F97360">
        <w:rPr>
          <w:rFonts w:ascii="Arial" w:hAnsi="Arial" w:cs="Arial"/>
          <w:sz w:val="20"/>
        </w:rPr>
        <w:t>without the prior approval of the Company in general meeting (except for minor amendments to benefit the administration of the Plan, to take account of a change in legislation, or to obtain or maintain favourable tax, exchange control or regulatory treatment for Award Holders or for a Group Company).</w:t>
      </w:r>
    </w:p>
    <w:p w14:paraId="56712F41" w14:textId="12F45390" w:rsidR="007B4FB5" w:rsidRPr="00F97360" w:rsidRDefault="00D8597D" w:rsidP="007B4FB5">
      <w:pPr>
        <w:pStyle w:val="Untitledsubclause1"/>
        <w:rPr>
          <w:rFonts w:ascii="Arial" w:hAnsi="Arial" w:cs="Arial"/>
          <w:sz w:val="20"/>
        </w:rPr>
      </w:pPr>
      <w:bookmarkStart w:id="480" w:name="a219333"/>
      <w:r w:rsidRPr="00F97360">
        <w:rPr>
          <w:rFonts w:ascii="Arial" w:hAnsi="Arial" w:cs="Arial"/>
          <w:sz w:val="20"/>
        </w:rPr>
        <w:t>The cost of establishing and operating the Plan shall be borne by the Group Companies in proportions determined by the</w:t>
      </w:r>
      <w:r w:rsidR="00923466" w:rsidRPr="00F97360">
        <w:rPr>
          <w:rFonts w:ascii="Arial" w:hAnsi="Arial" w:cs="Arial"/>
          <w:sz w:val="20"/>
        </w:rPr>
        <w:t xml:space="preserve"> </w:t>
      </w:r>
      <w:r w:rsidR="00B00B6F" w:rsidRPr="00F97360">
        <w:rPr>
          <w:rFonts w:ascii="Arial" w:hAnsi="Arial" w:cs="Arial"/>
          <w:sz w:val="20"/>
        </w:rPr>
        <w:t>B</w:t>
      </w:r>
      <w:r w:rsidR="00923466" w:rsidRPr="00F97360">
        <w:rPr>
          <w:rFonts w:ascii="Arial" w:hAnsi="Arial" w:cs="Arial"/>
          <w:sz w:val="20"/>
        </w:rPr>
        <w:t>oard</w:t>
      </w:r>
      <w:bookmarkEnd w:id="480"/>
      <w:r w:rsidR="00923466" w:rsidRPr="00F97360">
        <w:rPr>
          <w:rFonts w:ascii="Arial" w:hAnsi="Arial" w:cs="Arial"/>
          <w:sz w:val="20"/>
        </w:rPr>
        <w:t>.</w:t>
      </w:r>
    </w:p>
    <w:p w14:paraId="56712F42" w14:textId="2F94EE5A" w:rsidR="007B4FB5" w:rsidRPr="00F97360" w:rsidRDefault="00D8597D" w:rsidP="007B4FB5">
      <w:pPr>
        <w:pStyle w:val="Untitledsubclause1"/>
        <w:rPr>
          <w:rFonts w:ascii="Arial" w:hAnsi="Arial" w:cs="Arial"/>
          <w:sz w:val="20"/>
        </w:rPr>
      </w:pPr>
      <w:bookmarkStart w:id="481" w:name="a967430"/>
      <w:r w:rsidRPr="00F97360">
        <w:rPr>
          <w:rFonts w:ascii="Arial" w:hAnsi="Arial" w:cs="Arial"/>
          <w:sz w:val="20"/>
        </w:rPr>
        <w:t>Any decision under</w:t>
      </w:r>
      <w:r w:rsidR="0087634E" w:rsidRPr="00F97360">
        <w:rPr>
          <w:rFonts w:ascii="Arial" w:hAnsi="Arial" w:cs="Arial"/>
          <w:sz w:val="20"/>
        </w:rPr>
        <w:t xml:space="preserve"> these rules</w:t>
      </w:r>
      <w:r w:rsidRPr="00F97360">
        <w:rPr>
          <w:rFonts w:ascii="Arial" w:hAnsi="Arial" w:cs="Arial"/>
          <w:sz w:val="20"/>
        </w:rPr>
        <w:t xml:space="preserve"> and whether to consider making such a decision, shall be entirely at the discretion of the </w:t>
      </w:r>
      <w:r w:rsidR="00623047" w:rsidRPr="00F97360">
        <w:rPr>
          <w:rFonts w:ascii="Arial" w:hAnsi="Arial" w:cs="Arial"/>
          <w:sz w:val="20"/>
        </w:rPr>
        <w:t>Remuneration Committee</w:t>
      </w:r>
      <w:r w:rsidRPr="00F97360">
        <w:rPr>
          <w:rFonts w:ascii="Arial" w:hAnsi="Arial" w:cs="Arial"/>
          <w:sz w:val="20"/>
        </w:rPr>
        <w:t>.</w:t>
      </w:r>
      <w:bookmarkEnd w:id="481"/>
    </w:p>
    <w:p w14:paraId="56712F43" w14:textId="775025BA" w:rsidR="007B4FB5" w:rsidRPr="00F97360" w:rsidRDefault="00D8597D" w:rsidP="007B4FB5">
      <w:pPr>
        <w:pStyle w:val="Untitledsubclause1"/>
        <w:rPr>
          <w:rFonts w:ascii="Arial" w:hAnsi="Arial" w:cs="Arial"/>
          <w:sz w:val="20"/>
        </w:rPr>
      </w:pPr>
      <w:bookmarkStart w:id="482" w:name="a164018"/>
      <w:r w:rsidRPr="00F97360">
        <w:rPr>
          <w:rFonts w:ascii="Arial" w:hAnsi="Arial" w:cs="Arial"/>
          <w:sz w:val="20"/>
        </w:rPr>
        <w:t xml:space="preserve">The </w:t>
      </w:r>
      <w:r w:rsidR="00623047" w:rsidRPr="00F97360">
        <w:rPr>
          <w:rFonts w:ascii="Arial" w:hAnsi="Arial" w:cs="Arial"/>
          <w:sz w:val="20"/>
        </w:rPr>
        <w:t>Remuneration Committee</w:t>
      </w:r>
      <w:r w:rsidRPr="00F97360">
        <w:rPr>
          <w:rFonts w:ascii="Arial" w:hAnsi="Arial" w:cs="Arial"/>
          <w:sz w:val="20"/>
        </w:rPr>
        <w:t xml:space="preserve"> shall determine any question of interpretation and settle any dispute arising under the Plan, including determining whether anything is material. In these matters, the </w:t>
      </w:r>
      <w:r w:rsidR="00623047" w:rsidRPr="00F97360">
        <w:rPr>
          <w:rFonts w:ascii="Arial" w:hAnsi="Arial" w:cs="Arial"/>
          <w:sz w:val="20"/>
        </w:rPr>
        <w:t>Remuneration Committee</w:t>
      </w:r>
      <w:r w:rsidRPr="00F97360">
        <w:rPr>
          <w:rFonts w:ascii="Arial" w:hAnsi="Arial" w:cs="Arial"/>
          <w:sz w:val="20"/>
        </w:rPr>
        <w:t>'s decision shall be final.</w:t>
      </w:r>
      <w:bookmarkEnd w:id="482"/>
    </w:p>
    <w:p w14:paraId="56712F44" w14:textId="7DA4DBFE" w:rsidR="007B4FB5" w:rsidRPr="00F97360" w:rsidRDefault="00D8597D" w:rsidP="007B4FB5">
      <w:pPr>
        <w:pStyle w:val="Untitledsubclause1"/>
        <w:rPr>
          <w:rFonts w:ascii="Arial" w:hAnsi="Arial" w:cs="Arial"/>
          <w:sz w:val="20"/>
        </w:rPr>
      </w:pPr>
      <w:bookmarkStart w:id="483" w:name="a641316"/>
      <w:r w:rsidRPr="00F97360">
        <w:rPr>
          <w:rFonts w:ascii="Arial" w:hAnsi="Arial" w:cs="Arial"/>
          <w:sz w:val="20"/>
        </w:rPr>
        <w:t xml:space="preserve">In making any decision or determination, or exercising any discretion under the rules, the </w:t>
      </w:r>
      <w:r w:rsidR="00623047" w:rsidRPr="00F97360">
        <w:rPr>
          <w:rFonts w:ascii="Arial" w:hAnsi="Arial" w:cs="Arial"/>
          <w:sz w:val="20"/>
        </w:rPr>
        <w:t>Remuneration Committee</w:t>
      </w:r>
      <w:r w:rsidRPr="00F97360">
        <w:rPr>
          <w:rFonts w:ascii="Arial" w:hAnsi="Arial" w:cs="Arial"/>
          <w:sz w:val="20"/>
        </w:rPr>
        <w:t xml:space="preserve"> shall act fairly and reasonably and in good faith.</w:t>
      </w:r>
      <w:bookmarkEnd w:id="483"/>
    </w:p>
    <w:p w14:paraId="56712F45" w14:textId="36F5B36B" w:rsidR="007B4FB5" w:rsidRPr="00F97360" w:rsidRDefault="00D8597D" w:rsidP="00F87596">
      <w:pPr>
        <w:pStyle w:val="Untitledsubclause1"/>
        <w:rPr>
          <w:rFonts w:ascii="Arial" w:hAnsi="Arial" w:cs="Arial"/>
          <w:sz w:val="20"/>
        </w:rPr>
      </w:pPr>
      <w:bookmarkStart w:id="484" w:name="a809397"/>
      <w:r w:rsidRPr="00F97360">
        <w:rPr>
          <w:rFonts w:ascii="Arial" w:hAnsi="Arial" w:cs="Arial"/>
          <w:sz w:val="20"/>
        </w:rPr>
        <w:t>The Company shall not be obliged to notify any Award Holder</w:t>
      </w:r>
      <w:bookmarkEnd w:id="484"/>
      <w:r w:rsidR="00D97AF0" w:rsidRPr="00F97360">
        <w:rPr>
          <w:rFonts w:ascii="Arial" w:hAnsi="Arial" w:cs="Arial"/>
          <w:sz w:val="20"/>
        </w:rPr>
        <w:t xml:space="preserve"> </w:t>
      </w:r>
      <w:bookmarkStart w:id="485" w:name="a467111"/>
      <w:r w:rsidRPr="00F97360">
        <w:rPr>
          <w:rFonts w:ascii="Arial" w:hAnsi="Arial" w:cs="Arial"/>
          <w:sz w:val="20"/>
        </w:rPr>
        <w:t xml:space="preserve">if </w:t>
      </w:r>
      <w:r w:rsidR="00977C54" w:rsidRPr="00F97360">
        <w:rPr>
          <w:rFonts w:ascii="Arial" w:hAnsi="Arial" w:cs="Arial"/>
          <w:sz w:val="20"/>
        </w:rPr>
        <w:t>a</w:t>
      </w:r>
      <w:r w:rsidRPr="00F97360">
        <w:rPr>
          <w:rFonts w:ascii="Arial" w:hAnsi="Arial" w:cs="Arial"/>
          <w:sz w:val="20"/>
        </w:rPr>
        <w:t xml:space="preserve">n Option </w:t>
      </w:r>
      <w:r w:rsidR="00977C54" w:rsidRPr="00F97360">
        <w:rPr>
          <w:rFonts w:ascii="Arial" w:hAnsi="Arial" w:cs="Arial"/>
          <w:sz w:val="20"/>
        </w:rPr>
        <w:t xml:space="preserve">which </w:t>
      </w:r>
      <w:proofErr w:type="gramStart"/>
      <w:r w:rsidR="00977C54" w:rsidRPr="00F97360">
        <w:rPr>
          <w:rFonts w:ascii="Arial" w:hAnsi="Arial" w:cs="Arial"/>
          <w:sz w:val="20"/>
        </w:rPr>
        <w:t xml:space="preserve">has </w:t>
      </w:r>
      <w:r w:rsidR="00D44FC6" w:rsidRPr="00F97360">
        <w:rPr>
          <w:rFonts w:ascii="Arial" w:hAnsi="Arial" w:cs="Arial"/>
          <w:sz w:val="20"/>
        </w:rPr>
        <w:t>Vested</w:t>
      </w:r>
      <w:proofErr w:type="gramEnd"/>
      <w:r w:rsidR="00977C54" w:rsidRPr="00F97360">
        <w:rPr>
          <w:rFonts w:ascii="Arial" w:hAnsi="Arial" w:cs="Arial"/>
          <w:sz w:val="20"/>
        </w:rPr>
        <w:t xml:space="preserve"> </w:t>
      </w:r>
      <w:r w:rsidRPr="00F97360">
        <w:rPr>
          <w:rFonts w:ascii="Arial" w:hAnsi="Arial" w:cs="Arial"/>
          <w:sz w:val="20"/>
        </w:rPr>
        <w:t>is due to lapse</w:t>
      </w:r>
      <w:bookmarkStart w:id="486" w:name="a537835"/>
      <w:bookmarkEnd w:id="485"/>
      <w:r w:rsidRPr="00F97360">
        <w:rPr>
          <w:rFonts w:ascii="Arial" w:hAnsi="Arial" w:cs="Arial"/>
          <w:sz w:val="20"/>
        </w:rPr>
        <w:t>.</w:t>
      </w:r>
      <w:bookmarkEnd w:id="486"/>
    </w:p>
    <w:p w14:paraId="56712F46" w14:textId="77777777" w:rsidR="007B4FB5" w:rsidRPr="00F97360" w:rsidRDefault="00D8597D" w:rsidP="007B4FB5">
      <w:pPr>
        <w:pStyle w:val="Untitledsubclause1"/>
        <w:rPr>
          <w:rFonts w:ascii="Arial" w:hAnsi="Arial" w:cs="Arial"/>
          <w:sz w:val="20"/>
        </w:rPr>
      </w:pPr>
      <w:bookmarkStart w:id="487" w:name="a323348"/>
      <w:r w:rsidRPr="00F97360">
        <w:rPr>
          <w:rFonts w:ascii="Arial" w:hAnsi="Arial" w:cs="Arial"/>
          <w:sz w:val="20"/>
        </w:rPr>
        <w:lastRenderedPageBreak/>
        <w:t>The Company shall not be obliged to provide Award Holders with copies of any materials sent to the holders of Shares.</w:t>
      </w:r>
      <w:bookmarkEnd w:id="487"/>
    </w:p>
    <w:p w14:paraId="3D6625FB" w14:textId="1404FF71" w:rsidR="00D727FB" w:rsidRPr="00F97360" w:rsidRDefault="00D727FB" w:rsidP="00F95028">
      <w:pPr>
        <w:pStyle w:val="Untitledsubclause1"/>
        <w:numPr>
          <w:ilvl w:val="1"/>
          <w:numId w:val="46"/>
        </w:numPr>
        <w:rPr>
          <w:rFonts w:ascii="Arial" w:hAnsi="Arial" w:cs="Arial"/>
          <w:sz w:val="20"/>
        </w:rPr>
      </w:pPr>
      <w:bookmarkStart w:id="488" w:name="a591241"/>
      <w:r w:rsidRPr="00F97360">
        <w:rPr>
          <w:rFonts w:ascii="Arial" w:hAnsi="Arial" w:cs="Arial"/>
          <w:sz w:val="20"/>
        </w:rPr>
        <w:t xml:space="preserve">The Company shall </w:t>
      </w:r>
      <w:proofErr w:type="gramStart"/>
      <w:r w:rsidRPr="00F97360">
        <w:rPr>
          <w:rFonts w:ascii="Arial" w:hAnsi="Arial" w:cs="Arial"/>
          <w:sz w:val="20"/>
        </w:rPr>
        <w:t>at all times</w:t>
      </w:r>
      <w:proofErr w:type="gramEnd"/>
      <w:r w:rsidRPr="00F97360">
        <w:rPr>
          <w:rFonts w:ascii="Arial" w:hAnsi="Arial" w:cs="Arial"/>
          <w:sz w:val="20"/>
        </w:rPr>
        <w:t xml:space="preserve"> keep available sufficient authorised but unissued Shares to satisfy the </w:t>
      </w:r>
      <w:r w:rsidR="00203135" w:rsidRPr="00F97360">
        <w:rPr>
          <w:rFonts w:ascii="Arial" w:hAnsi="Arial" w:cs="Arial"/>
          <w:sz w:val="20"/>
        </w:rPr>
        <w:t>Vesting</w:t>
      </w:r>
      <w:r w:rsidR="00C401D9" w:rsidRPr="00F97360">
        <w:rPr>
          <w:rFonts w:ascii="Arial" w:hAnsi="Arial" w:cs="Arial"/>
          <w:sz w:val="20"/>
        </w:rPr>
        <w:t xml:space="preserve"> (and in respect of Options, the exercise)</w:t>
      </w:r>
      <w:r w:rsidRPr="00F97360">
        <w:rPr>
          <w:rFonts w:ascii="Arial" w:hAnsi="Arial" w:cs="Arial"/>
          <w:sz w:val="20"/>
        </w:rPr>
        <w:t xml:space="preserve"> in full of all Share-settled Awards (other than Transfer Only Awards) for the time being remaining capable of </w:t>
      </w:r>
      <w:r w:rsidR="00203135" w:rsidRPr="00F97360">
        <w:rPr>
          <w:rFonts w:ascii="Arial" w:hAnsi="Arial" w:cs="Arial"/>
          <w:sz w:val="20"/>
        </w:rPr>
        <w:t>Vesting</w:t>
      </w:r>
      <w:r w:rsidR="00C401D9" w:rsidRPr="00F97360">
        <w:rPr>
          <w:rFonts w:ascii="Arial" w:hAnsi="Arial" w:cs="Arial"/>
          <w:sz w:val="20"/>
        </w:rPr>
        <w:t xml:space="preserve"> (and in respect of Options, exercised) </w:t>
      </w:r>
      <w:r w:rsidRPr="00F97360">
        <w:rPr>
          <w:rFonts w:ascii="Arial" w:hAnsi="Arial" w:cs="Arial"/>
          <w:sz w:val="20"/>
        </w:rPr>
        <w:t>under this Plan.</w:t>
      </w:r>
    </w:p>
    <w:p w14:paraId="56712F47" w14:textId="54639DAD" w:rsidR="007B4FB5" w:rsidRPr="00F97360" w:rsidRDefault="00D8597D" w:rsidP="007B4FB5">
      <w:pPr>
        <w:pStyle w:val="Untitledsubclause1"/>
        <w:rPr>
          <w:rFonts w:ascii="Arial" w:hAnsi="Arial" w:cs="Arial"/>
          <w:sz w:val="20"/>
        </w:rPr>
      </w:pPr>
      <w:r w:rsidRPr="00F97360">
        <w:rPr>
          <w:rFonts w:ascii="Arial" w:hAnsi="Arial" w:cs="Arial"/>
          <w:sz w:val="20"/>
        </w:rPr>
        <w:t xml:space="preserve">The </w:t>
      </w:r>
      <w:r w:rsidR="00623047" w:rsidRPr="00F97360">
        <w:rPr>
          <w:rFonts w:ascii="Arial" w:hAnsi="Arial" w:cs="Arial"/>
          <w:sz w:val="20"/>
        </w:rPr>
        <w:t>Remuneration Committee</w:t>
      </w:r>
      <w:r w:rsidRPr="00F97360">
        <w:rPr>
          <w:rFonts w:ascii="Arial" w:hAnsi="Arial" w:cs="Arial"/>
          <w:sz w:val="20"/>
        </w:rPr>
        <w:t xml:space="preserve"> may establish sub-plans to operate in overseas territories (overseas sub-plans), provided that:</w:t>
      </w:r>
      <w:bookmarkEnd w:id="488"/>
    </w:p>
    <w:p w14:paraId="56712F48" w14:textId="797DACA4" w:rsidR="007B4FB5" w:rsidRPr="00F97360" w:rsidRDefault="00D8597D" w:rsidP="007B4FB5">
      <w:pPr>
        <w:pStyle w:val="Untitledsubclause2"/>
        <w:rPr>
          <w:rFonts w:ascii="Arial" w:hAnsi="Arial" w:cs="Arial"/>
          <w:sz w:val="20"/>
        </w:rPr>
      </w:pPr>
      <w:bookmarkStart w:id="489" w:name="a431021"/>
      <w:r w:rsidRPr="00F97360">
        <w:rPr>
          <w:rFonts w:ascii="Arial" w:hAnsi="Arial" w:cs="Arial"/>
          <w:sz w:val="20"/>
        </w:rPr>
        <w:t xml:space="preserve">all overseas sub-plans are subject to the </w:t>
      </w:r>
      <w:r w:rsidR="007B4FB5" w:rsidRPr="00F97360">
        <w:rPr>
          <w:rFonts w:ascii="Arial" w:hAnsi="Arial" w:cs="Arial"/>
          <w:sz w:val="20"/>
        </w:rPr>
        <w:t>limitations set out in</w:t>
      </w:r>
      <w:r w:rsidR="00FC593D" w:rsidRPr="00F97360">
        <w:rPr>
          <w:rFonts w:ascii="Arial" w:hAnsi="Arial" w:cs="Arial"/>
          <w:sz w:val="20"/>
        </w:rPr>
        <w:t xml:space="preserve"> </w:t>
      </w:r>
      <w:r w:rsidR="007B4FB5" w:rsidRPr="00F97360">
        <w:rPr>
          <w:rFonts w:ascii="Arial" w:hAnsi="Arial" w:cs="Arial"/>
          <w:sz w:val="20"/>
        </w:rPr>
        <w:fldChar w:fldCharType="begin"/>
      </w:r>
      <w:r w:rsidR="007B4FB5" w:rsidRPr="00F97360">
        <w:rPr>
          <w:rFonts w:ascii="Arial" w:hAnsi="Arial" w:cs="Arial"/>
          <w:sz w:val="20"/>
        </w:rPr>
        <w:instrText>PAGEREF a272740\# "'rule '"  \h</w:instrText>
      </w:r>
      <w:r w:rsidR="007B4FB5" w:rsidRPr="00F97360">
        <w:rPr>
          <w:rFonts w:ascii="Arial" w:hAnsi="Arial" w:cs="Arial"/>
          <w:sz w:val="20"/>
        </w:rPr>
      </w:r>
      <w:r w:rsidR="007B4FB5" w:rsidRPr="00F97360">
        <w:rPr>
          <w:rFonts w:ascii="Arial" w:hAnsi="Arial" w:cs="Arial"/>
          <w:sz w:val="20"/>
        </w:rPr>
        <w:fldChar w:fldCharType="separate"/>
      </w:r>
      <w:r w:rsidR="00710210" w:rsidRPr="00F97360">
        <w:rPr>
          <w:rFonts w:ascii="Arial" w:hAnsi="Arial" w:cs="Arial"/>
          <w:sz w:val="20"/>
        </w:rPr>
        <w:t xml:space="preserve">rule </w:t>
      </w:r>
      <w:r w:rsidR="007B4FB5" w:rsidRPr="00F97360">
        <w:rPr>
          <w:rFonts w:ascii="Arial" w:hAnsi="Arial" w:cs="Arial"/>
          <w:sz w:val="20"/>
        </w:rPr>
        <w:fldChar w:fldCharType="end"/>
      </w:r>
      <w:r w:rsidR="007B4FB5" w:rsidRPr="00F97360">
        <w:rPr>
          <w:rFonts w:ascii="Arial" w:hAnsi="Arial" w:cs="Arial"/>
          <w:sz w:val="20"/>
        </w:rPr>
        <w:fldChar w:fldCharType="begin"/>
      </w:r>
      <w:r w:rsidR="007B4FB5" w:rsidRPr="00F97360">
        <w:rPr>
          <w:rFonts w:ascii="Arial" w:hAnsi="Arial" w:cs="Arial"/>
          <w:sz w:val="20"/>
        </w:rPr>
        <w:instrText>REF a272740 \h \w</w:instrText>
      </w:r>
      <w:r w:rsidR="0037270F" w:rsidRPr="00F97360">
        <w:rPr>
          <w:rFonts w:ascii="Arial" w:hAnsi="Arial" w:cs="Arial"/>
          <w:sz w:val="20"/>
        </w:rPr>
        <w:instrText xml:space="preserve"> \* MERGEFORMAT </w:instrText>
      </w:r>
      <w:r w:rsidR="007B4FB5" w:rsidRPr="00F97360">
        <w:rPr>
          <w:rFonts w:ascii="Arial" w:hAnsi="Arial" w:cs="Arial"/>
          <w:sz w:val="20"/>
        </w:rPr>
      </w:r>
      <w:r w:rsidR="007B4FB5" w:rsidRPr="00F97360">
        <w:rPr>
          <w:rFonts w:ascii="Arial" w:hAnsi="Arial" w:cs="Arial"/>
          <w:sz w:val="20"/>
        </w:rPr>
        <w:fldChar w:fldCharType="separate"/>
      </w:r>
      <w:r w:rsidR="00710210" w:rsidRPr="00F97360">
        <w:rPr>
          <w:rFonts w:ascii="Arial" w:hAnsi="Arial" w:cs="Arial"/>
          <w:sz w:val="20"/>
        </w:rPr>
        <w:t>6</w:t>
      </w:r>
      <w:r w:rsidR="007B4FB5" w:rsidRPr="00F97360">
        <w:rPr>
          <w:rFonts w:ascii="Arial" w:hAnsi="Arial" w:cs="Arial"/>
          <w:sz w:val="20"/>
        </w:rPr>
        <w:fldChar w:fldCharType="end"/>
      </w:r>
      <w:r w:rsidR="007B4FB5" w:rsidRPr="00F97360">
        <w:rPr>
          <w:rFonts w:ascii="Arial" w:hAnsi="Arial" w:cs="Arial"/>
          <w:sz w:val="20"/>
        </w:rPr>
        <w:t xml:space="preserve"> and</w:t>
      </w:r>
      <w:r w:rsidRPr="00F97360">
        <w:rPr>
          <w:rFonts w:ascii="Arial" w:hAnsi="Arial" w:cs="Arial"/>
          <w:sz w:val="20"/>
        </w:rPr>
        <w:t xml:space="preserve"> </w:t>
      </w:r>
      <w:r w:rsidRPr="00F97360">
        <w:rPr>
          <w:rFonts w:ascii="Arial" w:hAnsi="Arial" w:cs="Arial"/>
          <w:sz w:val="20"/>
        </w:rPr>
        <w:fldChar w:fldCharType="begin"/>
      </w:r>
      <w:r w:rsidRPr="00F97360">
        <w:rPr>
          <w:rFonts w:ascii="Arial" w:hAnsi="Arial" w:cs="Arial"/>
          <w:sz w:val="20"/>
        </w:rPr>
        <w:instrText>PAGEREF a341102\# "'rule '"  \h</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 xml:space="preserve">rule </w:t>
      </w:r>
      <w:r w:rsidRPr="00F97360">
        <w:rPr>
          <w:rFonts w:ascii="Arial" w:hAnsi="Arial" w:cs="Arial"/>
          <w:sz w:val="20"/>
        </w:rPr>
        <w:fldChar w:fldCharType="end"/>
      </w:r>
      <w:r w:rsidRPr="00F97360">
        <w:rPr>
          <w:rFonts w:ascii="Arial" w:hAnsi="Arial" w:cs="Arial"/>
          <w:sz w:val="20"/>
        </w:rPr>
        <w:fldChar w:fldCharType="begin"/>
      </w:r>
      <w:r w:rsidRPr="00F97360">
        <w:rPr>
          <w:rFonts w:ascii="Arial" w:hAnsi="Arial" w:cs="Arial"/>
          <w:sz w:val="20"/>
          <w:highlight w:val="lightGray"/>
        </w:rPr>
        <w:instrText>REF a341102 \h \w</w:instrText>
      </w:r>
      <w:r w:rsidR="0037270F"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highlight w:val="lightGray"/>
        </w:rPr>
        <w:t>7</w:t>
      </w:r>
      <w:r w:rsidRPr="00F97360">
        <w:rPr>
          <w:rFonts w:ascii="Arial" w:hAnsi="Arial" w:cs="Arial"/>
          <w:sz w:val="20"/>
        </w:rPr>
        <w:fldChar w:fldCharType="end"/>
      </w:r>
      <w:r w:rsidRPr="00F97360">
        <w:rPr>
          <w:rFonts w:ascii="Arial" w:hAnsi="Arial" w:cs="Arial"/>
          <w:sz w:val="20"/>
        </w:rPr>
        <w:t>;</w:t>
      </w:r>
      <w:bookmarkEnd w:id="489"/>
    </w:p>
    <w:p w14:paraId="56712F49" w14:textId="77777777" w:rsidR="007B4FB5" w:rsidRPr="00F97360" w:rsidRDefault="00D8597D" w:rsidP="007B4FB5">
      <w:pPr>
        <w:pStyle w:val="Untitledsubclause2"/>
        <w:rPr>
          <w:rFonts w:ascii="Arial" w:hAnsi="Arial" w:cs="Arial"/>
          <w:sz w:val="20"/>
        </w:rPr>
      </w:pPr>
      <w:bookmarkStart w:id="490" w:name="a911681"/>
      <w:r w:rsidRPr="00F97360">
        <w:rPr>
          <w:rFonts w:ascii="Arial" w:hAnsi="Arial" w:cs="Arial"/>
          <w:sz w:val="20"/>
        </w:rPr>
        <w:t>only Employees who are resident in (or otherwise subject to the tax laws of) the relevant territory are entitled to participate in any overseas sub-plan</w:t>
      </w:r>
      <w:bookmarkEnd w:id="490"/>
      <w:r w:rsidR="00215916" w:rsidRPr="00F97360">
        <w:rPr>
          <w:rFonts w:ascii="Arial" w:hAnsi="Arial" w:cs="Arial"/>
          <w:sz w:val="20"/>
        </w:rPr>
        <w:t>, and</w:t>
      </w:r>
    </w:p>
    <w:p w14:paraId="56712F4A" w14:textId="77777777" w:rsidR="007B4FB5" w:rsidRPr="00F97360" w:rsidRDefault="00D8597D" w:rsidP="007B4FB5">
      <w:pPr>
        <w:pStyle w:val="Untitledsubclause2"/>
        <w:rPr>
          <w:rFonts w:ascii="Arial" w:hAnsi="Arial" w:cs="Arial"/>
          <w:sz w:val="20"/>
        </w:rPr>
      </w:pPr>
      <w:bookmarkStart w:id="491" w:name="a204123"/>
      <w:r w:rsidRPr="00F97360">
        <w:rPr>
          <w:rFonts w:ascii="Arial" w:hAnsi="Arial" w:cs="Arial"/>
          <w:sz w:val="20"/>
        </w:rPr>
        <w:t>no Employee has an entitlement to awards under any overseas sub-plan greater than the maximum entitlement of an Employee under the Plan.</w:t>
      </w:r>
      <w:bookmarkEnd w:id="491"/>
    </w:p>
    <w:p w14:paraId="56712F4B" w14:textId="77777777" w:rsidR="007B4FB5" w:rsidRPr="00F97360" w:rsidRDefault="00D8597D" w:rsidP="007B4FB5">
      <w:pPr>
        <w:pStyle w:val="Parasubclause1"/>
        <w:rPr>
          <w:rFonts w:ascii="Arial" w:hAnsi="Arial" w:cs="Arial"/>
          <w:sz w:val="20"/>
        </w:rPr>
      </w:pPr>
      <w:r w:rsidRPr="00F97360">
        <w:rPr>
          <w:rFonts w:ascii="Arial" w:hAnsi="Arial" w:cs="Arial"/>
          <w:sz w:val="20"/>
        </w:rPr>
        <w:t xml:space="preserve">Any overseas sub-plan must be governed by rules </w:t>
      </w:r>
      <w:proofErr w:type="gramStart"/>
      <w:r w:rsidRPr="00F97360">
        <w:rPr>
          <w:rFonts w:ascii="Arial" w:hAnsi="Arial" w:cs="Arial"/>
          <w:sz w:val="20"/>
        </w:rPr>
        <w:t>similar to</w:t>
      </w:r>
      <w:proofErr w:type="gramEnd"/>
      <w:r w:rsidRPr="00F97360">
        <w:rPr>
          <w:rFonts w:ascii="Arial" w:hAnsi="Arial" w:cs="Arial"/>
          <w:sz w:val="20"/>
        </w:rPr>
        <w:t xml:space="preserve"> the rules of the Plan, but modified to take account of applicable tax, social security, employment, company, exchange control, trust or securities (or any other relevant) law, regulation or practice.</w:t>
      </w:r>
    </w:p>
    <w:p w14:paraId="56712F4C" w14:textId="77777777" w:rsidR="007B4FB5" w:rsidRPr="00F97360" w:rsidRDefault="00D8597D" w:rsidP="007B4FB5">
      <w:pPr>
        <w:pStyle w:val="TitleClause"/>
        <w:rPr>
          <w:rFonts w:ascii="Arial" w:hAnsi="Arial" w:cs="Arial"/>
          <w:sz w:val="20"/>
        </w:rPr>
      </w:pPr>
      <w:r w:rsidRPr="00F97360">
        <w:rPr>
          <w:rFonts w:ascii="Arial" w:hAnsi="Arial" w:cs="Arial"/>
          <w:sz w:val="20"/>
        </w:rPr>
        <w:fldChar w:fldCharType="begin"/>
      </w:r>
      <w:r w:rsidRPr="00F97360">
        <w:rPr>
          <w:rFonts w:ascii="Arial" w:hAnsi="Arial" w:cs="Arial"/>
          <w:sz w:val="20"/>
        </w:rPr>
        <w:instrText>TC "27. Third party rights" \l 1</w:instrText>
      </w:r>
      <w:r w:rsidRPr="00F97360">
        <w:rPr>
          <w:rFonts w:ascii="Arial" w:hAnsi="Arial" w:cs="Arial"/>
          <w:sz w:val="20"/>
        </w:rPr>
        <w:fldChar w:fldCharType="end"/>
      </w:r>
      <w:bookmarkStart w:id="492" w:name="a865806"/>
      <w:bookmarkStart w:id="493" w:name="_Toc105671040"/>
      <w:bookmarkStart w:id="494" w:name="_Toc103273416"/>
      <w:bookmarkStart w:id="495" w:name="_Toc145339797"/>
      <w:bookmarkStart w:id="496" w:name="_Toc131682147"/>
      <w:bookmarkStart w:id="497" w:name="_Toc161658080"/>
      <w:r w:rsidRPr="00F97360">
        <w:rPr>
          <w:rFonts w:ascii="Arial" w:hAnsi="Arial" w:cs="Arial"/>
          <w:sz w:val="20"/>
        </w:rPr>
        <w:t>Third party rights</w:t>
      </w:r>
      <w:bookmarkEnd w:id="492"/>
      <w:bookmarkEnd w:id="493"/>
      <w:bookmarkEnd w:id="494"/>
      <w:bookmarkEnd w:id="495"/>
      <w:bookmarkEnd w:id="496"/>
      <w:bookmarkEnd w:id="497"/>
    </w:p>
    <w:p w14:paraId="56712F4D" w14:textId="5D412478" w:rsidR="007B4FB5" w:rsidRPr="00F97360" w:rsidRDefault="00D8597D" w:rsidP="007B4FB5">
      <w:pPr>
        <w:pStyle w:val="Untitledsubclause1"/>
        <w:rPr>
          <w:rFonts w:ascii="Arial" w:hAnsi="Arial" w:cs="Arial"/>
          <w:sz w:val="20"/>
        </w:rPr>
      </w:pPr>
      <w:bookmarkStart w:id="498" w:name="a94160"/>
      <w:r w:rsidRPr="00F97360">
        <w:rPr>
          <w:rFonts w:ascii="Arial" w:hAnsi="Arial" w:cs="Arial"/>
          <w:sz w:val="20"/>
        </w:rPr>
        <w:t xml:space="preserve">A person who is not a party to </w:t>
      </w:r>
      <w:r w:rsidR="007B4FB5" w:rsidRPr="00F97360">
        <w:rPr>
          <w:rFonts w:ascii="Arial" w:hAnsi="Arial" w:cs="Arial"/>
          <w:sz w:val="20"/>
        </w:rPr>
        <w:t>an</w:t>
      </w:r>
      <w:r w:rsidR="00C554E6" w:rsidRPr="00F97360">
        <w:rPr>
          <w:rFonts w:ascii="Arial" w:hAnsi="Arial" w:cs="Arial"/>
          <w:sz w:val="20"/>
        </w:rPr>
        <w:t xml:space="preserve"> </w:t>
      </w:r>
      <w:r w:rsidR="00D67DB9" w:rsidRPr="00F97360">
        <w:rPr>
          <w:rFonts w:ascii="Arial" w:hAnsi="Arial" w:cs="Arial"/>
          <w:sz w:val="20"/>
        </w:rPr>
        <w:t>Award</w:t>
      </w:r>
      <w:r w:rsidRPr="00F97360">
        <w:rPr>
          <w:rFonts w:ascii="Arial" w:hAnsi="Arial" w:cs="Arial"/>
          <w:sz w:val="20"/>
        </w:rPr>
        <w:t xml:space="preserve"> shall not have any rights under or in connection with it as a result of the Contracts (Rights of Third Parties) Act 1999 except where these rights arise under any rule of the Plan</w:t>
      </w:r>
      <w:r w:rsidR="00523F6D" w:rsidRPr="00F97360">
        <w:rPr>
          <w:rFonts w:ascii="Arial" w:hAnsi="Arial" w:cs="Arial"/>
          <w:sz w:val="20"/>
        </w:rPr>
        <w:t xml:space="preserve"> (or any document entered into pursuant to, or in connection with, the Plan)</w:t>
      </w:r>
      <w:r w:rsidRPr="00F97360">
        <w:rPr>
          <w:rFonts w:ascii="Arial" w:hAnsi="Arial" w:cs="Arial"/>
          <w:sz w:val="20"/>
        </w:rPr>
        <w:t xml:space="preserve"> for any </w:t>
      </w:r>
      <w:r w:rsidR="00C165BD" w:rsidRPr="00F97360">
        <w:rPr>
          <w:rFonts w:ascii="Arial" w:hAnsi="Arial" w:cs="Arial"/>
          <w:sz w:val="20"/>
        </w:rPr>
        <w:t>Relevant Company</w:t>
      </w:r>
      <w:r w:rsidRPr="00F97360">
        <w:rPr>
          <w:rFonts w:ascii="Arial" w:hAnsi="Arial" w:cs="Arial"/>
          <w:sz w:val="20"/>
        </w:rPr>
        <w:t xml:space="preserve"> that is not a party to </w:t>
      </w:r>
      <w:r w:rsidR="00D93C59" w:rsidRPr="00F97360">
        <w:rPr>
          <w:rFonts w:ascii="Arial" w:hAnsi="Arial" w:cs="Arial"/>
          <w:sz w:val="20"/>
        </w:rPr>
        <w:t>an Award</w:t>
      </w:r>
      <w:r w:rsidRPr="00F97360">
        <w:rPr>
          <w:rFonts w:ascii="Arial" w:hAnsi="Arial" w:cs="Arial"/>
          <w:sz w:val="20"/>
        </w:rPr>
        <w:t>.</w:t>
      </w:r>
      <w:bookmarkEnd w:id="498"/>
    </w:p>
    <w:p w14:paraId="56712F4E" w14:textId="77777777" w:rsidR="007B4FB5" w:rsidRPr="00F97360" w:rsidRDefault="00D8597D" w:rsidP="007B4FB5">
      <w:pPr>
        <w:pStyle w:val="Parasubclause1"/>
        <w:rPr>
          <w:rFonts w:ascii="Arial" w:hAnsi="Arial" w:cs="Arial"/>
          <w:sz w:val="20"/>
        </w:rPr>
      </w:pPr>
      <w:r w:rsidRPr="00F97360">
        <w:rPr>
          <w:rFonts w:ascii="Arial" w:hAnsi="Arial" w:cs="Arial"/>
          <w:sz w:val="20"/>
        </w:rPr>
        <w:t>This does not affect any right or remedy of a third party that exists, or is available, apart from the Contracts (Rights of Third Parties) Act 1999.</w:t>
      </w:r>
    </w:p>
    <w:p w14:paraId="56712F4F" w14:textId="299E7121" w:rsidR="007B4FB5" w:rsidRPr="00F97360" w:rsidRDefault="00D8597D" w:rsidP="007B4FB5">
      <w:pPr>
        <w:pStyle w:val="Untitledsubclause1"/>
        <w:rPr>
          <w:rFonts w:ascii="Arial" w:hAnsi="Arial" w:cs="Arial"/>
          <w:sz w:val="20"/>
        </w:rPr>
      </w:pPr>
      <w:bookmarkStart w:id="499" w:name="a929894"/>
      <w:r w:rsidRPr="00F97360">
        <w:rPr>
          <w:rFonts w:ascii="Arial" w:hAnsi="Arial" w:cs="Arial"/>
          <w:sz w:val="20"/>
        </w:rPr>
        <w:t xml:space="preserve">The rights of the parties to </w:t>
      </w:r>
      <w:r w:rsidR="007B4FB5" w:rsidRPr="00F97360">
        <w:rPr>
          <w:rFonts w:ascii="Arial" w:hAnsi="Arial" w:cs="Arial"/>
          <w:sz w:val="20"/>
        </w:rPr>
        <w:t>an</w:t>
      </w:r>
      <w:r w:rsidR="00C554E6" w:rsidRPr="00F97360">
        <w:rPr>
          <w:rFonts w:ascii="Arial" w:hAnsi="Arial" w:cs="Arial"/>
          <w:sz w:val="20"/>
        </w:rPr>
        <w:t xml:space="preserve"> </w:t>
      </w:r>
      <w:r w:rsidR="00D67DB9" w:rsidRPr="00F97360">
        <w:rPr>
          <w:rFonts w:ascii="Arial" w:hAnsi="Arial" w:cs="Arial"/>
          <w:sz w:val="20"/>
        </w:rPr>
        <w:t>Award</w:t>
      </w:r>
      <w:r w:rsidRPr="00F97360">
        <w:rPr>
          <w:rFonts w:ascii="Arial" w:hAnsi="Arial" w:cs="Arial"/>
          <w:sz w:val="20"/>
        </w:rPr>
        <w:t xml:space="preserve"> to surrender, terminate or rescind it, or agree any variation, </w:t>
      </w:r>
      <w:proofErr w:type="gramStart"/>
      <w:r w:rsidRPr="00F97360">
        <w:rPr>
          <w:rFonts w:ascii="Arial" w:hAnsi="Arial" w:cs="Arial"/>
          <w:sz w:val="20"/>
        </w:rPr>
        <w:t>waiver</w:t>
      </w:r>
      <w:proofErr w:type="gramEnd"/>
      <w:r w:rsidRPr="00F97360">
        <w:rPr>
          <w:rFonts w:ascii="Arial" w:hAnsi="Arial" w:cs="Arial"/>
          <w:sz w:val="20"/>
        </w:rPr>
        <w:t xml:space="preserve"> or settlement of it, are not subject to the consent of any person that is not a party to the </w:t>
      </w:r>
      <w:r w:rsidR="00D67DB9" w:rsidRPr="00F97360">
        <w:rPr>
          <w:rFonts w:ascii="Arial" w:hAnsi="Arial" w:cs="Arial"/>
          <w:sz w:val="20"/>
        </w:rPr>
        <w:t>Award</w:t>
      </w:r>
      <w:r w:rsidRPr="00F97360">
        <w:rPr>
          <w:rFonts w:ascii="Arial" w:hAnsi="Arial" w:cs="Arial"/>
          <w:sz w:val="20"/>
        </w:rPr>
        <w:t xml:space="preserve"> as a result of the Contracts (Rights of Third Parties) Act 1999.</w:t>
      </w:r>
      <w:bookmarkEnd w:id="499"/>
    </w:p>
    <w:p w14:paraId="56712F50" w14:textId="77777777" w:rsidR="00115EE7" w:rsidRPr="00F97360" w:rsidRDefault="00D8597D" w:rsidP="00115EE7">
      <w:pPr>
        <w:pStyle w:val="TitleClause"/>
        <w:rPr>
          <w:rFonts w:ascii="Arial" w:hAnsi="Arial" w:cs="Arial"/>
          <w:sz w:val="20"/>
        </w:rPr>
      </w:pPr>
      <w:bookmarkStart w:id="500" w:name="_Ref83979035"/>
      <w:bookmarkStart w:id="501" w:name="_Toc88673626"/>
      <w:bookmarkStart w:id="502" w:name="_Toc105671041"/>
      <w:bookmarkStart w:id="503" w:name="_Toc103273417"/>
      <w:bookmarkStart w:id="504" w:name="_Toc145339798"/>
      <w:bookmarkStart w:id="505" w:name="_Toc131682148"/>
      <w:bookmarkStart w:id="506" w:name="_Toc161658081"/>
      <w:r w:rsidRPr="00F97360">
        <w:rPr>
          <w:rFonts w:ascii="Arial" w:hAnsi="Arial" w:cs="Arial"/>
          <w:sz w:val="20"/>
        </w:rPr>
        <w:t>Confidentiality</w:t>
      </w:r>
      <w:bookmarkEnd w:id="500"/>
      <w:bookmarkEnd w:id="501"/>
      <w:bookmarkEnd w:id="502"/>
      <w:bookmarkEnd w:id="503"/>
      <w:bookmarkEnd w:id="504"/>
      <w:bookmarkEnd w:id="505"/>
      <w:bookmarkEnd w:id="506"/>
    </w:p>
    <w:p w14:paraId="56712F51" w14:textId="6A8F8862" w:rsidR="00115EE7" w:rsidRPr="00F97360" w:rsidRDefault="00D8597D" w:rsidP="00115EE7">
      <w:pPr>
        <w:pStyle w:val="Untitledsubclause1"/>
        <w:numPr>
          <w:ilvl w:val="0"/>
          <w:numId w:val="0"/>
        </w:numPr>
        <w:ind w:left="720"/>
        <w:rPr>
          <w:rFonts w:ascii="Arial" w:hAnsi="Arial" w:cs="Arial"/>
          <w:sz w:val="20"/>
        </w:rPr>
      </w:pPr>
      <w:r w:rsidRPr="00F97360">
        <w:rPr>
          <w:rFonts w:ascii="Arial" w:hAnsi="Arial" w:cs="Arial"/>
          <w:sz w:val="20"/>
        </w:rPr>
        <w:t xml:space="preserve">Each Award Holder must keep </w:t>
      </w:r>
      <w:r w:rsidR="009B3096" w:rsidRPr="00F97360">
        <w:rPr>
          <w:rFonts w:ascii="Arial" w:hAnsi="Arial" w:cs="Arial"/>
          <w:sz w:val="20"/>
        </w:rPr>
        <w:t xml:space="preserve">the rules of the Plan and </w:t>
      </w:r>
      <w:r w:rsidR="00A3343A" w:rsidRPr="00F97360">
        <w:rPr>
          <w:rFonts w:ascii="Arial" w:hAnsi="Arial" w:cs="Arial"/>
          <w:sz w:val="20"/>
        </w:rPr>
        <w:t>details of their</w:t>
      </w:r>
      <w:r w:rsidRPr="00F97360">
        <w:rPr>
          <w:rFonts w:ascii="Arial" w:hAnsi="Arial" w:cs="Arial"/>
          <w:sz w:val="20"/>
        </w:rPr>
        <w:t xml:space="preserve"> </w:t>
      </w:r>
      <w:r w:rsidR="00D67DB9" w:rsidRPr="00F97360">
        <w:rPr>
          <w:rFonts w:ascii="Arial" w:hAnsi="Arial" w:cs="Arial"/>
          <w:sz w:val="20"/>
        </w:rPr>
        <w:t>Award</w:t>
      </w:r>
      <w:r w:rsidRPr="00F97360">
        <w:rPr>
          <w:rFonts w:ascii="Arial" w:hAnsi="Arial" w:cs="Arial"/>
          <w:sz w:val="20"/>
        </w:rPr>
        <w:t xml:space="preserve"> </w:t>
      </w:r>
      <w:r w:rsidR="00A3343A" w:rsidRPr="00F97360">
        <w:rPr>
          <w:rFonts w:ascii="Arial" w:hAnsi="Arial" w:cs="Arial"/>
          <w:sz w:val="20"/>
        </w:rPr>
        <w:t>(</w:t>
      </w:r>
      <w:r w:rsidR="006252D6" w:rsidRPr="00F97360">
        <w:rPr>
          <w:rFonts w:ascii="Arial" w:hAnsi="Arial" w:cs="Arial"/>
          <w:sz w:val="20"/>
        </w:rPr>
        <w:t xml:space="preserve">in each case </w:t>
      </w:r>
      <w:r w:rsidR="00A3343A" w:rsidRPr="00F97360">
        <w:rPr>
          <w:rFonts w:ascii="Arial" w:hAnsi="Arial" w:cs="Arial"/>
          <w:sz w:val="20"/>
        </w:rPr>
        <w:t xml:space="preserve">save </w:t>
      </w:r>
      <w:r w:rsidR="009B3096" w:rsidRPr="00F97360">
        <w:rPr>
          <w:rFonts w:ascii="Arial" w:hAnsi="Arial" w:cs="Arial"/>
          <w:sz w:val="20"/>
        </w:rPr>
        <w:t>as publicly disclosed</w:t>
      </w:r>
      <w:r w:rsidR="00F6419A" w:rsidRPr="00F97360">
        <w:rPr>
          <w:rFonts w:ascii="Arial" w:hAnsi="Arial" w:cs="Arial"/>
          <w:sz w:val="20"/>
        </w:rPr>
        <w:t xml:space="preserve"> by the Company</w:t>
      </w:r>
      <w:r w:rsidR="009B3096" w:rsidRPr="00F97360">
        <w:rPr>
          <w:rFonts w:ascii="Arial" w:hAnsi="Arial" w:cs="Arial"/>
          <w:sz w:val="20"/>
        </w:rPr>
        <w:t>)</w:t>
      </w:r>
      <w:r w:rsidR="006252D6" w:rsidRPr="00F97360">
        <w:rPr>
          <w:rFonts w:ascii="Arial" w:hAnsi="Arial" w:cs="Arial"/>
          <w:sz w:val="20"/>
        </w:rPr>
        <w:t xml:space="preserve">, </w:t>
      </w:r>
      <w:r w:rsidRPr="00F97360">
        <w:rPr>
          <w:rFonts w:ascii="Arial" w:hAnsi="Arial" w:cs="Arial"/>
          <w:sz w:val="20"/>
        </w:rPr>
        <w:t>the Acceptance Notice and the Award Certificate (the “</w:t>
      </w:r>
      <w:r w:rsidRPr="00F97360">
        <w:rPr>
          <w:rFonts w:ascii="Arial" w:hAnsi="Arial" w:cs="Arial"/>
          <w:b/>
          <w:bCs/>
          <w:sz w:val="20"/>
        </w:rPr>
        <w:t>Plan Documents</w:t>
      </w:r>
      <w:r w:rsidRPr="00F97360">
        <w:rPr>
          <w:rFonts w:ascii="Arial" w:hAnsi="Arial" w:cs="Arial"/>
          <w:sz w:val="20"/>
        </w:rPr>
        <w:t>”) confidential, and must not disclose, or to permit the disclosure of, any of the terms of the Plan Documents to any third party (</w:t>
      </w:r>
      <w:r w:rsidR="00F07327" w:rsidRPr="00F97360">
        <w:rPr>
          <w:rFonts w:ascii="Arial" w:hAnsi="Arial" w:cs="Arial"/>
          <w:sz w:val="20"/>
        </w:rPr>
        <w:t xml:space="preserve">except </w:t>
      </w:r>
      <w:r w:rsidRPr="00F97360">
        <w:rPr>
          <w:rFonts w:ascii="Arial" w:hAnsi="Arial" w:cs="Arial"/>
          <w:sz w:val="20"/>
        </w:rPr>
        <w:t xml:space="preserve">as may be </w:t>
      </w:r>
      <w:r w:rsidR="00A307A0" w:rsidRPr="00F97360">
        <w:rPr>
          <w:rFonts w:ascii="Arial" w:hAnsi="Arial" w:cs="Arial"/>
          <w:sz w:val="20"/>
        </w:rPr>
        <w:t xml:space="preserve">requested by the Company </w:t>
      </w:r>
      <w:r w:rsidR="00B13CEF" w:rsidRPr="00F97360">
        <w:rPr>
          <w:rFonts w:ascii="Arial" w:hAnsi="Arial" w:cs="Arial"/>
          <w:sz w:val="20"/>
        </w:rPr>
        <w:t xml:space="preserve">and save to the extent </w:t>
      </w:r>
      <w:r w:rsidR="00ED64C1" w:rsidRPr="00F97360">
        <w:rPr>
          <w:rFonts w:ascii="Arial" w:hAnsi="Arial" w:cs="Arial"/>
          <w:sz w:val="20"/>
        </w:rPr>
        <w:t xml:space="preserve">such disclosure is expressly protected by law </w:t>
      </w:r>
      <w:r w:rsidR="00A307A0" w:rsidRPr="00F97360">
        <w:rPr>
          <w:rFonts w:ascii="Arial" w:hAnsi="Arial" w:cs="Arial"/>
          <w:sz w:val="20"/>
        </w:rPr>
        <w:t xml:space="preserve">or </w:t>
      </w:r>
      <w:r w:rsidRPr="00F97360">
        <w:rPr>
          <w:rFonts w:ascii="Arial" w:hAnsi="Arial" w:cs="Arial"/>
          <w:sz w:val="20"/>
        </w:rPr>
        <w:t>required by law, a court of competent jurisdiction or any governmental or regulatory authority).</w:t>
      </w:r>
      <w:r w:rsidR="00B86156" w:rsidRPr="00F97360">
        <w:rPr>
          <w:rFonts w:ascii="Arial" w:hAnsi="Arial" w:cs="Arial"/>
          <w:sz w:val="20"/>
        </w:rPr>
        <w:t xml:space="preserve"> </w:t>
      </w:r>
    </w:p>
    <w:p w14:paraId="56712F52" w14:textId="77777777" w:rsidR="007B4FB5" w:rsidRPr="00F97360" w:rsidRDefault="00D8597D" w:rsidP="007B4FB5">
      <w:pPr>
        <w:pStyle w:val="TitleClause"/>
        <w:rPr>
          <w:rFonts w:ascii="Arial" w:hAnsi="Arial" w:cs="Arial"/>
          <w:sz w:val="20"/>
        </w:rPr>
      </w:pPr>
      <w:r w:rsidRPr="00F97360">
        <w:rPr>
          <w:rFonts w:ascii="Arial" w:hAnsi="Arial" w:cs="Arial"/>
          <w:sz w:val="20"/>
        </w:rPr>
        <w:lastRenderedPageBreak/>
        <w:fldChar w:fldCharType="begin"/>
      </w:r>
      <w:r w:rsidRPr="00F97360">
        <w:rPr>
          <w:rFonts w:ascii="Arial" w:hAnsi="Arial" w:cs="Arial"/>
          <w:sz w:val="20"/>
        </w:rPr>
        <w:instrText>TC "28. Data protection" \l 1</w:instrText>
      </w:r>
      <w:r w:rsidRPr="00F97360">
        <w:rPr>
          <w:rFonts w:ascii="Arial" w:hAnsi="Arial" w:cs="Arial"/>
          <w:sz w:val="20"/>
        </w:rPr>
        <w:fldChar w:fldCharType="end"/>
      </w:r>
      <w:bookmarkStart w:id="507" w:name="a363784"/>
      <w:bookmarkStart w:id="508" w:name="_Toc105671042"/>
      <w:bookmarkStart w:id="509" w:name="_Toc103273418"/>
      <w:bookmarkStart w:id="510" w:name="_Toc145339799"/>
      <w:bookmarkStart w:id="511" w:name="_Toc131682149"/>
      <w:bookmarkStart w:id="512" w:name="_Toc161658082"/>
      <w:r w:rsidRPr="00F97360">
        <w:rPr>
          <w:rFonts w:ascii="Arial" w:hAnsi="Arial" w:cs="Arial"/>
          <w:sz w:val="20"/>
        </w:rPr>
        <w:t xml:space="preserve">Data </w:t>
      </w:r>
      <w:bookmarkEnd w:id="507"/>
      <w:r w:rsidR="009011C3" w:rsidRPr="00F97360">
        <w:rPr>
          <w:rFonts w:ascii="Arial" w:hAnsi="Arial" w:cs="Arial"/>
          <w:sz w:val="20"/>
        </w:rPr>
        <w:t>Privacy</w:t>
      </w:r>
      <w:bookmarkEnd w:id="508"/>
      <w:bookmarkEnd w:id="509"/>
      <w:bookmarkEnd w:id="510"/>
      <w:bookmarkEnd w:id="511"/>
      <w:bookmarkEnd w:id="512"/>
    </w:p>
    <w:p w14:paraId="56712F53" w14:textId="611DFA74" w:rsidR="007B4FB5" w:rsidRPr="00F97360" w:rsidRDefault="00D8597D" w:rsidP="007B4FB5">
      <w:pPr>
        <w:pStyle w:val="NoNumUntitledsubclause1"/>
        <w:rPr>
          <w:rFonts w:ascii="Arial" w:hAnsi="Arial" w:cs="Arial"/>
          <w:sz w:val="20"/>
        </w:rPr>
      </w:pPr>
      <w:bookmarkStart w:id="513" w:name="a429757"/>
      <w:proofErr w:type="gramStart"/>
      <w:r w:rsidRPr="00F97360">
        <w:rPr>
          <w:rFonts w:ascii="Arial" w:hAnsi="Arial" w:cs="Arial"/>
          <w:sz w:val="20"/>
        </w:rPr>
        <w:t>For the purpose of</w:t>
      </w:r>
      <w:proofErr w:type="gramEnd"/>
      <w:r w:rsidRPr="00F97360">
        <w:rPr>
          <w:rFonts w:ascii="Arial" w:hAnsi="Arial" w:cs="Arial"/>
          <w:sz w:val="20"/>
        </w:rPr>
        <w:t xml:space="preserve"> operating the Plan, the </w:t>
      </w:r>
      <w:r w:rsidR="00412E5E" w:rsidRPr="00F97360">
        <w:rPr>
          <w:rFonts w:ascii="Arial" w:hAnsi="Arial" w:cs="Arial"/>
          <w:sz w:val="20"/>
        </w:rPr>
        <w:t xml:space="preserve">relevant Group </w:t>
      </w:r>
      <w:r w:rsidR="00634A87" w:rsidRPr="00F97360">
        <w:rPr>
          <w:rFonts w:ascii="Arial" w:hAnsi="Arial" w:cs="Arial"/>
          <w:sz w:val="20"/>
        </w:rPr>
        <w:t>Company</w:t>
      </w:r>
      <w:r w:rsidR="00412E5E" w:rsidRPr="00F97360">
        <w:rPr>
          <w:rFonts w:ascii="Arial" w:hAnsi="Arial" w:cs="Arial"/>
          <w:sz w:val="20"/>
        </w:rPr>
        <w:t xml:space="preserve"> </w:t>
      </w:r>
      <w:r w:rsidRPr="00F97360">
        <w:rPr>
          <w:rFonts w:ascii="Arial" w:hAnsi="Arial" w:cs="Arial"/>
          <w:sz w:val="20"/>
        </w:rPr>
        <w:t xml:space="preserve">will collect and process information relating to Employees and Award Holders in accordance with the privacy notice </w:t>
      </w:r>
      <w:r w:rsidR="0059105D" w:rsidRPr="00F97360">
        <w:rPr>
          <w:rFonts w:ascii="Arial" w:hAnsi="Arial" w:cs="Arial"/>
          <w:sz w:val="20"/>
        </w:rPr>
        <w:t xml:space="preserve">and other relevant documents </w:t>
      </w:r>
      <w:r w:rsidRPr="00F97360">
        <w:rPr>
          <w:rFonts w:ascii="Arial" w:hAnsi="Arial" w:cs="Arial"/>
          <w:sz w:val="20"/>
        </w:rPr>
        <w:t xml:space="preserve">which </w:t>
      </w:r>
      <w:r w:rsidR="0059105D" w:rsidRPr="00F97360">
        <w:rPr>
          <w:rFonts w:ascii="Arial" w:hAnsi="Arial" w:cs="Arial"/>
          <w:sz w:val="20"/>
        </w:rPr>
        <w:t xml:space="preserve">are available either on </w:t>
      </w:r>
      <w:r w:rsidR="00055ABA">
        <w:rPr>
          <w:rFonts w:ascii="Arial" w:hAnsi="Arial" w:cs="Arial"/>
          <w:sz w:val="20"/>
        </w:rPr>
        <w:t>the</w:t>
      </w:r>
      <w:r w:rsidR="0059105D" w:rsidRPr="00F97360">
        <w:rPr>
          <w:rFonts w:ascii="Arial" w:hAnsi="Arial" w:cs="Arial"/>
          <w:sz w:val="20"/>
        </w:rPr>
        <w:t xml:space="preserve"> Company website or</w:t>
      </w:r>
      <w:r w:rsidR="005F5647" w:rsidRPr="00F97360">
        <w:rPr>
          <w:rFonts w:ascii="Arial" w:hAnsi="Arial" w:cs="Arial"/>
          <w:sz w:val="20"/>
        </w:rPr>
        <w:t xml:space="preserve"> on request from HR</w:t>
      </w:r>
      <w:r w:rsidRPr="00F97360">
        <w:rPr>
          <w:rFonts w:ascii="Arial" w:hAnsi="Arial" w:cs="Arial"/>
          <w:sz w:val="20"/>
        </w:rPr>
        <w:t>.</w:t>
      </w:r>
      <w:bookmarkEnd w:id="513"/>
    </w:p>
    <w:p w14:paraId="56712F54" w14:textId="77777777" w:rsidR="0019771C" w:rsidRPr="00F97360" w:rsidRDefault="00D8597D" w:rsidP="0019771C">
      <w:pPr>
        <w:pStyle w:val="TitleClause"/>
        <w:rPr>
          <w:rFonts w:ascii="Arial" w:hAnsi="Arial" w:cs="Arial"/>
          <w:sz w:val="20"/>
        </w:rPr>
      </w:pPr>
      <w:bookmarkStart w:id="514" w:name="_Toc105671043"/>
      <w:bookmarkStart w:id="515" w:name="_Toc103273419"/>
      <w:bookmarkStart w:id="516" w:name="_Toc145339800"/>
      <w:bookmarkStart w:id="517" w:name="_Toc131682150"/>
      <w:bookmarkStart w:id="518" w:name="_Toc161658083"/>
      <w:r w:rsidRPr="00F97360">
        <w:rPr>
          <w:rFonts w:ascii="Arial" w:hAnsi="Arial" w:cs="Arial"/>
          <w:sz w:val="20"/>
        </w:rPr>
        <w:t>Severability</w:t>
      </w:r>
      <w:bookmarkEnd w:id="514"/>
      <w:bookmarkEnd w:id="515"/>
      <w:bookmarkEnd w:id="516"/>
      <w:bookmarkEnd w:id="517"/>
      <w:bookmarkEnd w:id="518"/>
    </w:p>
    <w:p w14:paraId="56712F55" w14:textId="77777777" w:rsidR="0019771C" w:rsidRPr="00F97360" w:rsidRDefault="00D8597D" w:rsidP="0019771C">
      <w:pPr>
        <w:pStyle w:val="NoNumUntitledsubclause1"/>
        <w:rPr>
          <w:rFonts w:ascii="Arial" w:hAnsi="Arial" w:cs="Arial"/>
          <w:sz w:val="20"/>
        </w:rPr>
      </w:pPr>
      <w:r w:rsidRPr="00F97360">
        <w:rPr>
          <w:rFonts w:ascii="Arial" w:hAnsi="Arial" w:cs="Arial"/>
          <w:sz w:val="20"/>
        </w:rPr>
        <w:t>The invalidity or non-enforceability of one or more provisions of the Plan will not affect the validity or enforceability of the other provisions of the Plan, which will remain in full force and effect.</w:t>
      </w:r>
    </w:p>
    <w:p w14:paraId="56712F56" w14:textId="77777777" w:rsidR="007B4FB5" w:rsidRPr="00F97360" w:rsidRDefault="00D8597D" w:rsidP="007B4FB5">
      <w:pPr>
        <w:pStyle w:val="TitleClause"/>
        <w:rPr>
          <w:rFonts w:ascii="Arial" w:hAnsi="Arial" w:cs="Arial"/>
          <w:sz w:val="20"/>
        </w:rPr>
      </w:pPr>
      <w:r w:rsidRPr="00F97360">
        <w:rPr>
          <w:rFonts w:ascii="Arial" w:hAnsi="Arial" w:cs="Arial"/>
          <w:sz w:val="20"/>
        </w:rPr>
        <w:fldChar w:fldCharType="begin"/>
      </w:r>
      <w:r w:rsidRPr="00F97360">
        <w:rPr>
          <w:rFonts w:ascii="Arial" w:hAnsi="Arial" w:cs="Arial"/>
          <w:sz w:val="20"/>
        </w:rPr>
        <w:instrText>TC "29. Governing law" \l 1</w:instrText>
      </w:r>
      <w:r w:rsidRPr="00F97360">
        <w:rPr>
          <w:rFonts w:ascii="Arial" w:hAnsi="Arial" w:cs="Arial"/>
          <w:sz w:val="20"/>
        </w:rPr>
        <w:fldChar w:fldCharType="end"/>
      </w:r>
      <w:bookmarkStart w:id="519" w:name="a595944"/>
      <w:bookmarkStart w:id="520" w:name="_Toc105671044"/>
      <w:bookmarkStart w:id="521" w:name="_Toc103273420"/>
      <w:bookmarkStart w:id="522" w:name="_Toc145339801"/>
      <w:bookmarkStart w:id="523" w:name="_Toc131682151"/>
      <w:bookmarkStart w:id="524" w:name="_Toc161658084"/>
      <w:r w:rsidRPr="00F97360">
        <w:rPr>
          <w:rFonts w:ascii="Arial" w:hAnsi="Arial" w:cs="Arial"/>
          <w:sz w:val="20"/>
        </w:rPr>
        <w:t>Governing law</w:t>
      </w:r>
      <w:bookmarkEnd w:id="519"/>
      <w:bookmarkEnd w:id="520"/>
      <w:bookmarkEnd w:id="521"/>
      <w:bookmarkEnd w:id="522"/>
      <w:bookmarkEnd w:id="523"/>
      <w:bookmarkEnd w:id="524"/>
    </w:p>
    <w:p w14:paraId="56712F57" w14:textId="1FBA4E1E" w:rsidR="007B4FB5" w:rsidRPr="00F97360" w:rsidRDefault="00D8597D" w:rsidP="007B4FB5">
      <w:pPr>
        <w:pStyle w:val="NoNumUntitledsubclause1"/>
        <w:rPr>
          <w:rFonts w:ascii="Arial" w:hAnsi="Arial" w:cs="Arial"/>
          <w:sz w:val="20"/>
        </w:rPr>
      </w:pPr>
      <w:bookmarkStart w:id="525" w:name="a835719"/>
      <w:r w:rsidRPr="00F97360">
        <w:rPr>
          <w:rFonts w:ascii="Arial" w:hAnsi="Arial" w:cs="Arial"/>
          <w:sz w:val="20"/>
        </w:rPr>
        <w:t>The Plan and any dispute or claim arising out of or in connection with it or its subject matter or formation (including non-contractual disputes or claims) shall be governed by and construed in accordance with the law of England and Wales.</w:t>
      </w:r>
      <w:bookmarkEnd w:id="525"/>
      <w:r w:rsidR="0019771C" w:rsidRPr="00F97360">
        <w:rPr>
          <w:rFonts w:ascii="Arial" w:hAnsi="Arial" w:cs="Arial"/>
          <w:sz w:val="20"/>
        </w:rPr>
        <w:t xml:space="preserve"> The </w:t>
      </w:r>
      <w:r w:rsidR="00623047" w:rsidRPr="00F97360">
        <w:rPr>
          <w:rFonts w:ascii="Arial" w:hAnsi="Arial" w:cs="Arial"/>
          <w:sz w:val="20"/>
        </w:rPr>
        <w:t>Remuneration Committee</w:t>
      </w:r>
      <w:r w:rsidR="0019771C" w:rsidRPr="00F97360">
        <w:rPr>
          <w:rFonts w:ascii="Arial" w:hAnsi="Arial" w:cs="Arial"/>
          <w:sz w:val="20"/>
        </w:rPr>
        <w:t xml:space="preserve"> may, in its absolute discretion, determine that another law may apply to the application of the Plan outside </w:t>
      </w:r>
      <w:r w:rsidR="00946D43" w:rsidRPr="00F97360">
        <w:rPr>
          <w:rFonts w:ascii="Arial" w:hAnsi="Arial" w:cs="Arial"/>
          <w:sz w:val="20"/>
        </w:rPr>
        <w:t>England and Wales</w:t>
      </w:r>
      <w:r w:rsidR="0019771C" w:rsidRPr="00F97360">
        <w:rPr>
          <w:rFonts w:ascii="Arial" w:hAnsi="Arial" w:cs="Arial"/>
          <w:sz w:val="20"/>
        </w:rPr>
        <w:t>.</w:t>
      </w:r>
    </w:p>
    <w:p w14:paraId="56712F58" w14:textId="77777777" w:rsidR="007B4FB5" w:rsidRPr="00F97360" w:rsidRDefault="00D8597D" w:rsidP="007B4FB5">
      <w:pPr>
        <w:pStyle w:val="TitleClause"/>
        <w:rPr>
          <w:rFonts w:ascii="Arial" w:hAnsi="Arial" w:cs="Arial"/>
          <w:sz w:val="20"/>
        </w:rPr>
      </w:pPr>
      <w:r w:rsidRPr="00F97360">
        <w:rPr>
          <w:rFonts w:ascii="Arial" w:hAnsi="Arial" w:cs="Arial"/>
          <w:sz w:val="20"/>
        </w:rPr>
        <w:fldChar w:fldCharType="begin"/>
      </w:r>
      <w:r w:rsidRPr="00F97360">
        <w:rPr>
          <w:rFonts w:ascii="Arial" w:hAnsi="Arial" w:cs="Arial"/>
          <w:sz w:val="20"/>
        </w:rPr>
        <w:instrText>TC "30. Jurisdiction" \l 1</w:instrText>
      </w:r>
      <w:r w:rsidRPr="00F97360">
        <w:rPr>
          <w:rFonts w:ascii="Arial" w:hAnsi="Arial" w:cs="Arial"/>
          <w:sz w:val="20"/>
        </w:rPr>
        <w:fldChar w:fldCharType="end"/>
      </w:r>
      <w:bookmarkStart w:id="526" w:name="a610420"/>
      <w:bookmarkStart w:id="527" w:name="_Toc105671045"/>
      <w:bookmarkStart w:id="528" w:name="_Toc103273421"/>
      <w:bookmarkStart w:id="529" w:name="_Toc145339802"/>
      <w:bookmarkStart w:id="530" w:name="_Toc131682152"/>
      <w:bookmarkStart w:id="531" w:name="_Toc161658085"/>
      <w:r w:rsidRPr="00F97360">
        <w:rPr>
          <w:rFonts w:ascii="Arial" w:hAnsi="Arial" w:cs="Arial"/>
          <w:sz w:val="20"/>
        </w:rPr>
        <w:t>Jurisdiction</w:t>
      </w:r>
      <w:bookmarkEnd w:id="526"/>
      <w:bookmarkEnd w:id="527"/>
      <w:bookmarkEnd w:id="528"/>
      <w:bookmarkEnd w:id="529"/>
      <w:bookmarkEnd w:id="530"/>
      <w:bookmarkEnd w:id="531"/>
    </w:p>
    <w:p w14:paraId="56712F59" w14:textId="77777777" w:rsidR="007B4FB5" w:rsidRPr="00F97360" w:rsidRDefault="00D8597D" w:rsidP="007B4FB5">
      <w:pPr>
        <w:pStyle w:val="Untitledsubclause1"/>
        <w:rPr>
          <w:rFonts w:ascii="Arial" w:hAnsi="Arial" w:cs="Arial"/>
          <w:sz w:val="20"/>
        </w:rPr>
      </w:pPr>
      <w:bookmarkStart w:id="532" w:name="a1005629"/>
      <w:r w:rsidRPr="00F97360">
        <w:rPr>
          <w:rFonts w:ascii="Arial" w:hAnsi="Arial" w:cs="Arial"/>
          <w:sz w:val="20"/>
        </w:rPr>
        <w:t>Each party irrevocably agrees that the courts of England and Wales shall have exclusive jurisdiction to settle any dispute or claim arising out of or in connection with the Plan or its subject matter or formation (including non-contractual disputes or claims).</w:t>
      </w:r>
      <w:bookmarkEnd w:id="532"/>
    </w:p>
    <w:p w14:paraId="56712F5B" w14:textId="36401A9E" w:rsidR="00951D99" w:rsidRPr="00F97360" w:rsidRDefault="00D8597D" w:rsidP="00174EDE">
      <w:pPr>
        <w:pStyle w:val="Untitledsubclause1"/>
        <w:numPr>
          <w:ilvl w:val="1"/>
          <w:numId w:val="23"/>
        </w:numPr>
        <w:rPr>
          <w:rFonts w:ascii="Arial" w:hAnsi="Arial" w:cs="Arial"/>
          <w:sz w:val="20"/>
        </w:rPr>
      </w:pPr>
      <w:bookmarkStart w:id="533" w:name="a820002"/>
      <w:r w:rsidRPr="00F97360">
        <w:rPr>
          <w:rFonts w:ascii="Arial" w:hAnsi="Arial" w:cs="Arial"/>
          <w:sz w:val="20"/>
        </w:rPr>
        <w:t xml:space="preserve">Each party irrevocably consents to any process in any legal action or proceedings under </w:t>
      </w:r>
      <w:r w:rsidRPr="00F97360">
        <w:rPr>
          <w:rFonts w:ascii="Arial" w:hAnsi="Arial" w:cs="Arial"/>
          <w:sz w:val="20"/>
        </w:rPr>
        <w:fldChar w:fldCharType="begin"/>
      </w:r>
      <w:r w:rsidRPr="00F97360">
        <w:rPr>
          <w:rFonts w:ascii="Arial" w:hAnsi="Arial" w:cs="Arial"/>
          <w:sz w:val="20"/>
        </w:rPr>
        <w:instrText>PAGEREF a1005629\# "'rule '"  \h</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rPr>
        <w:t xml:space="preserve">rule </w:t>
      </w:r>
      <w:r w:rsidRPr="00F97360">
        <w:rPr>
          <w:rFonts w:ascii="Arial" w:hAnsi="Arial" w:cs="Arial"/>
          <w:sz w:val="20"/>
        </w:rPr>
        <w:fldChar w:fldCharType="end"/>
      </w:r>
      <w:r w:rsidRPr="00F97360">
        <w:rPr>
          <w:rFonts w:ascii="Arial" w:hAnsi="Arial" w:cs="Arial"/>
          <w:sz w:val="20"/>
        </w:rPr>
        <w:fldChar w:fldCharType="begin"/>
      </w:r>
      <w:r w:rsidRPr="00F97360">
        <w:rPr>
          <w:rFonts w:ascii="Arial" w:hAnsi="Arial" w:cs="Arial"/>
          <w:sz w:val="20"/>
          <w:highlight w:val="lightGray"/>
        </w:rPr>
        <w:instrText>REF a1005629 \h \w</w:instrText>
      </w:r>
      <w:r w:rsidR="0037270F" w:rsidRPr="00F97360">
        <w:rPr>
          <w:rFonts w:ascii="Arial" w:hAnsi="Arial" w:cs="Arial"/>
          <w:sz w:val="20"/>
        </w:rPr>
        <w:instrText xml:space="preserve"> \* MERGEFORMAT </w:instrText>
      </w:r>
      <w:r w:rsidRPr="00F97360">
        <w:rPr>
          <w:rFonts w:ascii="Arial" w:hAnsi="Arial" w:cs="Arial"/>
          <w:sz w:val="20"/>
        </w:rPr>
      </w:r>
      <w:r w:rsidRPr="00F97360">
        <w:rPr>
          <w:rFonts w:ascii="Arial" w:hAnsi="Arial" w:cs="Arial"/>
          <w:sz w:val="20"/>
        </w:rPr>
        <w:fldChar w:fldCharType="separate"/>
      </w:r>
      <w:r w:rsidR="00710210" w:rsidRPr="00F97360">
        <w:rPr>
          <w:rFonts w:ascii="Arial" w:hAnsi="Arial" w:cs="Arial"/>
          <w:sz w:val="20"/>
          <w:highlight w:val="lightGray"/>
        </w:rPr>
        <w:t>32.1</w:t>
      </w:r>
      <w:r w:rsidRPr="00F97360">
        <w:rPr>
          <w:rFonts w:ascii="Arial" w:hAnsi="Arial" w:cs="Arial"/>
          <w:sz w:val="20"/>
        </w:rPr>
        <w:fldChar w:fldCharType="end"/>
      </w:r>
      <w:r w:rsidRPr="00F97360">
        <w:rPr>
          <w:rFonts w:ascii="Arial" w:hAnsi="Arial" w:cs="Arial"/>
          <w:sz w:val="20"/>
        </w:rPr>
        <w:t xml:space="preserve"> being served on it in accordance with the provisions of the Plan relating to service of notices. Nothing contained in the Plan shall affect the right to serve process in any other manner permitted by law.</w:t>
      </w:r>
      <w:bookmarkStart w:id="534" w:name="_Toc81843434"/>
      <w:bookmarkStart w:id="535" w:name="_Toc81843443"/>
      <w:bookmarkEnd w:id="533"/>
      <w:bookmarkEnd w:id="534"/>
      <w:bookmarkEnd w:id="535"/>
    </w:p>
    <w:sectPr w:rsidR="00951D99" w:rsidRPr="00F97360" w:rsidSect="00F97360">
      <w:pgSz w:w="12240" w:h="15840"/>
      <w:pgMar w:top="1440" w:right="1440" w:bottom="1440" w:left="1440" w:header="720" w:footer="2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ABB8E" w14:textId="77777777" w:rsidR="001C54AA" w:rsidRPr="000649A4" w:rsidRDefault="001C54AA" w:rsidP="00EB2CCB">
      <w:r w:rsidRPr="000649A4">
        <w:separator/>
      </w:r>
    </w:p>
  </w:endnote>
  <w:endnote w:type="continuationSeparator" w:id="0">
    <w:p w14:paraId="2ED1B1BA" w14:textId="77777777" w:rsidR="001C54AA" w:rsidRPr="000649A4" w:rsidRDefault="001C54AA" w:rsidP="00EB2CCB">
      <w:r w:rsidRPr="000649A4">
        <w:continuationSeparator/>
      </w:r>
    </w:p>
  </w:endnote>
  <w:endnote w:type="continuationNotice" w:id="1">
    <w:p w14:paraId="230E1A15" w14:textId="77777777" w:rsidR="001C54AA" w:rsidRPr="000649A4" w:rsidRDefault="001C54AA" w:rsidP="00EB2C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S Me">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C8AAA" w14:textId="77777777" w:rsidR="006D5358" w:rsidRPr="000649A4" w:rsidRDefault="006D53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86C59" w14:textId="2F0EC5D2" w:rsidR="00553269" w:rsidRPr="00F97360" w:rsidRDefault="00642048" w:rsidP="00F97360">
    <w:pPr>
      <w:pStyle w:val="CoverPageTitle"/>
      <w:spacing w:after="0"/>
      <w:rPr>
        <w:sz w:val="16"/>
        <w:szCs w:val="16"/>
        <w:lang w:eastAsia="en-GB"/>
      </w:rPr>
    </w:pPr>
    <w:r>
      <w:rPr>
        <w:b w:val="0"/>
        <w:caps w:val="0"/>
        <w:sz w:val="16"/>
        <w:szCs w:val="16"/>
        <w:lang w:eastAsia="en-GB"/>
      </w:rPr>
      <w:br/>
    </w:r>
    <w:r w:rsidR="00553269">
      <w:rPr>
        <w:b w:val="0"/>
        <w:caps w:val="0"/>
        <w:sz w:val="16"/>
        <w:szCs w:val="16"/>
        <w:lang w:eastAsia="en-GB"/>
      </w:rPr>
      <w:t>Genuit Group plc Long-Term Incentive Plan</w:t>
    </w:r>
    <w:r w:rsidR="00553269">
      <w:rPr>
        <w:b w:val="0"/>
        <w:caps w:val="0"/>
        <w:sz w:val="16"/>
        <w:szCs w:val="16"/>
        <w:lang w:eastAsia="en-GB"/>
      </w:rPr>
      <w:br/>
    </w:r>
    <w:sdt>
      <w:sdtPr>
        <w:id w:val="-147136439"/>
        <w:docPartObj>
          <w:docPartGallery w:val="Page Numbers (Bottom of Page)"/>
          <w:docPartUnique/>
        </w:docPartObj>
      </w:sdtPr>
      <w:sdtEndPr/>
      <w:sdtContent>
        <w:r w:rsidR="00553269" w:rsidRPr="00F97360">
          <w:rPr>
            <w:b w:val="0"/>
            <w:bCs w:val="0"/>
            <w:sz w:val="16"/>
            <w:szCs w:val="16"/>
          </w:rPr>
          <w:fldChar w:fldCharType="begin"/>
        </w:r>
        <w:r w:rsidR="00553269" w:rsidRPr="00F97360">
          <w:rPr>
            <w:b w:val="0"/>
            <w:bCs w:val="0"/>
            <w:sz w:val="16"/>
            <w:szCs w:val="16"/>
          </w:rPr>
          <w:instrText>PAGE   \* MERGEFORMAT</w:instrText>
        </w:r>
        <w:r w:rsidR="00553269" w:rsidRPr="00F97360">
          <w:rPr>
            <w:b w:val="0"/>
            <w:bCs w:val="0"/>
            <w:sz w:val="16"/>
            <w:szCs w:val="16"/>
          </w:rPr>
          <w:fldChar w:fldCharType="separate"/>
        </w:r>
        <w:r w:rsidR="00553269" w:rsidRPr="00F97360">
          <w:rPr>
            <w:b w:val="0"/>
            <w:bCs w:val="0"/>
            <w:sz w:val="16"/>
            <w:szCs w:val="16"/>
          </w:rPr>
          <w:t>2</w:t>
        </w:r>
        <w:r w:rsidR="00553269" w:rsidRPr="00F97360">
          <w:rPr>
            <w:b w:val="0"/>
            <w:bCs w:val="0"/>
            <w:sz w:val="16"/>
            <w:szCs w:val="16"/>
          </w:rPr>
          <w:fldChar w:fldCharType="end"/>
        </w:r>
      </w:sdtContent>
    </w:sdt>
  </w:p>
  <w:p w14:paraId="45280ADF" w14:textId="50EB4164" w:rsidR="00553269" w:rsidRPr="00F97360" w:rsidRDefault="00553269" w:rsidP="00F97360">
    <w:pPr>
      <w:pStyle w:val="CoverPageTitle"/>
      <w:spacing w:after="0"/>
      <w:rPr>
        <w:sz w:val="16"/>
        <w:szCs w:val="16"/>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B34CE" w14:textId="77777777" w:rsidR="001C54AA" w:rsidRPr="000649A4" w:rsidRDefault="001C54AA" w:rsidP="00EB2CCB">
      <w:r w:rsidRPr="000649A4">
        <w:separator/>
      </w:r>
    </w:p>
  </w:footnote>
  <w:footnote w:type="continuationSeparator" w:id="0">
    <w:p w14:paraId="53E4E2C2" w14:textId="77777777" w:rsidR="001C54AA" w:rsidRPr="000649A4" w:rsidRDefault="001C54AA" w:rsidP="00EB2CCB">
      <w:r w:rsidRPr="000649A4">
        <w:continuationSeparator/>
      </w:r>
    </w:p>
  </w:footnote>
  <w:footnote w:type="continuationNotice" w:id="1">
    <w:p w14:paraId="2D0A3F26" w14:textId="77777777" w:rsidR="001C54AA" w:rsidRPr="000649A4" w:rsidRDefault="001C54AA" w:rsidP="00EB2C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17090" w14:textId="77777777" w:rsidR="006D5358" w:rsidRPr="000649A4" w:rsidRDefault="006D53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4"/>
        </w:tabs>
        <w:ind w:left="1554"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253412"/>
    <w:multiLevelType w:val="hybridMultilevel"/>
    <w:tmpl w:val="960CC850"/>
    <w:lvl w:ilvl="0" w:tplc="D8FA8DC2">
      <w:start w:val="1"/>
      <w:numFmt w:val="bullet"/>
      <w:pStyle w:val="DefinedTermBullet"/>
      <w:lvlText w:val=""/>
      <w:lvlJc w:val="left"/>
      <w:pPr>
        <w:ind w:left="1440" w:hanging="360"/>
      </w:pPr>
      <w:rPr>
        <w:rFonts w:ascii="Symbol" w:hAnsi="Symbol" w:hint="default"/>
        <w:color w:val="000000"/>
      </w:rPr>
    </w:lvl>
    <w:lvl w:ilvl="1" w:tplc="DBE2F5BA" w:tentative="1">
      <w:start w:val="1"/>
      <w:numFmt w:val="bullet"/>
      <w:lvlText w:val="o"/>
      <w:lvlJc w:val="left"/>
      <w:pPr>
        <w:ind w:left="2160" w:hanging="360"/>
      </w:pPr>
      <w:rPr>
        <w:rFonts w:ascii="Courier New" w:hAnsi="Courier New" w:cs="Courier New" w:hint="default"/>
      </w:rPr>
    </w:lvl>
    <w:lvl w:ilvl="2" w:tplc="87F0AB80" w:tentative="1">
      <w:start w:val="1"/>
      <w:numFmt w:val="bullet"/>
      <w:lvlText w:val=""/>
      <w:lvlJc w:val="left"/>
      <w:pPr>
        <w:ind w:left="2880" w:hanging="360"/>
      </w:pPr>
      <w:rPr>
        <w:rFonts w:ascii="Wingdings" w:hAnsi="Wingdings" w:hint="default"/>
      </w:rPr>
    </w:lvl>
    <w:lvl w:ilvl="3" w:tplc="F9D618EA" w:tentative="1">
      <w:start w:val="1"/>
      <w:numFmt w:val="bullet"/>
      <w:lvlText w:val=""/>
      <w:lvlJc w:val="left"/>
      <w:pPr>
        <w:ind w:left="3600" w:hanging="360"/>
      </w:pPr>
      <w:rPr>
        <w:rFonts w:ascii="Symbol" w:hAnsi="Symbol" w:hint="default"/>
      </w:rPr>
    </w:lvl>
    <w:lvl w:ilvl="4" w:tplc="21E808B0" w:tentative="1">
      <w:start w:val="1"/>
      <w:numFmt w:val="bullet"/>
      <w:lvlText w:val="o"/>
      <w:lvlJc w:val="left"/>
      <w:pPr>
        <w:ind w:left="4320" w:hanging="360"/>
      </w:pPr>
      <w:rPr>
        <w:rFonts w:ascii="Courier New" w:hAnsi="Courier New" w:cs="Courier New" w:hint="default"/>
      </w:rPr>
    </w:lvl>
    <w:lvl w:ilvl="5" w:tplc="9BFCA75A" w:tentative="1">
      <w:start w:val="1"/>
      <w:numFmt w:val="bullet"/>
      <w:lvlText w:val=""/>
      <w:lvlJc w:val="left"/>
      <w:pPr>
        <w:ind w:left="5040" w:hanging="360"/>
      </w:pPr>
      <w:rPr>
        <w:rFonts w:ascii="Wingdings" w:hAnsi="Wingdings" w:hint="default"/>
      </w:rPr>
    </w:lvl>
    <w:lvl w:ilvl="6" w:tplc="BD1A174C" w:tentative="1">
      <w:start w:val="1"/>
      <w:numFmt w:val="bullet"/>
      <w:lvlText w:val=""/>
      <w:lvlJc w:val="left"/>
      <w:pPr>
        <w:ind w:left="5760" w:hanging="360"/>
      </w:pPr>
      <w:rPr>
        <w:rFonts w:ascii="Symbol" w:hAnsi="Symbol" w:hint="default"/>
      </w:rPr>
    </w:lvl>
    <w:lvl w:ilvl="7" w:tplc="218C667C" w:tentative="1">
      <w:start w:val="1"/>
      <w:numFmt w:val="bullet"/>
      <w:lvlText w:val="o"/>
      <w:lvlJc w:val="left"/>
      <w:pPr>
        <w:ind w:left="6480" w:hanging="360"/>
      </w:pPr>
      <w:rPr>
        <w:rFonts w:ascii="Courier New" w:hAnsi="Courier New" w:cs="Courier New" w:hint="default"/>
      </w:rPr>
    </w:lvl>
    <w:lvl w:ilvl="8" w:tplc="1AAEC9B2" w:tentative="1">
      <w:start w:val="1"/>
      <w:numFmt w:val="bullet"/>
      <w:lvlText w:val=""/>
      <w:lvlJc w:val="left"/>
      <w:pPr>
        <w:ind w:left="7200" w:hanging="360"/>
      </w:pPr>
      <w:rPr>
        <w:rFonts w:ascii="Wingdings" w:hAnsi="Wingdings" w:hint="default"/>
      </w:rPr>
    </w:lvl>
  </w:abstractNum>
  <w:abstractNum w:abstractNumId="2" w15:restartNumberingAfterBreak="0">
    <w:nsid w:val="11825EA9"/>
    <w:multiLevelType w:val="multilevel"/>
    <w:tmpl w:val="B5EA651E"/>
    <w:lvl w:ilvl="0">
      <w:start w:val="1"/>
      <w:numFmt w:val="decimal"/>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lvlText w:val="%3."/>
      <w:lvlJc w:val="left"/>
      <w:pPr>
        <w:tabs>
          <w:tab w:val="num" w:pos="720"/>
        </w:tabs>
        <w:ind w:left="720" w:hanging="720"/>
      </w:pPr>
      <w:rPr>
        <w:rFonts w:hint="default"/>
        <w:color w:val="000000"/>
      </w:rPr>
    </w:lvl>
    <w:lvl w:ilvl="3">
      <w:start w:val="1"/>
      <w:numFmt w:val="decimal"/>
      <w:lvlText w:val="%3.%4"/>
      <w:lvlJc w:val="left"/>
      <w:pPr>
        <w:tabs>
          <w:tab w:val="num" w:pos="720"/>
        </w:tabs>
        <w:ind w:left="720" w:hanging="720"/>
      </w:pPr>
      <w:rPr>
        <w:rFonts w:hint="default"/>
        <w:color w:val="000000"/>
      </w:rPr>
    </w:lvl>
    <w:lvl w:ilvl="4">
      <w:start w:val="1"/>
      <w:numFmt w:val="lowerLetter"/>
      <w:lvlText w:val="(%5)"/>
      <w:lvlJc w:val="left"/>
      <w:pPr>
        <w:tabs>
          <w:tab w:val="num" w:pos="1555"/>
        </w:tabs>
        <w:ind w:left="1555" w:hanging="561"/>
      </w:pPr>
      <w:rPr>
        <w:rFonts w:hint="default"/>
        <w:color w:val="000000"/>
      </w:rPr>
    </w:lvl>
    <w:lvl w:ilvl="5">
      <w:start w:val="1"/>
      <w:numFmt w:val="lowerRoman"/>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196BBF"/>
    <w:multiLevelType w:val="multilevel"/>
    <w:tmpl w:val="D8E0C814"/>
    <w:lvl w:ilvl="0">
      <w:start w:val="1"/>
      <w:numFmt w:val="decimal"/>
      <w:pStyle w:val="Exhibit"/>
      <w:suff w:val="nothing"/>
      <w:lvlText w:val="Exhibit %1"/>
      <w:lvlJc w:val="left"/>
      <w:pPr>
        <w:ind w:left="0" w:firstLine="0"/>
      </w:pPr>
      <w:rPr>
        <w:rFonts w:hint="default"/>
        <w:b/>
        <w:i w:val="0"/>
        <w:caps/>
      </w:rPr>
    </w:lvl>
    <w:lvl w:ilvl="1">
      <w:start w:val="1"/>
      <w:numFmt w:val="none"/>
      <w:suff w:val="space"/>
      <w:lvlText w:val=""/>
      <w:lvlJc w:val="left"/>
      <w:pPr>
        <w:ind w:left="0" w:firstLine="0"/>
      </w:pPr>
      <w:rPr>
        <w:rFonts w:hint="default"/>
      </w:rPr>
    </w:lvl>
    <w:lvl w:ilvl="2">
      <w:start w:val="1"/>
      <w:numFmt w:val="none"/>
      <w:lvlText w:val=""/>
      <w:lvlJc w:val="left"/>
      <w:pPr>
        <w:tabs>
          <w:tab w:val="num" w:pos="709"/>
        </w:tabs>
        <w:ind w:left="0" w:firstLine="0"/>
      </w:pPr>
      <w:rPr>
        <w:rFonts w:hint="default"/>
      </w:rPr>
    </w:lvl>
    <w:lvl w:ilvl="3">
      <w:start w:val="1"/>
      <w:numFmt w:val="none"/>
      <w:lvlText w:val=""/>
      <w:lvlJc w:val="left"/>
      <w:pPr>
        <w:tabs>
          <w:tab w:val="num" w:pos="709"/>
        </w:tabs>
        <w:ind w:left="0" w:firstLine="0"/>
      </w:pPr>
      <w:rPr>
        <w:rFonts w:hint="default"/>
      </w:rPr>
    </w:lvl>
    <w:lvl w:ilvl="4">
      <w:start w:val="1"/>
      <w:numFmt w:val="none"/>
      <w:lvlText w:val=""/>
      <w:lvlJc w:val="left"/>
      <w:pPr>
        <w:tabs>
          <w:tab w:val="num" w:pos="709"/>
        </w:tabs>
        <w:ind w:left="0" w:firstLine="0"/>
      </w:pPr>
      <w:rPr>
        <w:rFonts w:hint="default"/>
      </w:rPr>
    </w:lvl>
    <w:lvl w:ilvl="5">
      <w:start w:val="1"/>
      <w:numFmt w:val="none"/>
      <w:lvlText w:val=""/>
      <w:lvlJc w:val="left"/>
      <w:pPr>
        <w:tabs>
          <w:tab w:val="num" w:pos="709"/>
        </w:tabs>
        <w:ind w:left="0" w:firstLine="0"/>
      </w:pPr>
      <w:rPr>
        <w:rFonts w:hint="default"/>
      </w:rPr>
    </w:lvl>
    <w:lvl w:ilvl="6">
      <w:start w:val="1"/>
      <w:numFmt w:val="none"/>
      <w:lvlText w:val=""/>
      <w:lvlJc w:val="left"/>
      <w:pPr>
        <w:tabs>
          <w:tab w:val="num" w:pos="709"/>
        </w:tabs>
        <w:ind w:left="0" w:firstLine="0"/>
      </w:pPr>
      <w:rPr>
        <w:rFonts w:hint="default"/>
      </w:rPr>
    </w:lvl>
    <w:lvl w:ilvl="7">
      <w:start w:val="1"/>
      <w:numFmt w:val="none"/>
      <w:lvlText w:val=""/>
      <w:lvlJc w:val="left"/>
      <w:pPr>
        <w:tabs>
          <w:tab w:val="num" w:pos="709"/>
        </w:tabs>
        <w:ind w:left="0" w:firstLine="0"/>
      </w:pPr>
      <w:rPr>
        <w:rFonts w:hint="default"/>
      </w:rPr>
    </w:lvl>
    <w:lvl w:ilvl="8">
      <w:start w:val="1"/>
      <w:numFmt w:val="none"/>
      <w:lvlText w:val=""/>
      <w:lvlJc w:val="left"/>
      <w:pPr>
        <w:tabs>
          <w:tab w:val="num" w:pos="709"/>
        </w:tabs>
        <w:ind w:left="0" w:firstLine="0"/>
      </w:pPr>
      <w:rPr>
        <w:rFonts w:hint="default"/>
      </w:rPr>
    </w:lvl>
  </w:abstractNum>
  <w:abstractNum w:abstractNumId="4" w15:restartNumberingAfterBreak="0">
    <w:nsid w:val="1C70284F"/>
    <w:multiLevelType w:val="multilevel"/>
    <w:tmpl w:val="7B8041D0"/>
    <w:lvl w:ilvl="0">
      <w:start w:val="1"/>
      <w:numFmt w:val="bullet"/>
      <w:pStyle w:val="ListBullet"/>
      <w:lvlText w:val=""/>
      <w:lvlJc w:val="left"/>
      <w:pPr>
        <w:tabs>
          <w:tab w:val="num" w:pos="709"/>
        </w:tabs>
        <w:ind w:left="709" w:hanging="709"/>
      </w:pPr>
      <w:rPr>
        <w:rFonts w:ascii="Symbol" w:hAnsi="Symbol" w:hint="default"/>
      </w:rPr>
    </w:lvl>
    <w:lvl w:ilvl="1">
      <w:start w:val="1"/>
      <w:numFmt w:val="bullet"/>
      <w:pStyle w:val="ListBullet2"/>
      <w:lvlText w:val=""/>
      <w:lvlJc w:val="left"/>
      <w:pPr>
        <w:tabs>
          <w:tab w:val="num" w:pos="1418"/>
        </w:tabs>
        <w:ind w:left="1418" w:hanging="709"/>
      </w:pPr>
      <w:rPr>
        <w:rFonts w:ascii="Symbol" w:hAnsi="Symbol" w:hint="default"/>
      </w:rPr>
    </w:lvl>
    <w:lvl w:ilvl="2">
      <w:start w:val="1"/>
      <w:numFmt w:val="bullet"/>
      <w:pStyle w:val="ListBullet3"/>
      <w:lvlText w:val=""/>
      <w:lvlJc w:val="left"/>
      <w:pPr>
        <w:tabs>
          <w:tab w:val="num" w:pos="2126"/>
        </w:tabs>
        <w:ind w:left="2127" w:hanging="709"/>
      </w:pPr>
      <w:rPr>
        <w:rFonts w:ascii="Symbol" w:hAnsi="Symbol" w:hint="default"/>
      </w:rPr>
    </w:lvl>
    <w:lvl w:ilvl="3">
      <w:start w:val="1"/>
      <w:numFmt w:val="bullet"/>
      <w:pStyle w:val="ListBullet4"/>
      <w:lvlText w:val=""/>
      <w:lvlJc w:val="left"/>
      <w:pPr>
        <w:tabs>
          <w:tab w:val="num" w:pos="2835"/>
        </w:tabs>
        <w:ind w:left="2836" w:hanging="709"/>
      </w:pPr>
      <w:rPr>
        <w:rFonts w:ascii="Symbol" w:hAnsi="Symbol" w:hint="default"/>
      </w:rPr>
    </w:lvl>
    <w:lvl w:ilvl="4">
      <w:start w:val="1"/>
      <w:numFmt w:val="bullet"/>
      <w:pStyle w:val="ListBullet5"/>
      <w:lvlText w:val=""/>
      <w:lvlJc w:val="left"/>
      <w:pPr>
        <w:tabs>
          <w:tab w:val="num" w:pos="3544"/>
        </w:tabs>
        <w:ind w:left="3545" w:hanging="709"/>
      </w:pPr>
      <w:rPr>
        <w:rFonts w:ascii="Symbol" w:hAnsi="Symbol" w:hint="default"/>
      </w:rPr>
    </w:lvl>
    <w:lvl w:ilvl="5">
      <w:start w:val="1"/>
      <w:numFmt w:val="bullet"/>
      <w:lvlText w:val=""/>
      <w:lvlJc w:val="left"/>
      <w:pPr>
        <w:tabs>
          <w:tab w:val="num" w:pos="4253"/>
        </w:tabs>
        <w:ind w:left="4254" w:hanging="709"/>
      </w:pPr>
      <w:rPr>
        <w:rFonts w:ascii="Symbol" w:hAnsi="Symbol" w:hint="default"/>
      </w:rPr>
    </w:lvl>
    <w:lvl w:ilvl="6">
      <w:start w:val="1"/>
      <w:numFmt w:val="bullet"/>
      <w:lvlText w:val=""/>
      <w:lvlJc w:val="left"/>
      <w:pPr>
        <w:tabs>
          <w:tab w:val="num" w:pos="4961"/>
        </w:tabs>
        <w:ind w:left="4963" w:hanging="709"/>
      </w:pPr>
      <w:rPr>
        <w:rFonts w:ascii="Symbol" w:hAnsi="Symbol" w:hint="default"/>
      </w:rPr>
    </w:lvl>
    <w:lvl w:ilvl="7">
      <w:start w:val="1"/>
      <w:numFmt w:val="bullet"/>
      <w:lvlText w:val=""/>
      <w:lvlJc w:val="left"/>
      <w:pPr>
        <w:tabs>
          <w:tab w:val="num" w:pos="5670"/>
        </w:tabs>
        <w:ind w:left="5672" w:hanging="709"/>
      </w:pPr>
      <w:rPr>
        <w:rFonts w:ascii="Symbol" w:hAnsi="Symbol" w:hint="default"/>
      </w:rPr>
    </w:lvl>
    <w:lvl w:ilvl="8">
      <w:start w:val="1"/>
      <w:numFmt w:val="bullet"/>
      <w:lvlText w:val=""/>
      <w:lvlJc w:val="left"/>
      <w:pPr>
        <w:tabs>
          <w:tab w:val="num" w:pos="6379"/>
        </w:tabs>
        <w:ind w:left="6381" w:hanging="709"/>
      </w:pPr>
      <w:rPr>
        <w:rFonts w:ascii="Symbol" w:hAnsi="Symbol" w:hint="default"/>
      </w:rPr>
    </w:lvl>
  </w:abstractNum>
  <w:abstractNum w:abstractNumId="5" w15:restartNumberingAfterBreak="0">
    <w:nsid w:val="1D1447AD"/>
    <w:multiLevelType w:val="singleLevel"/>
    <w:tmpl w:val="F2542A62"/>
    <w:name w:val="O-Bullet ()"/>
    <w:lvl w:ilvl="0">
      <w:start w:val="1"/>
      <w:numFmt w:val="bullet"/>
      <w:pStyle w:val="O-Bullet"/>
      <w:lvlText w:val=""/>
      <w:lvlJc w:val="left"/>
      <w:pPr>
        <w:tabs>
          <w:tab w:val="num" w:pos="360"/>
        </w:tabs>
        <w:ind w:left="360" w:hanging="360"/>
      </w:pPr>
      <w:rPr>
        <w:rFonts w:ascii="Symbol" w:hAnsi="Symbol" w:hint="default"/>
      </w:rPr>
    </w:lvl>
  </w:abstractNum>
  <w:abstractNum w:abstractNumId="6" w15:restartNumberingAfterBreak="0">
    <w:nsid w:val="20E82F3A"/>
    <w:multiLevelType w:val="hybridMultilevel"/>
    <w:tmpl w:val="1DF80854"/>
    <w:lvl w:ilvl="0" w:tplc="A754D782">
      <w:start w:val="1"/>
      <w:numFmt w:val="decimal"/>
      <w:pStyle w:val="ScheduleHeading-Single"/>
      <w:lvlText w:val="Schedule"/>
      <w:lvlJc w:val="left"/>
      <w:pPr>
        <w:tabs>
          <w:tab w:val="num" w:pos="720"/>
        </w:tabs>
        <w:ind w:left="720" w:hanging="720"/>
      </w:pPr>
      <w:rPr>
        <w:color w:val="000000"/>
      </w:rPr>
    </w:lvl>
    <w:lvl w:ilvl="1" w:tplc="0EE85366" w:tentative="1">
      <w:start w:val="1"/>
      <w:numFmt w:val="lowerLetter"/>
      <w:lvlText w:val="%2."/>
      <w:lvlJc w:val="left"/>
      <w:pPr>
        <w:tabs>
          <w:tab w:val="num" w:pos="1440"/>
        </w:tabs>
        <w:ind w:left="1440" w:hanging="360"/>
      </w:pPr>
    </w:lvl>
    <w:lvl w:ilvl="2" w:tplc="ECFE835E" w:tentative="1">
      <w:start w:val="1"/>
      <w:numFmt w:val="lowerRoman"/>
      <w:lvlText w:val="%3."/>
      <w:lvlJc w:val="right"/>
      <w:pPr>
        <w:tabs>
          <w:tab w:val="num" w:pos="2160"/>
        </w:tabs>
        <w:ind w:left="2160" w:hanging="180"/>
      </w:pPr>
    </w:lvl>
    <w:lvl w:ilvl="3" w:tplc="2EEEE36C" w:tentative="1">
      <w:start w:val="1"/>
      <w:numFmt w:val="decimal"/>
      <w:lvlText w:val="%4."/>
      <w:lvlJc w:val="left"/>
      <w:pPr>
        <w:tabs>
          <w:tab w:val="num" w:pos="2880"/>
        </w:tabs>
        <w:ind w:left="2880" w:hanging="360"/>
      </w:pPr>
    </w:lvl>
    <w:lvl w:ilvl="4" w:tplc="5C3CC7B0" w:tentative="1">
      <w:start w:val="1"/>
      <w:numFmt w:val="lowerLetter"/>
      <w:lvlText w:val="%5."/>
      <w:lvlJc w:val="left"/>
      <w:pPr>
        <w:tabs>
          <w:tab w:val="num" w:pos="3600"/>
        </w:tabs>
        <w:ind w:left="3600" w:hanging="360"/>
      </w:pPr>
    </w:lvl>
    <w:lvl w:ilvl="5" w:tplc="635AF1B0" w:tentative="1">
      <w:start w:val="1"/>
      <w:numFmt w:val="lowerRoman"/>
      <w:lvlText w:val="%6."/>
      <w:lvlJc w:val="right"/>
      <w:pPr>
        <w:tabs>
          <w:tab w:val="num" w:pos="4320"/>
        </w:tabs>
        <w:ind w:left="4320" w:hanging="180"/>
      </w:pPr>
    </w:lvl>
    <w:lvl w:ilvl="6" w:tplc="AAB8FA4E" w:tentative="1">
      <w:start w:val="1"/>
      <w:numFmt w:val="decimal"/>
      <w:lvlText w:val="%7."/>
      <w:lvlJc w:val="left"/>
      <w:pPr>
        <w:tabs>
          <w:tab w:val="num" w:pos="5040"/>
        </w:tabs>
        <w:ind w:left="5040" w:hanging="360"/>
      </w:pPr>
    </w:lvl>
    <w:lvl w:ilvl="7" w:tplc="481846E8" w:tentative="1">
      <w:start w:val="1"/>
      <w:numFmt w:val="lowerLetter"/>
      <w:lvlText w:val="%8."/>
      <w:lvlJc w:val="left"/>
      <w:pPr>
        <w:tabs>
          <w:tab w:val="num" w:pos="5760"/>
        </w:tabs>
        <w:ind w:left="5760" w:hanging="360"/>
      </w:pPr>
    </w:lvl>
    <w:lvl w:ilvl="8" w:tplc="A86E2CAE" w:tentative="1">
      <w:start w:val="1"/>
      <w:numFmt w:val="lowerRoman"/>
      <w:lvlText w:val="%9."/>
      <w:lvlJc w:val="right"/>
      <w:pPr>
        <w:tabs>
          <w:tab w:val="num" w:pos="6480"/>
        </w:tabs>
        <w:ind w:left="6480" w:hanging="180"/>
      </w:pPr>
    </w:lvl>
  </w:abstractNum>
  <w:abstractNum w:abstractNumId="7" w15:restartNumberingAfterBreak="0">
    <w:nsid w:val="25B00E4C"/>
    <w:multiLevelType w:val="hybridMultilevel"/>
    <w:tmpl w:val="97C4AA26"/>
    <w:lvl w:ilvl="0" w:tplc="A5A89CB0">
      <w:start w:val="1"/>
      <w:numFmt w:val="upperLetter"/>
      <w:pStyle w:val="Annex"/>
      <w:lvlText w:val="ANNEX %1"/>
      <w:lvlJc w:val="left"/>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3434FA" w:tentative="1">
      <w:start w:val="1"/>
      <w:numFmt w:val="lowerLetter"/>
      <w:lvlText w:val="%2."/>
      <w:lvlJc w:val="left"/>
      <w:pPr>
        <w:ind w:left="1440" w:hanging="360"/>
      </w:pPr>
    </w:lvl>
    <w:lvl w:ilvl="2" w:tplc="D0CE2150" w:tentative="1">
      <w:start w:val="1"/>
      <w:numFmt w:val="lowerRoman"/>
      <w:lvlText w:val="%3."/>
      <w:lvlJc w:val="right"/>
      <w:pPr>
        <w:ind w:left="2160" w:hanging="180"/>
      </w:pPr>
    </w:lvl>
    <w:lvl w:ilvl="3" w:tplc="67E08046" w:tentative="1">
      <w:start w:val="1"/>
      <w:numFmt w:val="decimal"/>
      <w:lvlText w:val="%4."/>
      <w:lvlJc w:val="left"/>
      <w:pPr>
        <w:ind w:left="2880" w:hanging="360"/>
      </w:pPr>
    </w:lvl>
    <w:lvl w:ilvl="4" w:tplc="79BC9678" w:tentative="1">
      <w:start w:val="1"/>
      <w:numFmt w:val="lowerLetter"/>
      <w:lvlText w:val="%5."/>
      <w:lvlJc w:val="left"/>
      <w:pPr>
        <w:ind w:left="3600" w:hanging="360"/>
      </w:pPr>
    </w:lvl>
    <w:lvl w:ilvl="5" w:tplc="11844DBC" w:tentative="1">
      <w:start w:val="1"/>
      <w:numFmt w:val="lowerRoman"/>
      <w:lvlText w:val="%6."/>
      <w:lvlJc w:val="right"/>
      <w:pPr>
        <w:ind w:left="4320" w:hanging="180"/>
      </w:pPr>
    </w:lvl>
    <w:lvl w:ilvl="6" w:tplc="BCD851EA" w:tentative="1">
      <w:start w:val="1"/>
      <w:numFmt w:val="decimal"/>
      <w:lvlText w:val="%7."/>
      <w:lvlJc w:val="left"/>
      <w:pPr>
        <w:ind w:left="5040" w:hanging="360"/>
      </w:pPr>
    </w:lvl>
    <w:lvl w:ilvl="7" w:tplc="0862F24A" w:tentative="1">
      <w:start w:val="1"/>
      <w:numFmt w:val="lowerLetter"/>
      <w:lvlText w:val="%8."/>
      <w:lvlJc w:val="left"/>
      <w:pPr>
        <w:ind w:left="5760" w:hanging="360"/>
      </w:pPr>
    </w:lvl>
    <w:lvl w:ilvl="8" w:tplc="B1FA5A94" w:tentative="1">
      <w:start w:val="1"/>
      <w:numFmt w:val="lowerRoman"/>
      <w:lvlText w:val="%9."/>
      <w:lvlJc w:val="right"/>
      <w:pPr>
        <w:ind w:left="6480" w:hanging="180"/>
      </w:pPr>
    </w:lvl>
  </w:abstractNum>
  <w:abstractNum w:abstractNumId="8" w15:restartNumberingAfterBreak="0">
    <w:nsid w:val="28981914"/>
    <w:multiLevelType w:val="multilevel"/>
    <w:tmpl w:val="7D2C97D2"/>
    <w:lvl w:ilvl="0">
      <w:start w:val="1"/>
      <w:numFmt w:val="decimal"/>
      <w:pStyle w:val="LNMainL1"/>
      <w:lvlText w:val="%1."/>
      <w:lvlJc w:val="left"/>
      <w:pPr>
        <w:tabs>
          <w:tab w:val="num" w:pos="720"/>
        </w:tabs>
        <w:ind w:left="720" w:hanging="720"/>
      </w:pPr>
      <w:rPr>
        <w:rFonts w:ascii="Arial" w:hAnsi="Arial" w:cs="Arial"/>
        <w:b/>
        <w:i w:val="0"/>
        <w:caps/>
        <w:smallCaps w:val="0"/>
        <w:color w:val="auto"/>
        <w:sz w:val="21"/>
        <w:u w:val="none"/>
      </w:rPr>
    </w:lvl>
    <w:lvl w:ilvl="1">
      <w:start w:val="1"/>
      <w:numFmt w:val="decimal"/>
      <w:pStyle w:val="LNMainL2"/>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NMainL3"/>
      <w:lvlText w:val="(%3)"/>
      <w:lvlJc w:val="left"/>
      <w:pPr>
        <w:tabs>
          <w:tab w:val="num" w:pos="1440"/>
        </w:tabs>
        <w:ind w:left="1440" w:hanging="720"/>
      </w:pPr>
      <w:rPr>
        <w:rFonts w:ascii="Arial" w:hAnsi="Arial" w:cs="Arial"/>
        <w:b w:val="0"/>
        <w:i w:val="0"/>
        <w:caps w:val="0"/>
        <w:color w:val="auto"/>
        <w:sz w:val="21"/>
        <w:u w:val="none"/>
      </w:rPr>
    </w:lvl>
    <w:lvl w:ilvl="3">
      <w:start w:val="1"/>
      <w:numFmt w:val="lowerRoman"/>
      <w:pStyle w:val="LNMainL4"/>
      <w:lvlText w:val="(%4)"/>
      <w:lvlJc w:val="left"/>
      <w:pPr>
        <w:tabs>
          <w:tab w:val="num" w:pos="2160"/>
        </w:tabs>
        <w:ind w:left="2160" w:hanging="720"/>
      </w:pPr>
      <w:rPr>
        <w:rFonts w:ascii="Arial" w:hAnsi="Arial" w:cs="Arial"/>
        <w:b w:val="0"/>
        <w:i w:val="0"/>
        <w:caps w:val="0"/>
        <w:color w:val="auto"/>
        <w:sz w:val="21"/>
        <w:u w:val="none"/>
      </w:rPr>
    </w:lvl>
    <w:lvl w:ilvl="4">
      <w:start w:val="1"/>
      <w:numFmt w:val="upperLetter"/>
      <w:pStyle w:val="LNMainL5"/>
      <w:lvlText w:val="(%5)"/>
      <w:lvlJc w:val="left"/>
      <w:pPr>
        <w:tabs>
          <w:tab w:val="num" w:pos="2880"/>
        </w:tabs>
        <w:ind w:left="2880" w:hanging="720"/>
      </w:pPr>
      <w:rPr>
        <w:rFonts w:ascii="Arial" w:hAnsi="Arial" w:cs="Arial"/>
        <w:b w:val="0"/>
        <w:i w:val="0"/>
        <w:caps w:val="0"/>
        <w:color w:val="auto"/>
        <w:sz w:val="21"/>
        <w:u w:val="none"/>
      </w:rPr>
    </w:lvl>
    <w:lvl w:ilvl="5">
      <w:start w:val="1"/>
      <w:numFmt w:val="decimal"/>
      <w:pStyle w:val="LNMainL6"/>
      <w:lvlText w:val="(%6)"/>
      <w:lvlJc w:val="left"/>
      <w:pPr>
        <w:tabs>
          <w:tab w:val="num" w:pos="3600"/>
        </w:tabs>
        <w:ind w:left="3600" w:hanging="720"/>
      </w:pPr>
      <w:rPr>
        <w:rFonts w:ascii="Arial" w:hAnsi="Arial" w:cs="Arial"/>
        <w:b w:val="0"/>
        <w:i w:val="0"/>
        <w:caps w:val="0"/>
        <w:color w:val="auto"/>
        <w:sz w:val="21"/>
        <w:u w:val="none"/>
      </w:rPr>
    </w:lvl>
    <w:lvl w:ilvl="6">
      <w:start w:val="1"/>
      <w:numFmt w:val="lowerRoman"/>
      <w:pStyle w:val="LNMainL7"/>
      <w:lvlText w:val="(%7)"/>
      <w:lvlJc w:val="left"/>
      <w:pPr>
        <w:tabs>
          <w:tab w:val="num" w:pos="2160"/>
        </w:tabs>
        <w:ind w:left="2160" w:hanging="720"/>
      </w:pPr>
      <w:rPr>
        <w:rFonts w:ascii="Arial" w:hAnsi="Arial" w:cs="Arial"/>
        <w:b w:val="0"/>
        <w:i w:val="0"/>
        <w:caps w:val="0"/>
        <w:color w:val="auto"/>
        <w:sz w:val="21"/>
        <w:u w:val="none"/>
      </w:rPr>
    </w:lvl>
    <w:lvl w:ilvl="7">
      <w:start w:val="1"/>
      <w:numFmt w:val="upperLetter"/>
      <w:pStyle w:val="LNMainL8"/>
      <w:lvlText w:val="(%8)"/>
      <w:lvlJc w:val="left"/>
      <w:pPr>
        <w:tabs>
          <w:tab w:val="num" w:pos="2880"/>
        </w:tabs>
        <w:ind w:left="2880" w:hanging="720"/>
      </w:pPr>
      <w:rPr>
        <w:b w:val="0"/>
        <w:i w:val="0"/>
        <w:caps w:val="0"/>
        <w:color w:val="auto"/>
        <w:sz w:val="21"/>
        <w:u w:val="none"/>
      </w:rPr>
    </w:lvl>
    <w:lvl w:ilvl="8">
      <w:start w:val="1"/>
      <w:numFmt w:val="decimal"/>
      <w:pStyle w:val="LNMainL9"/>
      <w:lvlText w:val="(%9)"/>
      <w:lvlJc w:val="left"/>
      <w:pPr>
        <w:tabs>
          <w:tab w:val="num" w:pos="3600"/>
        </w:tabs>
        <w:ind w:left="3600" w:hanging="720"/>
      </w:pPr>
      <w:rPr>
        <w:rFonts w:ascii="Arial" w:hAnsi="Arial" w:cs="Arial"/>
        <w:b w:val="0"/>
        <w:i w:val="0"/>
        <w:caps w:val="0"/>
        <w:color w:val="auto"/>
        <w:sz w:val="21"/>
        <w:u w:val="none"/>
      </w:rPr>
    </w:lvl>
  </w:abstractNum>
  <w:abstractNum w:abstractNumId="9" w15:restartNumberingAfterBreak="0">
    <w:nsid w:val="29C94F29"/>
    <w:multiLevelType w:val="hybridMultilevel"/>
    <w:tmpl w:val="4CBC2A34"/>
    <w:lvl w:ilvl="0" w:tplc="B7582EA2">
      <w:start w:val="1"/>
      <w:numFmt w:val="decimal"/>
      <w:pStyle w:val="QuestionParagraph"/>
      <w:lvlText w:val="%1."/>
      <w:lvlJc w:val="left"/>
      <w:pPr>
        <w:ind w:left="720" w:hanging="360"/>
      </w:pPr>
      <w:rPr>
        <w:color w:val="000000"/>
      </w:rPr>
    </w:lvl>
    <w:lvl w:ilvl="1" w:tplc="43EABEB0" w:tentative="1">
      <w:start w:val="1"/>
      <w:numFmt w:val="lowerLetter"/>
      <w:lvlText w:val="%2."/>
      <w:lvlJc w:val="left"/>
      <w:pPr>
        <w:ind w:left="1440" w:hanging="360"/>
      </w:pPr>
    </w:lvl>
    <w:lvl w:ilvl="2" w:tplc="21D68454" w:tentative="1">
      <w:start w:val="1"/>
      <w:numFmt w:val="lowerRoman"/>
      <w:lvlText w:val="%3."/>
      <w:lvlJc w:val="right"/>
      <w:pPr>
        <w:ind w:left="2160" w:hanging="180"/>
      </w:pPr>
    </w:lvl>
    <w:lvl w:ilvl="3" w:tplc="E9F4E804" w:tentative="1">
      <w:start w:val="1"/>
      <w:numFmt w:val="decimal"/>
      <w:lvlText w:val="%4."/>
      <w:lvlJc w:val="left"/>
      <w:pPr>
        <w:ind w:left="2880" w:hanging="360"/>
      </w:pPr>
    </w:lvl>
    <w:lvl w:ilvl="4" w:tplc="6A1AC1E8" w:tentative="1">
      <w:start w:val="1"/>
      <w:numFmt w:val="lowerLetter"/>
      <w:lvlText w:val="%5."/>
      <w:lvlJc w:val="left"/>
      <w:pPr>
        <w:ind w:left="3600" w:hanging="360"/>
      </w:pPr>
    </w:lvl>
    <w:lvl w:ilvl="5" w:tplc="5EA08E12" w:tentative="1">
      <w:start w:val="1"/>
      <w:numFmt w:val="lowerRoman"/>
      <w:lvlText w:val="%6."/>
      <w:lvlJc w:val="right"/>
      <w:pPr>
        <w:ind w:left="4320" w:hanging="180"/>
      </w:pPr>
    </w:lvl>
    <w:lvl w:ilvl="6" w:tplc="D55839FA" w:tentative="1">
      <w:start w:val="1"/>
      <w:numFmt w:val="decimal"/>
      <w:lvlText w:val="%7."/>
      <w:lvlJc w:val="left"/>
      <w:pPr>
        <w:ind w:left="5040" w:hanging="360"/>
      </w:pPr>
    </w:lvl>
    <w:lvl w:ilvl="7" w:tplc="9FD2D3AE" w:tentative="1">
      <w:start w:val="1"/>
      <w:numFmt w:val="lowerLetter"/>
      <w:lvlText w:val="%8."/>
      <w:lvlJc w:val="left"/>
      <w:pPr>
        <w:ind w:left="5760" w:hanging="360"/>
      </w:pPr>
    </w:lvl>
    <w:lvl w:ilvl="8" w:tplc="3A6826AE" w:tentative="1">
      <w:start w:val="1"/>
      <w:numFmt w:val="lowerRoman"/>
      <w:lvlText w:val="%9."/>
      <w:lvlJc w:val="right"/>
      <w:pPr>
        <w:ind w:left="6480" w:hanging="180"/>
      </w:pPr>
    </w:lvl>
  </w:abstractNum>
  <w:abstractNum w:abstractNumId="10" w15:restartNumberingAfterBreak="0">
    <w:nsid w:val="2B2C7AA3"/>
    <w:multiLevelType w:val="multilevel"/>
    <w:tmpl w:val="50E83824"/>
    <w:name w:val="zzmpLNMain||LNMain|2|1|0|1|2|41||1|2|0||1|2|0||1|2|0||1|2|0||1|2|0||1|2|0||1|2|0||1|2|0||"/>
    <w:lvl w:ilvl="0">
      <w:start w:val="1"/>
      <w:numFmt w:val="decimal"/>
      <w:lvlText w:val="%1."/>
      <w:lvlJc w:val="left"/>
      <w:pPr>
        <w:tabs>
          <w:tab w:val="num" w:pos="720"/>
        </w:tabs>
        <w:ind w:left="720" w:hanging="720"/>
      </w:pPr>
      <w:rPr>
        <w:rFonts w:ascii="Arial" w:hAnsi="Arial" w:cs="Arial"/>
        <w:b/>
        <w:i w:val="0"/>
        <w:caps/>
        <w:smallCaps w:val="0"/>
        <w:color w:val="auto"/>
        <w:sz w:val="21"/>
        <w:u w:val="none"/>
      </w:rPr>
    </w:lvl>
    <w:lvl w:ilvl="1">
      <w:start w:val="1"/>
      <w:numFmt w:val="decimal"/>
      <w:lvlText w:val="%1.%2"/>
      <w:lvlJc w:val="left"/>
      <w:pPr>
        <w:tabs>
          <w:tab w:val="num" w:pos="720"/>
        </w:tabs>
        <w:ind w:left="720" w:hanging="720"/>
      </w:pPr>
      <w:rPr>
        <w:rFonts w:ascii="Arial" w:hAnsi="Arial" w:cs="Arial"/>
        <w:b w:val="0"/>
        <w:i w:val="0"/>
        <w:caps w:val="0"/>
        <w:color w:val="auto"/>
        <w:sz w:val="21"/>
        <w:u w:val="none"/>
      </w:rPr>
    </w:lvl>
    <w:lvl w:ilvl="2">
      <w:start w:val="1"/>
      <w:numFmt w:val="lowerLetter"/>
      <w:lvlText w:val="(%3)"/>
      <w:lvlJc w:val="left"/>
      <w:pPr>
        <w:tabs>
          <w:tab w:val="num" w:pos="1440"/>
        </w:tabs>
        <w:ind w:left="1440" w:hanging="720"/>
      </w:pPr>
      <w:rPr>
        <w:rFonts w:ascii="Arial" w:hAnsi="Arial" w:cs="Arial"/>
        <w:b w:val="0"/>
        <w:i w:val="0"/>
        <w:caps w:val="0"/>
        <w:color w:val="auto"/>
        <w:sz w:val="21"/>
        <w:u w:val="none"/>
      </w:rPr>
    </w:lvl>
    <w:lvl w:ilvl="3">
      <w:start w:val="1"/>
      <w:numFmt w:val="lowerRoman"/>
      <w:lvlText w:val="(%4)"/>
      <w:lvlJc w:val="left"/>
      <w:pPr>
        <w:tabs>
          <w:tab w:val="num" w:pos="2160"/>
        </w:tabs>
        <w:ind w:left="2160" w:hanging="720"/>
      </w:pPr>
      <w:rPr>
        <w:rFonts w:ascii="Arial" w:hAnsi="Arial" w:cs="Arial"/>
        <w:b w:val="0"/>
        <w:i w:val="0"/>
        <w:caps w:val="0"/>
        <w:color w:val="auto"/>
        <w:sz w:val="21"/>
        <w:u w:val="none"/>
      </w:rPr>
    </w:lvl>
    <w:lvl w:ilvl="4">
      <w:start w:val="1"/>
      <w:numFmt w:val="upperLetter"/>
      <w:lvlText w:val="(%5)"/>
      <w:lvlJc w:val="left"/>
      <w:pPr>
        <w:tabs>
          <w:tab w:val="num" w:pos="2880"/>
        </w:tabs>
        <w:ind w:left="2880" w:hanging="720"/>
      </w:pPr>
      <w:rPr>
        <w:rFonts w:ascii="Arial" w:hAnsi="Arial" w:cs="Arial"/>
        <w:b w:val="0"/>
        <w:i w:val="0"/>
        <w:caps w:val="0"/>
        <w:color w:val="auto"/>
        <w:sz w:val="21"/>
        <w:u w:val="none"/>
      </w:rPr>
    </w:lvl>
    <w:lvl w:ilvl="5">
      <w:start w:val="1"/>
      <w:numFmt w:val="decimal"/>
      <w:lvlText w:val="(%6)"/>
      <w:lvlJc w:val="left"/>
      <w:pPr>
        <w:tabs>
          <w:tab w:val="num" w:pos="3600"/>
        </w:tabs>
        <w:ind w:left="3600" w:hanging="720"/>
      </w:pPr>
      <w:rPr>
        <w:rFonts w:ascii="Arial" w:hAnsi="Arial" w:cs="Arial"/>
        <w:b w:val="0"/>
        <w:i w:val="0"/>
        <w:caps w:val="0"/>
        <w:color w:val="auto"/>
        <w:sz w:val="21"/>
        <w:u w:val="none"/>
      </w:rPr>
    </w:lvl>
    <w:lvl w:ilvl="6">
      <w:start w:val="1"/>
      <w:numFmt w:val="lowerRoman"/>
      <w:lvlText w:val="(%7)"/>
      <w:lvlJc w:val="left"/>
      <w:pPr>
        <w:tabs>
          <w:tab w:val="num" w:pos="2160"/>
        </w:tabs>
        <w:ind w:left="2160" w:hanging="720"/>
      </w:pPr>
      <w:rPr>
        <w:rFonts w:ascii="Arial" w:hAnsi="Arial" w:cs="Arial"/>
        <w:b w:val="0"/>
        <w:i w:val="0"/>
        <w:caps w:val="0"/>
        <w:color w:val="auto"/>
        <w:sz w:val="21"/>
        <w:u w:val="none"/>
      </w:rPr>
    </w:lvl>
    <w:lvl w:ilvl="7">
      <w:start w:val="1"/>
      <w:numFmt w:val="upperLetter"/>
      <w:lvlText w:val="(%8)"/>
      <w:lvlJc w:val="left"/>
      <w:pPr>
        <w:tabs>
          <w:tab w:val="num" w:pos="2880"/>
        </w:tabs>
        <w:ind w:left="2880" w:hanging="720"/>
      </w:pPr>
      <w:rPr>
        <w:b w:val="0"/>
        <w:i w:val="0"/>
        <w:caps w:val="0"/>
        <w:color w:val="auto"/>
        <w:sz w:val="21"/>
        <w:u w:val="none"/>
      </w:rPr>
    </w:lvl>
    <w:lvl w:ilvl="8">
      <w:start w:val="1"/>
      <w:numFmt w:val="decimal"/>
      <w:lvlText w:val="(%9)"/>
      <w:lvlJc w:val="left"/>
      <w:pPr>
        <w:tabs>
          <w:tab w:val="num" w:pos="3600"/>
        </w:tabs>
        <w:ind w:left="3600" w:hanging="720"/>
      </w:pPr>
      <w:rPr>
        <w:rFonts w:ascii="Arial" w:hAnsi="Arial" w:cs="Arial"/>
        <w:b w:val="0"/>
        <w:i w:val="0"/>
        <w:caps w:val="0"/>
        <w:color w:val="auto"/>
        <w:sz w:val="21"/>
        <w:u w:val="none"/>
      </w:rPr>
    </w:lvl>
  </w:abstractNum>
  <w:abstractNum w:abstractNumId="11" w15:restartNumberingAfterBreak="0">
    <w:nsid w:val="310416CA"/>
    <w:multiLevelType w:val="hybridMultilevel"/>
    <w:tmpl w:val="072EDEC8"/>
    <w:lvl w:ilvl="0" w:tplc="3F04DD1A">
      <w:start w:val="1"/>
      <w:numFmt w:val="bullet"/>
      <w:pStyle w:val="subclause2Bullet2"/>
      <w:lvlText w:val=""/>
      <w:lvlJc w:val="left"/>
      <w:pPr>
        <w:ind w:left="2279" w:hanging="360"/>
      </w:pPr>
      <w:rPr>
        <w:rFonts w:ascii="Symbol" w:hAnsi="Symbol" w:hint="default"/>
        <w:color w:val="000000"/>
      </w:rPr>
    </w:lvl>
    <w:lvl w:ilvl="1" w:tplc="B41050BC" w:tentative="1">
      <w:start w:val="1"/>
      <w:numFmt w:val="bullet"/>
      <w:lvlText w:val="o"/>
      <w:lvlJc w:val="left"/>
      <w:pPr>
        <w:ind w:left="2999" w:hanging="360"/>
      </w:pPr>
      <w:rPr>
        <w:rFonts w:ascii="Courier New" w:hAnsi="Courier New" w:cs="Courier New" w:hint="default"/>
      </w:rPr>
    </w:lvl>
    <w:lvl w:ilvl="2" w:tplc="D1846214" w:tentative="1">
      <w:start w:val="1"/>
      <w:numFmt w:val="bullet"/>
      <w:lvlText w:val=""/>
      <w:lvlJc w:val="left"/>
      <w:pPr>
        <w:ind w:left="3719" w:hanging="360"/>
      </w:pPr>
      <w:rPr>
        <w:rFonts w:ascii="Wingdings" w:hAnsi="Wingdings" w:hint="default"/>
      </w:rPr>
    </w:lvl>
    <w:lvl w:ilvl="3" w:tplc="2140EF56" w:tentative="1">
      <w:start w:val="1"/>
      <w:numFmt w:val="bullet"/>
      <w:lvlText w:val=""/>
      <w:lvlJc w:val="left"/>
      <w:pPr>
        <w:ind w:left="4439" w:hanging="360"/>
      </w:pPr>
      <w:rPr>
        <w:rFonts w:ascii="Symbol" w:hAnsi="Symbol" w:hint="default"/>
      </w:rPr>
    </w:lvl>
    <w:lvl w:ilvl="4" w:tplc="5F54A8F0" w:tentative="1">
      <w:start w:val="1"/>
      <w:numFmt w:val="bullet"/>
      <w:lvlText w:val="o"/>
      <w:lvlJc w:val="left"/>
      <w:pPr>
        <w:ind w:left="5159" w:hanging="360"/>
      </w:pPr>
      <w:rPr>
        <w:rFonts w:ascii="Courier New" w:hAnsi="Courier New" w:cs="Courier New" w:hint="default"/>
      </w:rPr>
    </w:lvl>
    <w:lvl w:ilvl="5" w:tplc="844E2986" w:tentative="1">
      <w:start w:val="1"/>
      <w:numFmt w:val="bullet"/>
      <w:lvlText w:val=""/>
      <w:lvlJc w:val="left"/>
      <w:pPr>
        <w:ind w:left="5879" w:hanging="360"/>
      </w:pPr>
      <w:rPr>
        <w:rFonts w:ascii="Wingdings" w:hAnsi="Wingdings" w:hint="default"/>
      </w:rPr>
    </w:lvl>
    <w:lvl w:ilvl="6" w:tplc="425A086E" w:tentative="1">
      <w:start w:val="1"/>
      <w:numFmt w:val="bullet"/>
      <w:lvlText w:val=""/>
      <w:lvlJc w:val="left"/>
      <w:pPr>
        <w:ind w:left="6599" w:hanging="360"/>
      </w:pPr>
      <w:rPr>
        <w:rFonts w:ascii="Symbol" w:hAnsi="Symbol" w:hint="default"/>
      </w:rPr>
    </w:lvl>
    <w:lvl w:ilvl="7" w:tplc="D27EB9A8" w:tentative="1">
      <w:start w:val="1"/>
      <w:numFmt w:val="bullet"/>
      <w:lvlText w:val="o"/>
      <w:lvlJc w:val="left"/>
      <w:pPr>
        <w:ind w:left="7319" w:hanging="360"/>
      </w:pPr>
      <w:rPr>
        <w:rFonts w:ascii="Courier New" w:hAnsi="Courier New" w:cs="Courier New" w:hint="default"/>
      </w:rPr>
    </w:lvl>
    <w:lvl w:ilvl="8" w:tplc="0374E244" w:tentative="1">
      <w:start w:val="1"/>
      <w:numFmt w:val="bullet"/>
      <w:lvlText w:val=""/>
      <w:lvlJc w:val="left"/>
      <w:pPr>
        <w:ind w:left="8039" w:hanging="360"/>
      </w:pPr>
      <w:rPr>
        <w:rFonts w:ascii="Wingdings" w:hAnsi="Wingdings" w:hint="default"/>
      </w:rPr>
    </w:lvl>
  </w:abstractNum>
  <w:abstractNum w:abstractNumId="12" w15:restartNumberingAfterBreak="0">
    <w:nsid w:val="31E9741F"/>
    <w:multiLevelType w:val="hybridMultilevel"/>
    <w:tmpl w:val="0CAC7D4E"/>
    <w:lvl w:ilvl="0" w:tplc="C37C0A0E">
      <w:start w:val="1"/>
      <w:numFmt w:val="bullet"/>
      <w:pStyle w:val="BulletList2"/>
      <w:lvlText w:val=""/>
      <w:lvlJc w:val="left"/>
      <w:pPr>
        <w:tabs>
          <w:tab w:val="num" w:pos="1077"/>
        </w:tabs>
        <w:ind w:left="1077" w:hanging="357"/>
      </w:pPr>
      <w:rPr>
        <w:rFonts w:ascii="Symbol" w:hAnsi="Symbol" w:hint="default"/>
        <w:color w:val="000000"/>
      </w:rPr>
    </w:lvl>
    <w:lvl w:ilvl="1" w:tplc="015A4A36" w:tentative="1">
      <w:start w:val="1"/>
      <w:numFmt w:val="bullet"/>
      <w:lvlText w:val="o"/>
      <w:lvlJc w:val="left"/>
      <w:pPr>
        <w:tabs>
          <w:tab w:val="num" w:pos="1440"/>
        </w:tabs>
        <w:ind w:left="1440" w:hanging="360"/>
      </w:pPr>
      <w:rPr>
        <w:rFonts w:ascii="Courier New" w:hAnsi="Courier New" w:cs="Courier New" w:hint="default"/>
      </w:rPr>
    </w:lvl>
    <w:lvl w:ilvl="2" w:tplc="834A5470" w:tentative="1">
      <w:start w:val="1"/>
      <w:numFmt w:val="bullet"/>
      <w:lvlText w:val=""/>
      <w:lvlJc w:val="left"/>
      <w:pPr>
        <w:tabs>
          <w:tab w:val="num" w:pos="2160"/>
        </w:tabs>
        <w:ind w:left="2160" w:hanging="360"/>
      </w:pPr>
      <w:rPr>
        <w:rFonts w:ascii="Wingdings" w:hAnsi="Wingdings" w:hint="default"/>
      </w:rPr>
    </w:lvl>
    <w:lvl w:ilvl="3" w:tplc="BEB6E9D8" w:tentative="1">
      <w:start w:val="1"/>
      <w:numFmt w:val="bullet"/>
      <w:lvlText w:val=""/>
      <w:lvlJc w:val="left"/>
      <w:pPr>
        <w:tabs>
          <w:tab w:val="num" w:pos="2880"/>
        </w:tabs>
        <w:ind w:left="2880" w:hanging="360"/>
      </w:pPr>
      <w:rPr>
        <w:rFonts w:ascii="Symbol" w:hAnsi="Symbol" w:hint="default"/>
      </w:rPr>
    </w:lvl>
    <w:lvl w:ilvl="4" w:tplc="C18EE3B6" w:tentative="1">
      <w:start w:val="1"/>
      <w:numFmt w:val="bullet"/>
      <w:lvlText w:val="o"/>
      <w:lvlJc w:val="left"/>
      <w:pPr>
        <w:tabs>
          <w:tab w:val="num" w:pos="3600"/>
        </w:tabs>
        <w:ind w:left="3600" w:hanging="360"/>
      </w:pPr>
      <w:rPr>
        <w:rFonts w:ascii="Courier New" w:hAnsi="Courier New" w:cs="Courier New" w:hint="default"/>
      </w:rPr>
    </w:lvl>
    <w:lvl w:ilvl="5" w:tplc="39E44764" w:tentative="1">
      <w:start w:val="1"/>
      <w:numFmt w:val="bullet"/>
      <w:lvlText w:val=""/>
      <w:lvlJc w:val="left"/>
      <w:pPr>
        <w:tabs>
          <w:tab w:val="num" w:pos="4320"/>
        </w:tabs>
        <w:ind w:left="4320" w:hanging="360"/>
      </w:pPr>
      <w:rPr>
        <w:rFonts w:ascii="Wingdings" w:hAnsi="Wingdings" w:hint="default"/>
      </w:rPr>
    </w:lvl>
    <w:lvl w:ilvl="6" w:tplc="5F04AA1A" w:tentative="1">
      <w:start w:val="1"/>
      <w:numFmt w:val="bullet"/>
      <w:lvlText w:val=""/>
      <w:lvlJc w:val="left"/>
      <w:pPr>
        <w:tabs>
          <w:tab w:val="num" w:pos="5040"/>
        </w:tabs>
        <w:ind w:left="5040" w:hanging="360"/>
      </w:pPr>
      <w:rPr>
        <w:rFonts w:ascii="Symbol" w:hAnsi="Symbol" w:hint="default"/>
      </w:rPr>
    </w:lvl>
    <w:lvl w:ilvl="7" w:tplc="1F985CFA" w:tentative="1">
      <w:start w:val="1"/>
      <w:numFmt w:val="bullet"/>
      <w:lvlText w:val="o"/>
      <w:lvlJc w:val="left"/>
      <w:pPr>
        <w:tabs>
          <w:tab w:val="num" w:pos="5760"/>
        </w:tabs>
        <w:ind w:left="5760" w:hanging="360"/>
      </w:pPr>
      <w:rPr>
        <w:rFonts w:ascii="Courier New" w:hAnsi="Courier New" w:cs="Courier New" w:hint="default"/>
      </w:rPr>
    </w:lvl>
    <w:lvl w:ilvl="8" w:tplc="54AA729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4C3168"/>
    <w:multiLevelType w:val="multilevel"/>
    <w:tmpl w:val="80B8B72E"/>
    <w:styleLink w:val="Deloittemultiilist"/>
    <w:lvl w:ilvl="0">
      <w:start w:val="1"/>
      <w:numFmt w:val="decimal"/>
      <w:lvlText w:val="%1"/>
      <w:lvlJc w:val="left"/>
      <w:pPr>
        <w:ind w:left="431" w:hanging="431"/>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3CC668D"/>
    <w:multiLevelType w:val="hybridMultilevel"/>
    <w:tmpl w:val="594C4DAE"/>
    <w:lvl w:ilvl="0" w:tplc="64CEA2E4">
      <w:start w:val="1"/>
      <w:numFmt w:val="bullet"/>
      <w:pStyle w:val="Bullet4"/>
      <w:lvlText w:val=""/>
      <w:lvlJc w:val="left"/>
      <w:pPr>
        <w:tabs>
          <w:tab w:val="num" w:pos="2676"/>
        </w:tabs>
        <w:ind w:left="2676" w:hanging="357"/>
      </w:pPr>
      <w:rPr>
        <w:rFonts w:ascii="Symbol" w:hAnsi="Symbol" w:hint="default"/>
        <w:color w:val="000000"/>
      </w:rPr>
    </w:lvl>
    <w:lvl w:ilvl="1" w:tplc="97F29ED2" w:tentative="1">
      <w:start w:val="1"/>
      <w:numFmt w:val="bullet"/>
      <w:lvlText w:val="o"/>
      <w:lvlJc w:val="left"/>
      <w:pPr>
        <w:tabs>
          <w:tab w:val="num" w:pos="1440"/>
        </w:tabs>
        <w:ind w:left="1440" w:hanging="360"/>
      </w:pPr>
      <w:rPr>
        <w:rFonts w:ascii="Courier New" w:hAnsi="Courier New" w:cs="Courier New" w:hint="default"/>
      </w:rPr>
    </w:lvl>
    <w:lvl w:ilvl="2" w:tplc="747636EA" w:tentative="1">
      <w:start w:val="1"/>
      <w:numFmt w:val="bullet"/>
      <w:lvlText w:val=""/>
      <w:lvlJc w:val="left"/>
      <w:pPr>
        <w:tabs>
          <w:tab w:val="num" w:pos="2160"/>
        </w:tabs>
        <w:ind w:left="2160" w:hanging="360"/>
      </w:pPr>
      <w:rPr>
        <w:rFonts w:ascii="Wingdings" w:hAnsi="Wingdings" w:hint="default"/>
      </w:rPr>
    </w:lvl>
    <w:lvl w:ilvl="3" w:tplc="1FC8C556" w:tentative="1">
      <w:start w:val="1"/>
      <w:numFmt w:val="bullet"/>
      <w:lvlText w:val=""/>
      <w:lvlJc w:val="left"/>
      <w:pPr>
        <w:tabs>
          <w:tab w:val="num" w:pos="2880"/>
        </w:tabs>
        <w:ind w:left="2880" w:hanging="360"/>
      </w:pPr>
      <w:rPr>
        <w:rFonts w:ascii="Symbol" w:hAnsi="Symbol" w:hint="default"/>
      </w:rPr>
    </w:lvl>
    <w:lvl w:ilvl="4" w:tplc="F7A881EA" w:tentative="1">
      <w:start w:val="1"/>
      <w:numFmt w:val="bullet"/>
      <w:lvlText w:val="o"/>
      <w:lvlJc w:val="left"/>
      <w:pPr>
        <w:tabs>
          <w:tab w:val="num" w:pos="3600"/>
        </w:tabs>
        <w:ind w:left="3600" w:hanging="360"/>
      </w:pPr>
      <w:rPr>
        <w:rFonts w:ascii="Courier New" w:hAnsi="Courier New" w:cs="Courier New" w:hint="default"/>
      </w:rPr>
    </w:lvl>
    <w:lvl w:ilvl="5" w:tplc="7DC0B61A" w:tentative="1">
      <w:start w:val="1"/>
      <w:numFmt w:val="bullet"/>
      <w:lvlText w:val=""/>
      <w:lvlJc w:val="left"/>
      <w:pPr>
        <w:tabs>
          <w:tab w:val="num" w:pos="4320"/>
        </w:tabs>
        <w:ind w:left="4320" w:hanging="360"/>
      </w:pPr>
      <w:rPr>
        <w:rFonts w:ascii="Wingdings" w:hAnsi="Wingdings" w:hint="default"/>
      </w:rPr>
    </w:lvl>
    <w:lvl w:ilvl="6" w:tplc="7062C7CA" w:tentative="1">
      <w:start w:val="1"/>
      <w:numFmt w:val="bullet"/>
      <w:lvlText w:val=""/>
      <w:lvlJc w:val="left"/>
      <w:pPr>
        <w:tabs>
          <w:tab w:val="num" w:pos="5040"/>
        </w:tabs>
        <w:ind w:left="5040" w:hanging="360"/>
      </w:pPr>
      <w:rPr>
        <w:rFonts w:ascii="Symbol" w:hAnsi="Symbol" w:hint="default"/>
      </w:rPr>
    </w:lvl>
    <w:lvl w:ilvl="7" w:tplc="37A2CB4C" w:tentative="1">
      <w:start w:val="1"/>
      <w:numFmt w:val="bullet"/>
      <w:lvlText w:val="o"/>
      <w:lvlJc w:val="left"/>
      <w:pPr>
        <w:tabs>
          <w:tab w:val="num" w:pos="5760"/>
        </w:tabs>
        <w:ind w:left="5760" w:hanging="360"/>
      </w:pPr>
      <w:rPr>
        <w:rFonts w:ascii="Courier New" w:hAnsi="Courier New" w:cs="Courier New" w:hint="default"/>
      </w:rPr>
    </w:lvl>
    <w:lvl w:ilvl="8" w:tplc="D71E1AE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A22AAC"/>
    <w:multiLevelType w:val="multilevel"/>
    <w:tmpl w:val="D3A62258"/>
    <w:lvl w:ilvl="0">
      <w:start w:val="1"/>
      <w:numFmt w:val="decimal"/>
      <w:pStyle w:val="Schedule"/>
      <w:suff w:val="nothing"/>
      <w:lvlText w:val="Schedule %1"/>
      <w:lvlJc w:val="left"/>
      <w:pPr>
        <w:ind w:left="0" w:firstLine="0"/>
      </w:pPr>
      <w:rPr>
        <w:rFonts w:hint="default"/>
        <w:b/>
        <w:i w:val="0"/>
        <w:caps/>
      </w:rPr>
    </w:lvl>
    <w:lvl w:ilvl="1">
      <w:start w:val="1"/>
      <w:numFmt w:val="decimal"/>
      <w:pStyle w:val="SchedulePart"/>
      <w:suff w:val="nothing"/>
      <w:lvlText w:val="Part %2"/>
      <w:lvlJc w:val="left"/>
      <w:pPr>
        <w:ind w:left="0" w:firstLine="0"/>
      </w:pPr>
      <w:rPr>
        <w:rFonts w:hint="default"/>
      </w:rPr>
    </w:lvl>
    <w:lvl w:ilvl="2">
      <w:start w:val="1"/>
      <w:numFmt w:val="none"/>
      <w:lvlText w:val=""/>
      <w:lvlJc w:val="left"/>
      <w:pPr>
        <w:tabs>
          <w:tab w:val="num" w:pos="709"/>
        </w:tabs>
        <w:ind w:left="0" w:firstLine="0"/>
      </w:pPr>
      <w:rPr>
        <w:rFonts w:hint="default"/>
      </w:rPr>
    </w:lvl>
    <w:lvl w:ilvl="3">
      <w:start w:val="1"/>
      <w:numFmt w:val="none"/>
      <w:lvlText w:val=""/>
      <w:lvlJc w:val="left"/>
      <w:pPr>
        <w:tabs>
          <w:tab w:val="num" w:pos="709"/>
        </w:tabs>
        <w:ind w:left="0" w:firstLine="0"/>
      </w:pPr>
      <w:rPr>
        <w:rFonts w:hint="default"/>
      </w:rPr>
    </w:lvl>
    <w:lvl w:ilvl="4">
      <w:start w:val="1"/>
      <w:numFmt w:val="none"/>
      <w:lvlText w:val=""/>
      <w:lvlJc w:val="left"/>
      <w:pPr>
        <w:tabs>
          <w:tab w:val="num" w:pos="709"/>
        </w:tabs>
        <w:ind w:left="0" w:firstLine="0"/>
      </w:pPr>
      <w:rPr>
        <w:rFonts w:hint="default"/>
      </w:rPr>
    </w:lvl>
    <w:lvl w:ilvl="5">
      <w:start w:val="1"/>
      <w:numFmt w:val="none"/>
      <w:lvlText w:val=""/>
      <w:lvlJc w:val="left"/>
      <w:pPr>
        <w:tabs>
          <w:tab w:val="num" w:pos="709"/>
        </w:tabs>
        <w:ind w:left="0" w:firstLine="0"/>
      </w:pPr>
      <w:rPr>
        <w:rFonts w:hint="default"/>
      </w:rPr>
    </w:lvl>
    <w:lvl w:ilvl="6">
      <w:start w:val="1"/>
      <w:numFmt w:val="none"/>
      <w:lvlText w:val=""/>
      <w:lvlJc w:val="left"/>
      <w:pPr>
        <w:tabs>
          <w:tab w:val="num" w:pos="709"/>
        </w:tabs>
        <w:ind w:left="0" w:firstLine="0"/>
      </w:pPr>
      <w:rPr>
        <w:rFonts w:hint="default"/>
      </w:rPr>
    </w:lvl>
    <w:lvl w:ilvl="7">
      <w:start w:val="1"/>
      <w:numFmt w:val="none"/>
      <w:lvlText w:val=""/>
      <w:lvlJc w:val="left"/>
      <w:pPr>
        <w:tabs>
          <w:tab w:val="num" w:pos="709"/>
        </w:tabs>
        <w:ind w:left="0" w:firstLine="0"/>
      </w:pPr>
      <w:rPr>
        <w:rFonts w:hint="default"/>
      </w:rPr>
    </w:lvl>
    <w:lvl w:ilvl="8">
      <w:start w:val="1"/>
      <w:numFmt w:val="none"/>
      <w:lvlText w:val=""/>
      <w:lvlJc w:val="left"/>
      <w:pPr>
        <w:tabs>
          <w:tab w:val="num" w:pos="709"/>
        </w:tabs>
        <w:ind w:left="0" w:firstLine="0"/>
      </w:pPr>
      <w:rPr>
        <w:rFonts w:hint="default"/>
      </w:rPr>
    </w:lvl>
  </w:abstractNum>
  <w:abstractNum w:abstractNumId="16"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17" w15:restartNumberingAfterBreak="0">
    <w:nsid w:val="36FE6C5A"/>
    <w:multiLevelType w:val="multilevel"/>
    <w:tmpl w:val="2BE20C7C"/>
    <w:lvl w:ilvl="0">
      <w:start w:val="1"/>
      <w:numFmt w:val="upperLetter"/>
      <w:pStyle w:val="Recitals"/>
      <w:lvlText w:val="(%1)"/>
      <w:lvlJc w:val="left"/>
      <w:pPr>
        <w:tabs>
          <w:tab w:val="num" w:pos="709"/>
        </w:tabs>
        <w:ind w:left="709" w:hanging="709"/>
      </w:pPr>
    </w:lvl>
    <w:lvl w:ilvl="1">
      <w:start w:val="1"/>
      <w:numFmt w:val="none"/>
      <w:lvlText w:val=""/>
      <w:lvlJc w:val="left"/>
      <w:pPr>
        <w:ind w:left="1418" w:hanging="709"/>
      </w:pPr>
    </w:lvl>
    <w:lvl w:ilvl="2">
      <w:start w:val="1"/>
      <w:numFmt w:val="none"/>
      <w:lvlText w:val=""/>
      <w:lvlJc w:val="left"/>
      <w:pPr>
        <w:ind w:left="2127" w:hanging="709"/>
      </w:pPr>
    </w:lvl>
    <w:lvl w:ilvl="3">
      <w:start w:val="1"/>
      <w:numFmt w:val="none"/>
      <w:lvlText w:val=""/>
      <w:lvlJc w:val="left"/>
      <w:pPr>
        <w:ind w:left="2836" w:hanging="709"/>
      </w:pPr>
    </w:lvl>
    <w:lvl w:ilvl="4">
      <w:start w:val="1"/>
      <w:numFmt w:val="none"/>
      <w:lvlText w:val=""/>
      <w:lvlJc w:val="left"/>
      <w:pPr>
        <w:ind w:left="3545" w:hanging="709"/>
      </w:pPr>
    </w:lvl>
    <w:lvl w:ilvl="5">
      <w:start w:val="1"/>
      <w:numFmt w:val="none"/>
      <w:lvlText w:val=""/>
      <w:lvlJc w:val="left"/>
      <w:pPr>
        <w:ind w:left="4254" w:hanging="709"/>
      </w:pPr>
    </w:lvl>
    <w:lvl w:ilvl="6">
      <w:start w:val="1"/>
      <w:numFmt w:val="none"/>
      <w:lvlText w:val=""/>
      <w:lvlJc w:val="left"/>
      <w:pPr>
        <w:ind w:left="4963" w:hanging="709"/>
      </w:pPr>
    </w:lvl>
    <w:lvl w:ilvl="7">
      <w:start w:val="1"/>
      <w:numFmt w:val="none"/>
      <w:lvlText w:val=""/>
      <w:lvlJc w:val="left"/>
      <w:pPr>
        <w:ind w:left="5672" w:hanging="709"/>
      </w:pPr>
    </w:lvl>
    <w:lvl w:ilvl="8">
      <w:start w:val="1"/>
      <w:numFmt w:val="none"/>
      <w:lvlText w:val=""/>
      <w:lvlJc w:val="left"/>
      <w:pPr>
        <w:ind w:left="6381" w:hanging="709"/>
      </w:pPr>
    </w:lvl>
  </w:abstractNum>
  <w:abstractNum w:abstractNumId="18" w15:restartNumberingAfterBreak="0">
    <w:nsid w:val="38130038"/>
    <w:multiLevelType w:val="hybridMultilevel"/>
    <w:tmpl w:val="FF8A0FAE"/>
    <w:lvl w:ilvl="0" w:tplc="F59CF430">
      <w:start w:val="1"/>
      <w:numFmt w:val="bullet"/>
      <w:pStyle w:val="ClauseBullet2"/>
      <w:lvlText w:val=""/>
      <w:lvlJc w:val="left"/>
      <w:pPr>
        <w:ind w:left="1440" w:hanging="360"/>
      </w:pPr>
      <w:rPr>
        <w:rFonts w:ascii="Symbol" w:hAnsi="Symbol" w:hint="default"/>
        <w:color w:val="000000"/>
      </w:rPr>
    </w:lvl>
    <w:lvl w:ilvl="1" w:tplc="6C8CCD6E" w:tentative="1">
      <w:start w:val="1"/>
      <w:numFmt w:val="bullet"/>
      <w:lvlText w:val="o"/>
      <w:lvlJc w:val="left"/>
      <w:pPr>
        <w:ind w:left="2160" w:hanging="360"/>
      </w:pPr>
      <w:rPr>
        <w:rFonts w:ascii="Courier New" w:hAnsi="Courier New" w:cs="Courier New" w:hint="default"/>
      </w:rPr>
    </w:lvl>
    <w:lvl w:ilvl="2" w:tplc="8BA82352" w:tentative="1">
      <w:start w:val="1"/>
      <w:numFmt w:val="bullet"/>
      <w:lvlText w:val=""/>
      <w:lvlJc w:val="left"/>
      <w:pPr>
        <w:ind w:left="2880" w:hanging="360"/>
      </w:pPr>
      <w:rPr>
        <w:rFonts w:ascii="Wingdings" w:hAnsi="Wingdings" w:hint="default"/>
      </w:rPr>
    </w:lvl>
    <w:lvl w:ilvl="3" w:tplc="6242E86A" w:tentative="1">
      <w:start w:val="1"/>
      <w:numFmt w:val="bullet"/>
      <w:lvlText w:val=""/>
      <w:lvlJc w:val="left"/>
      <w:pPr>
        <w:ind w:left="3600" w:hanging="360"/>
      </w:pPr>
      <w:rPr>
        <w:rFonts w:ascii="Symbol" w:hAnsi="Symbol" w:hint="default"/>
      </w:rPr>
    </w:lvl>
    <w:lvl w:ilvl="4" w:tplc="EB7EED78" w:tentative="1">
      <w:start w:val="1"/>
      <w:numFmt w:val="bullet"/>
      <w:lvlText w:val="o"/>
      <w:lvlJc w:val="left"/>
      <w:pPr>
        <w:ind w:left="4320" w:hanging="360"/>
      </w:pPr>
      <w:rPr>
        <w:rFonts w:ascii="Courier New" w:hAnsi="Courier New" w:cs="Courier New" w:hint="default"/>
      </w:rPr>
    </w:lvl>
    <w:lvl w:ilvl="5" w:tplc="9B628FEC" w:tentative="1">
      <w:start w:val="1"/>
      <w:numFmt w:val="bullet"/>
      <w:lvlText w:val=""/>
      <w:lvlJc w:val="left"/>
      <w:pPr>
        <w:ind w:left="5040" w:hanging="360"/>
      </w:pPr>
      <w:rPr>
        <w:rFonts w:ascii="Wingdings" w:hAnsi="Wingdings" w:hint="default"/>
      </w:rPr>
    </w:lvl>
    <w:lvl w:ilvl="6" w:tplc="D220A79E" w:tentative="1">
      <w:start w:val="1"/>
      <w:numFmt w:val="bullet"/>
      <w:lvlText w:val=""/>
      <w:lvlJc w:val="left"/>
      <w:pPr>
        <w:ind w:left="5760" w:hanging="360"/>
      </w:pPr>
      <w:rPr>
        <w:rFonts w:ascii="Symbol" w:hAnsi="Symbol" w:hint="default"/>
      </w:rPr>
    </w:lvl>
    <w:lvl w:ilvl="7" w:tplc="C854BA0A" w:tentative="1">
      <w:start w:val="1"/>
      <w:numFmt w:val="bullet"/>
      <w:lvlText w:val="o"/>
      <w:lvlJc w:val="left"/>
      <w:pPr>
        <w:ind w:left="6480" w:hanging="360"/>
      </w:pPr>
      <w:rPr>
        <w:rFonts w:ascii="Courier New" w:hAnsi="Courier New" w:cs="Courier New" w:hint="default"/>
      </w:rPr>
    </w:lvl>
    <w:lvl w:ilvl="8" w:tplc="C3261688" w:tentative="1">
      <w:start w:val="1"/>
      <w:numFmt w:val="bullet"/>
      <w:lvlText w:val=""/>
      <w:lvlJc w:val="left"/>
      <w:pPr>
        <w:ind w:left="7200" w:hanging="360"/>
      </w:pPr>
      <w:rPr>
        <w:rFonts w:ascii="Wingdings" w:hAnsi="Wingdings" w:hint="default"/>
      </w:rPr>
    </w:lvl>
  </w:abstractNum>
  <w:abstractNum w:abstractNumId="19" w15:restartNumberingAfterBreak="0">
    <w:nsid w:val="3948476D"/>
    <w:multiLevelType w:val="multilevel"/>
    <w:tmpl w:val="F9CA6148"/>
    <w:lvl w:ilvl="0">
      <w:start w:val="1"/>
      <w:numFmt w:val="none"/>
      <w:suff w:val="nothing"/>
      <w:lvlText w:val="%1"/>
      <w:lvlJc w:val="left"/>
      <w:pPr>
        <w:ind w:left="0" w:firstLine="0"/>
      </w:pPr>
    </w:lvl>
    <w:lvl w:ilvl="1">
      <w:start w:val="1"/>
      <w:numFmt w:val="decimal"/>
      <w:pStyle w:val="Schedule1"/>
      <w:lvlText w:val="%2."/>
      <w:lvlJc w:val="left"/>
      <w:pPr>
        <w:tabs>
          <w:tab w:val="num" w:pos="709"/>
        </w:tabs>
        <w:ind w:left="709" w:hanging="709"/>
      </w:pPr>
    </w:lvl>
    <w:lvl w:ilvl="2">
      <w:start w:val="1"/>
      <w:numFmt w:val="decimal"/>
      <w:pStyle w:val="Schedule2"/>
      <w:lvlText w:val="%2.%3"/>
      <w:lvlJc w:val="left"/>
      <w:pPr>
        <w:tabs>
          <w:tab w:val="num" w:pos="709"/>
        </w:tabs>
        <w:ind w:left="709" w:hanging="709"/>
      </w:pPr>
    </w:lvl>
    <w:lvl w:ilvl="3">
      <w:start w:val="1"/>
      <w:numFmt w:val="lowerLetter"/>
      <w:pStyle w:val="Schedule3"/>
      <w:lvlText w:val="(%4)"/>
      <w:lvlJc w:val="left"/>
      <w:pPr>
        <w:tabs>
          <w:tab w:val="num" w:pos="1418"/>
        </w:tabs>
        <w:ind w:left="1418" w:hanging="709"/>
      </w:pPr>
    </w:lvl>
    <w:lvl w:ilvl="4">
      <w:start w:val="1"/>
      <w:numFmt w:val="lowerRoman"/>
      <w:pStyle w:val="Schedule4"/>
      <w:lvlText w:val="(%5)"/>
      <w:lvlJc w:val="left"/>
      <w:pPr>
        <w:tabs>
          <w:tab w:val="num" w:pos="2126"/>
        </w:tabs>
        <w:ind w:left="2126" w:hanging="708"/>
      </w:pPr>
    </w:lvl>
    <w:lvl w:ilvl="5">
      <w:start w:val="1"/>
      <w:numFmt w:val="upperLetter"/>
      <w:pStyle w:val="Schedule5"/>
      <w:lvlText w:val="(%6)"/>
      <w:lvlJc w:val="left"/>
      <w:pPr>
        <w:tabs>
          <w:tab w:val="num" w:pos="2835"/>
        </w:tabs>
        <w:ind w:left="2835" w:hanging="709"/>
      </w:pPr>
    </w:lvl>
    <w:lvl w:ilvl="6">
      <w:start w:val="1"/>
      <w:numFmt w:val="upperRoman"/>
      <w:pStyle w:val="Schedule6"/>
      <w:lvlText w:val="(%7)"/>
      <w:lvlJc w:val="left"/>
      <w:pPr>
        <w:tabs>
          <w:tab w:val="num" w:pos="3544"/>
        </w:tabs>
        <w:ind w:left="3544" w:hanging="709"/>
      </w:pPr>
    </w:lvl>
    <w:lvl w:ilvl="7">
      <w:start w:val="1"/>
      <w:numFmt w:val="decimal"/>
      <w:pStyle w:val="Schedule7"/>
      <w:lvlText w:val="(%8)"/>
      <w:lvlJc w:val="left"/>
      <w:pPr>
        <w:tabs>
          <w:tab w:val="num" w:pos="4253"/>
        </w:tabs>
        <w:ind w:left="4253" w:hanging="709"/>
      </w:pPr>
    </w:lvl>
    <w:lvl w:ilvl="8">
      <w:start w:val="1"/>
      <w:numFmt w:val="lowerLetter"/>
      <w:pStyle w:val="Schedule8"/>
      <w:lvlText w:val="%9)"/>
      <w:lvlJc w:val="left"/>
      <w:pPr>
        <w:tabs>
          <w:tab w:val="num" w:pos="4678"/>
        </w:tabs>
        <w:ind w:left="4678" w:hanging="425"/>
      </w:pPr>
    </w:lvl>
  </w:abstractNum>
  <w:abstractNum w:abstractNumId="20" w15:restartNumberingAfterBreak="0">
    <w:nsid w:val="44D67987"/>
    <w:multiLevelType w:val="hybridMultilevel"/>
    <w:tmpl w:val="EBD6FB80"/>
    <w:lvl w:ilvl="0" w:tplc="91EA307A">
      <w:start w:val="1"/>
      <w:numFmt w:val="bullet"/>
      <w:pStyle w:val="subclause1Bullet2"/>
      <w:lvlText w:val=""/>
      <w:lvlJc w:val="left"/>
      <w:pPr>
        <w:ind w:left="1440" w:hanging="360"/>
      </w:pPr>
      <w:rPr>
        <w:rFonts w:ascii="Symbol" w:hAnsi="Symbol" w:hint="default"/>
        <w:color w:val="000000"/>
      </w:rPr>
    </w:lvl>
    <w:lvl w:ilvl="1" w:tplc="05BAEC40" w:tentative="1">
      <w:start w:val="1"/>
      <w:numFmt w:val="bullet"/>
      <w:lvlText w:val="o"/>
      <w:lvlJc w:val="left"/>
      <w:pPr>
        <w:ind w:left="2160" w:hanging="360"/>
      </w:pPr>
      <w:rPr>
        <w:rFonts w:ascii="Courier New" w:hAnsi="Courier New" w:cs="Courier New" w:hint="default"/>
      </w:rPr>
    </w:lvl>
    <w:lvl w:ilvl="2" w:tplc="E6CE2182" w:tentative="1">
      <w:start w:val="1"/>
      <w:numFmt w:val="bullet"/>
      <w:lvlText w:val=""/>
      <w:lvlJc w:val="left"/>
      <w:pPr>
        <w:ind w:left="2880" w:hanging="360"/>
      </w:pPr>
      <w:rPr>
        <w:rFonts w:ascii="Wingdings" w:hAnsi="Wingdings" w:hint="default"/>
      </w:rPr>
    </w:lvl>
    <w:lvl w:ilvl="3" w:tplc="DE40E16E" w:tentative="1">
      <w:start w:val="1"/>
      <w:numFmt w:val="bullet"/>
      <w:lvlText w:val=""/>
      <w:lvlJc w:val="left"/>
      <w:pPr>
        <w:ind w:left="3600" w:hanging="360"/>
      </w:pPr>
      <w:rPr>
        <w:rFonts w:ascii="Symbol" w:hAnsi="Symbol" w:hint="default"/>
      </w:rPr>
    </w:lvl>
    <w:lvl w:ilvl="4" w:tplc="C5D8865A" w:tentative="1">
      <w:start w:val="1"/>
      <w:numFmt w:val="bullet"/>
      <w:lvlText w:val="o"/>
      <w:lvlJc w:val="left"/>
      <w:pPr>
        <w:ind w:left="4320" w:hanging="360"/>
      </w:pPr>
      <w:rPr>
        <w:rFonts w:ascii="Courier New" w:hAnsi="Courier New" w:cs="Courier New" w:hint="default"/>
      </w:rPr>
    </w:lvl>
    <w:lvl w:ilvl="5" w:tplc="B3A44CE6" w:tentative="1">
      <w:start w:val="1"/>
      <w:numFmt w:val="bullet"/>
      <w:lvlText w:val=""/>
      <w:lvlJc w:val="left"/>
      <w:pPr>
        <w:ind w:left="5040" w:hanging="360"/>
      </w:pPr>
      <w:rPr>
        <w:rFonts w:ascii="Wingdings" w:hAnsi="Wingdings" w:hint="default"/>
      </w:rPr>
    </w:lvl>
    <w:lvl w:ilvl="6" w:tplc="6F2EA2FC" w:tentative="1">
      <w:start w:val="1"/>
      <w:numFmt w:val="bullet"/>
      <w:lvlText w:val=""/>
      <w:lvlJc w:val="left"/>
      <w:pPr>
        <w:ind w:left="5760" w:hanging="360"/>
      </w:pPr>
      <w:rPr>
        <w:rFonts w:ascii="Symbol" w:hAnsi="Symbol" w:hint="default"/>
      </w:rPr>
    </w:lvl>
    <w:lvl w:ilvl="7" w:tplc="3A2654A6" w:tentative="1">
      <w:start w:val="1"/>
      <w:numFmt w:val="bullet"/>
      <w:lvlText w:val="o"/>
      <w:lvlJc w:val="left"/>
      <w:pPr>
        <w:ind w:left="6480" w:hanging="360"/>
      </w:pPr>
      <w:rPr>
        <w:rFonts w:ascii="Courier New" w:hAnsi="Courier New" w:cs="Courier New" w:hint="default"/>
      </w:rPr>
    </w:lvl>
    <w:lvl w:ilvl="8" w:tplc="F1B40668" w:tentative="1">
      <w:start w:val="1"/>
      <w:numFmt w:val="bullet"/>
      <w:lvlText w:val=""/>
      <w:lvlJc w:val="left"/>
      <w:pPr>
        <w:ind w:left="7200" w:hanging="360"/>
      </w:pPr>
      <w:rPr>
        <w:rFonts w:ascii="Wingdings" w:hAnsi="Wingdings" w:hint="default"/>
      </w:rPr>
    </w:lvl>
  </w:abstractNum>
  <w:abstractNum w:abstractNumId="21" w15:restartNumberingAfterBreak="0">
    <w:nsid w:val="44E96665"/>
    <w:multiLevelType w:val="hybridMultilevel"/>
    <w:tmpl w:val="EF1E142A"/>
    <w:lvl w:ilvl="0" w:tplc="508A5232">
      <w:start w:val="1"/>
      <w:numFmt w:val="bullet"/>
      <w:pStyle w:val="subclause3Bullet1"/>
      <w:lvlText w:val=""/>
      <w:lvlJc w:val="left"/>
      <w:pPr>
        <w:ind w:left="2988" w:hanging="360"/>
      </w:pPr>
      <w:rPr>
        <w:rFonts w:ascii="Symbol" w:hAnsi="Symbol" w:hint="default"/>
        <w:color w:val="000000"/>
      </w:rPr>
    </w:lvl>
    <w:lvl w:ilvl="1" w:tplc="A2C841F6" w:tentative="1">
      <w:start w:val="1"/>
      <w:numFmt w:val="bullet"/>
      <w:lvlText w:val="o"/>
      <w:lvlJc w:val="left"/>
      <w:pPr>
        <w:ind w:left="3708" w:hanging="360"/>
      </w:pPr>
      <w:rPr>
        <w:rFonts w:ascii="Courier New" w:hAnsi="Courier New" w:cs="Courier New" w:hint="default"/>
      </w:rPr>
    </w:lvl>
    <w:lvl w:ilvl="2" w:tplc="089C89B2" w:tentative="1">
      <w:start w:val="1"/>
      <w:numFmt w:val="bullet"/>
      <w:lvlText w:val=""/>
      <w:lvlJc w:val="left"/>
      <w:pPr>
        <w:ind w:left="4428" w:hanging="360"/>
      </w:pPr>
      <w:rPr>
        <w:rFonts w:ascii="Wingdings" w:hAnsi="Wingdings" w:hint="default"/>
      </w:rPr>
    </w:lvl>
    <w:lvl w:ilvl="3" w:tplc="D2F2466E" w:tentative="1">
      <w:start w:val="1"/>
      <w:numFmt w:val="bullet"/>
      <w:lvlText w:val=""/>
      <w:lvlJc w:val="left"/>
      <w:pPr>
        <w:ind w:left="5148" w:hanging="360"/>
      </w:pPr>
      <w:rPr>
        <w:rFonts w:ascii="Symbol" w:hAnsi="Symbol" w:hint="default"/>
      </w:rPr>
    </w:lvl>
    <w:lvl w:ilvl="4" w:tplc="57E8E736" w:tentative="1">
      <w:start w:val="1"/>
      <w:numFmt w:val="bullet"/>
      <w:lvlText w:val="o"/>
      <w:lvlJc w:val="left"/>
      <w:pPr>
        <w:ind w:left="5868" w:hanging="360"/>
      </w:pPr>
      <w:rPr>
        <w:rFonts w:ascii="Courier New" w:hAnsi="Courier New" w:cs="Courier New" w:hint="default"/>
      </w:rPr>
    </w:lvl>
    <w:lvl w:ilvl="5" w:tplc="BDA029A2" w:tentative="1">
      <w:start w:val="1"/>
      <w:numFmt w:val="bullet"/>
      <w:lvlText w:val=""/>
      <w:lvlJc w:val="left"/>
      <w:pPr>
        <w:ind w:left="6588" w:hanging="360"/>
      </w:pPr>
      <w:rPr>
        <w:rFonts w:ascii="Wingdings" w:hAnsi="Wingdings" w:hint="default"/>
      </w:rPr>
    </w:lvl>
    <w:lvl w:ilvl="6" w:tplc="78C23942" w:tentative="1">
      <w:start w:val="1"/>
      <w:numFmt w:val="bullet"/>
      <w:lvlText w:val=""/>
      <w:lvlJc w:val="left"/>
      <w:pPr>
        <w:ind w:left="7308" w:hanging="360"/>
      </w:pPr>
      <w:rPr>
        <w:rFonts w:ascii="Symbol" w:hAnsi="Symbol" w:hint="default"/>
      </w:rPr>
    </w:lvl>
    <w:lvl w:ilvl="7" w:tplc="2098D754" w:tentative="1">
      <w:start w:val="1"/>
      <w:numFmt w:val="bullet"/>
      <w:lvlText w:val="o"/>
      <w:lvlJc w:val="left"/>
      <w:pPr>
        <w:ind w:left="8028" w:hanging="360"/>
      </w:pPr>
      <w:rPr>
        <w:rFonts w:ascii="Courier New" w:hAnsi="Courier New" w:cs="Courier New" w:hint="default"/>
      </w:rPr>
    </w:lvl>
    <w:lvl w:ilvl="8" w:tplc="66066420" w:tentative="1">
      <w:start w:val="1"/>
      <w:numFmt w:val="bullet"/>
      <w:lvlText w:val=""/>
      <w:lvlJc w:val="left"/>
      <w:pPr>
        <w:ind w:left="8748" w:hanging="360"/>
      </w:pPr>
      <w:rPr>
        <w:rFonts w:ascii="Wingdings" w:hAnsi="Wingdings" w:hint="default"/>
      </w:rPr>
    </w:lvl>
  </w:abstractNum>
  <w:abstractNum w:abstractNumId="22" w15:restartNumberingAfterBreak="0">
    <w:nsid w:val="46AC04C6"/>
    <w:multiLevelType w:val="hybridMultilevel"/>
    <w:tmpl w:val="E6C47700"/>
    <w:lvl w:ilvl="0" w:tplc="5C44246E">
      <w:start w:val="1"/>
      <w:numFmt w:val="bullet"/>
      <w:pStyle w:val="subclause2Bullet1"/>
      <w:lvlText w:val=""/>
      <w:lvlJc w:val="left"/>
      <w:pPr>
        <w:ind w:left="2279" w:hanging="360"/>
      </w:pPr>
      <w:rPr>
        <w:rFonts w:ascii="Symbol" w:hAnsi="Symbol" w:hint="default"/>
        <w:color w:val="000000"/>
      </w:rPr>
    </w:lvl>
    <w:lvl w:ilvl="1" w:tplc="F54E6242" w:tentative="1">
      <w:start w:val="1"/>
      <w:numFmt w:val="bullet"/>
      <w:lvlText w:val="o"/>
      <w:lvlJc w:val="left"/>
      <w:pPr>
        <w:ind w:left="2999" w:hanging="360"/>
      </w:pPr>
      <w:rPr>
        <w:rFonts w:ascii="Courier New" w:hAnsi="Courier New" w:cs="Courier New" w:hint="default"/>
      </w:rPr>
    </w:lvl>
    <w:lvl w:ilvl="2" w:tplc="E48090EE" w:tentative="1">
      <w:start w:val="1"/>
      <w:numFmt w:val="bullet"/>
      <w:lvlText w:val=""/>
      <w:lvlJc w:val="left"/>
      <w:pPr>
        <w:ind w:left="3719" w:hanging="360"/>
      </w:pPr>
      <w:rPr>
        <w:rFonts w:ascii="Wingdings" w:hAnsi="Wingdings" w:hint="default"/>
      </w:rPr>
    </w:lvl>
    <w:lvl w:ilvl="3" w:tplc="9C7CD3C8" w:tentative="1">
      <w:start w:val="1"/>
      <w:numFmt w:val="bullet"/>
      <w:lvlText w:val=""/>
      <w:lvlJc w:val="left"/>
      <w:pPr>
        <w:ind w:left="4439" w:hanging="360"/>
      </w:pPr>
      <w:rPr>
        <w:rFonts w:ascii="Symbol" w:hAnsi="Symbol" w:hint="default"/>
      </w:rPr>
    </w:lvl>
    <w:lvl w:ilvl="4" w:tplc="52C60FB0" w:tentative="1">
      <w:start w:val="1"/>
      <w:numFmt w:val="bullet"/>
      <w:lvlText w:val="o"/>
      <w:lvlJc w:val="left"/>
      <w:pPr>
        <w:ind w:left="5159" w:hanging="360"/>
      </w:pPr>
      <w:rPr>
        <w:rFonts w:ascii="Courier New" w:hAnsi="Courier New" w:cs="Courier New" w:hint="default"/>
      </w:rPr>
    </w:lvl>
    <w:lvl w:ilvl="5" w:tplc="421CA7E8" w:tentative="1">
      <w:start w:val="1"/>
      <w:numFmt w:val="bullet"/>
      <w:lvlText w:val=""/>
      <w:lvlJc w:val="left"/>
      <w:pPr>
        <w:ind w:left="5879" w:hanging="360"/>
      </w:pPr>
      <w:rPr>
        <w:rFonts w:ascii="Wingdings" w:hAnsi="Wingdings" w:hint="default"/>
      </w:rPr>
    </w:lvl>
    <w:lvl w:ilvl="6" w:tplc="FDA448BE" w:tentative="1">
      <w:start w:val="1"/>
      <w:numFmt w:val="bullet"/>
      <w:lvlText w:val=""/>
      <w:lvlJc w:val="left"/>
      <w:pPr>
        <w:ind w:left="6599" w:hanging="360"/>
      </w:pPr>
      <w:rPr>
        <w:rFonts w:ascii="Symbol" w:hAnsi="Symbol" w:hint="default"/>
      </w:rPr>
    </w:lvl>
    <w:lvl w:ilvl="7" w:tplc="1D8C0592" w:tentative="1">
      <w:start w:val="1"/>
      <w:numFmt w:val="bullet"/>
      <w:lvlText w:val="o"/>
      <w:lvlJc w:val="left"/>
      <w:pPr>
        <w:ind w:left="7319" w:hanging="360"/>
      </w:pPr>
      <w:rPr>
        <w:rFonts w:ascii="Courier New" w:hAnsi="Courier New" w:cs="Courier New" w:hint="default"/>
      </w:rPr>
    </w:lvl>
    <w:lvl w:ilvl="8" w:tplc="24C291A0" w:tentative="1">
      <w:start w:val="1"/>
      <w:numFmt w:val="bullet"/>
      <w:lvlText w:val=""/>
      <w:lvlJc w:val="left"/>
      <w:pPr>
        <w:ind w:left="8039" w:hanging="360"/>
      </w:pPr>
      <w:rPr>
        <w:rFonts w:ascii="Wingdings" w:hAnsi="Wingdings" w:hint="default"/>
      </w:rPr>
    </w:lvl>
  </w:abstractNum>
  <w:abstractNum w:abstractNumId="23" w15:restartNumberingAfterBreak="0">
    <w:nsid w:val="47F42723"/>
    <w:multiLevelType w:val="hybridMultilevel"/>
    <w:tmpl w:val="C5A02EE6"/>
    <w:lvl w:ilvl="0" w:tplc="556C8B0C">
      <w:start w:val="1"/>
      <w:numFmt w:val="bullet"/>
      <w:pStyle w:val="subclause1Bullet1"/>
      <w:lvlText w:val=""/>
      <w:lvlJc w:val="left"/>
      <w:pPr>
        <w:ind w:left="1440" w:hanging="360"/>
      </w:pPr>
      <w:rPr>
        <w:rFonts w:ascii="Symbol" w:hAnsi="Symbol" w:hint="default"/>
        <w:color w:val="000000"/>
      </w:rPr>
    </w:lvl>
    <w:lvl w:ilvl="1" w:tplc="AF98D8E8" w:tentative="1">
      <w:start w:val="1"/>
      <w:numFmt w:val="bullet"/>
      <w:lvlText w:val="o"/>
      <w:lvlJc w:val="left"/>
      <w:pPr>
        <w:ind w:left="2160" w:hanging="360"/>
      </w:pPr>
      <w:rPr>
        <w:rFonts w:ascii="Courier New" w:hAnsi="Courier New" w:cs="Courier New" w:hint="default"/>
      </w:rPr>
    </w:lvl>
    <w:lvl w:ilvl="2" w:tplc="C6F686C6" w:tentative="1">
      <w:start w:val="1"/>
      <w:numFmt w:val="bullet"/>
      <w:lvlText w:val=""/>
      <w:lvlJc w:val="left"/>
      <w:pPr>
        <w:ind w:left="2880" w:hanging="360"/>
      </w:pPr>
      <w:rPr>
        <w:rFonts w:ascii="Wingdings" w:hAnsi="Wingdings" w:hint="default"/>
      </w:rPr>
    </w:lvl>
    <w:lvl w:ilvl="3" w:tplc="D24A0750" w:tentative="1">
      <w:start w:val="1"/>
      <w:numFmt w:val="bullet"/>
      <w:lvlText w:val=""/>
      <w:lvlJc w:val="left"/>
      <w:pPr>
        <w:ind w:left="3600" w:hanging="360"/>
      </w:pPr>
      <w:rPr>
        <w:rFonts w:ascii="Symbol" w:hAnsi="Symbol" w:hint="default"/>
      </w:rPr>
    </w:lvl>
    <w:lvl w:ilvl="4" w:tplc="E7F2B680" w:tentative="1">
      <w:start w:val="1"/>
      <w:numFmt w:val="bullet"/>
      <w:lvlText w:val="o"/>
      <w:lvlJc w:val="left"/>
      <w:pPr>
        <w:ind w:left="4320" w:hanging="360"/>
      </w:pPr>
      <w:rPr>
        <w:rFonts w:ascii="Courier New" w:hAnsi="Courier New" w:cs="Courier New" w:hint="default"/>
      </w:rPr>
    </w:lvl>
    <w:lvl w:ilvl="5" w:tplc="F81CE6F4" w:tentative="1">
      <w:start w:val="1"/>
      <w:numFmt w:val="bullet"/>
      <w:lvlText w:val=""/>
      <w:lvlJc w:val="left"/>
      <w:pPr>
        <w:ind w:left="5040" w:hanging="360"/>
      </w:pPr>
      <w:rPr>
        <w:rFonts w:ascii="Wingdings" w:hAnsi="Wingdings" w:hint="default"/>
      </w:rPr>
    </w:lvl>
    <w:lvl w:ilvl="6" w:tplc="D00C1580" w:tentative="1">
      <w:start w:val="1"/>
      <w:numFmt w:val="bullet"/>
      <w:lvlText w:val=""/>
      <w:lvlJc w:val="left"/>
      <w:pPr>
        <w:ind w:left="5760" w:hanging="360"/>
      </w:pPr>
      <w:rPr>
        <w:rFonts w:ascii="Symbol" w:hAnsi="Symbol" w:hint="default"/>
      </w:rPr>
    </w:lvl>
    <w:lvl w:ilvl="7" w:tplc="41888C5C" w:tentative="1">
      <w:start w:val="1"/>
      <w:numFmt w:val="bullet"/>
      <w:lvlText w:val="o"/>
      <w:lvlJc w:val="left"/>
      <w:pPr>
        <w:ind w:left="6480" w:hanging="360"/>
      </w:pPr>
      <w:rPr>
        <w:rFonts w:ascii="Courier New" w:hAnsi="Courier New" w:cs="Courier New" w:hint="default"/>
      </w:rPr>
    </w:lvl>
    <w:lvl w:ilvl="8" w:tplc="33DCDFDA" w:tentative="1">
      <w:start w:val="1"/>
      <w:numFmt w:val="bullet"/>
      <w:lvlText w:val=""/>
      <w:lvlJc w:val="left"/>
      <w:pPr>
        <w:ind w:left="7200" w:hanging="360"/>
      </w:pPr>
      <w:rPr>
        <w:rFonts w:ascii="Wingdings" w:hAnsi="Wingdings" w:hint="default"/>
      </w:rPr>
    </w:lvl>
  </w:abstractNum>
  <w:abstractNum w:abstractNumId="24" w15:restartNumberingAfterBreak="0">
    <w:nsid w:val="523A488C"/>
    <w:multiLevelType w:val="multilevel"/>
    <w:tmpl w:val="EA7E9DD0"/>
    <w:lvl w:ilvl="0">
      <w:start w:val="1"/>
      <w:numFmt w:val="none"/>
      <w:suff w:val="nothing"/>
      <w:lvlText w:val="%1"/>
      <w:lvlJc w:val="left"/>
      <w:pPr>
        <w:ind w:left="709" w:firstLine="0"/>
      </w:pPr>
    </w:lvl>
    <w:lvl w:ilvl="1">
      <w:start w:val="1"/>
      <w:numFmt w:val="lowerLetter"/>
      <w:lvlText w:val="(%2)"/>
      <w:lvlJc w:val="left"/>
      <w:pPr>
        <w:tabs>
          <w:tab w:val="num" w:pos="1418"/>
        </w:tabs>
        <w:ind w:left="1418" w:hanging="709"/>
      </w:pPr>
    </w:lvl>
    <w:lvl w:ilvl="2">
      <w:start w:val="1"/>
      <w:numFmt w:val="lowerRoman"/>
      <w:lvlText w:val="(%3)"/>
      <w:lvlJc w:val="left"/>
      <w:pPr>
        <w:tabs>
          <w:tab w:val="num" w:pos="2126"/>
        </w:tabs>
        <w:ind w:left="2126" w:hanging="708"/>
      </w:pPr>
    </w:lvl>
    <w:lvl w:ilvl="3">
      <w:start w:val="1"/>
      <w:numFmt w:val="upperLetter"/>
      <w:lvlText w:val="(%4)"/>
      <w:lvlJc w:val="left"/>
      <w:pPr>
        <w:tabs>
          <w:tab w:val="num" w:pos="2835"/>
        </w:tabs>
        <w:ind w:left="2835" w:hanging="709"/>
      </w:pPr>
    </w:lvl>
    <w:lvl w:ilvl="4">
      <w:start w:val="1"/>
      <w:numFmt w:val="decimal"/>
      <w:lvlText w:val="(%5)"/>
      <w:lvlJc w:val="left"/>
      <w:pPr>
        <w:tabs>
          <w:tab w:val="num" w:pos="3544"/>
        </w:tabs>
        <w:ind w:left="3544" w:hanging="709"/>
      </w:pPr>
    </w:lvl>
    <w:lvl w:ilvl="5">
      <w:start w:val="27"/>
      <w:numFmt w:val="lowerLetter"/>
      <w:lvlText w:val="(%6)"/>
      <w:lvlJc w:val="left"/>
      <w:pPr>
        <w:tabs>
          <w:tab w:val="num" w:pos="4253"/>
        </w:tabs>
        <w:ind w:left="4253" w:hanging="709"/>
      </w:pPr>
    </w:lvl>
    <w:lvl w:ilvl="6">
      <w:start w:val="1"/>
      <w:numFmt w:val="upperRoman"/>
      <w:pStyle w:val="Definition7"/>
      <w:lvlText w:val="(%7)"/>
      <w:lvlJc w:val="left"/>
      <w:pPr>
        <w:tabs>
          <w:tab w:val="num" w:pos="4961"/>
        </w:tabs>
        <w:ind w:left="4961" w:hanging="708"/>
      </w:pPr>
    </w:lvl>
    <w:lvl w:ilvl="7">
      <w:start w:val="1"/>
      <w:numFmt w:val="lowerLetter"/>
      <w:pStyle w:val="Definition8"/>
      <w:lvlText w:val="(%8)"/>
      <w:lvlJc w:val="left"/>
      <w:pPr>
        <w:tabs>
          <w:tab w:val="num" w:pos="5670"/>
        </w:tabs>
        <w:ind w:left="5670" w:hanging="709"/>
      </w:pPr>
    </w:lvl>
    <w:lvl w:ilvl="8">
      <w:start w:val="1"/>
      <w:numFmt w:val="lowerRoman"/>
      <w:pStyle w:val="Definition9"/>
      <w:lvlText w:val="(%9)"/>
      <w:lvlJc w:val="left"/>
      <w:pPr>
        <w:tabs>
          <w:tab w:val="num" w:pos="6379"/>
        </w:tabs>
        <w:ind w:left="6379" w:hanging="709"/>
      </w:pPr>
    </w:lvl>
  </w:abstractNum>
  <w:abstractNum w:abstractNumId="25" w15:restartNumberingAfterBreak="0">
    <w:nsid w:val="55CB0AF0"/>
    <w:multiLevelType w:val="hybridMultilevel"/>
    <w:tmpl w:val="EB98B43A"/>
    <w:lvl w:ilvl="0" w:tplc="5858BE5A">
      <w:start w:val="1"/>
      <w:numFmt w:val="decimal"/>
      <w:pStyle w:val="LongQuestionPara"/>
      <w:lvlText w:val="%1."/>
      <w:lvlJc w:val="left"/>
      <w:pPr>
        <w:ind w:left="360" w:hanging="360"/>
      </w:pPr>
      <w:rPr>
        <w:rFonts w:hint="default"/>
        <w:b/>
        <w:i w:val="0"/>
        <w:color w:val="000000"/>
        <w:sz w:val="24"/>
      </w:rPr>
    </w:lvl>
    <w:lvl w:ilvl="1" w:tplc="0040FA8C" w:tentative="1">
      <w:start w:val="1"/>
      <w:numFmt w:val="lowerLetter"/>
      <w:lvlText w:val="%2."/>
      <w:lvlJc w:val="left"/>
      <w:pPr>
        <w:ind w:left="1440" w:hanging="360"/>
      </w:pPr>
    </w:lvl>
    <w:lvl w:ilvl="2" w:tplc="510EE07C" w:tentative="1">
      <w:start w:val="1"/>
      <w:numFmt w:val="lowerRoman"/>
      <w:lvlText w:val="%3."/>
      <w:lvlJc w:val="right"/>
      <w:pPr>
        <w:ind w:left="2160" w:hanging="180"/>
      </w:pPr>
    </w:lvl>
    <w:lvl w:ilvl="3" w:tplc="725CCC3A" w:tentative="1">
      <w:start w:val="1"/>
      <w:numFmt w:val="decimal"/>
      <w:lvlText w:val="%4."/>
      <w:lvlJc w:val="left"/>
      <w:pPr>
        <w:ind w:left="2880" w:hanging="360"/>
      </w:pPr>
    </w:lvl>
    <w:lvl w:ilvl="4" w:tplc="4216C6B6" w:tentative="1">
      <w:start w:val="1"/>
      <w:numFmt w:val="lowerLetter"/>
      <w:lvlText w:val="%5."/>
      <w:lvlJc w:val="left"/>
      <w:pPr>
        <w:ind w:left="3600" w:hanging="360"/>
      </w:pPr>
    </w:lvl>
    <w:lvl w:ilvl="5" w:tplc="C00E7E78" w:tentative="1">
      <w:start w:val="1"/>
      <w:numFmt w:val="lowerRoman"/>
      <w:lvlText w:val="%6."/>
      <w:lvlJc w:val="right"/>
      <w:pPr>
        <w:ind w:left="4320" w:hanging="180"/>
      </w:pPr>
    </w:lvl>
    <w:lvl w:ilvl="6" w:tplc="426A2DD2" w:tentative="1">
      <w:start w:val="1"/>
      <w:numFmt w:val="decimal"/>
      <w:lvlText w:val="%7."/>
      <w:lvlJc w:val="left"/>
      <w:pPr>
        <w:ind w:left="5040" w:hanging="360"/>
      </w:pPr>
    </w:lvl>
    <w:lvl w:ilvl="7" w:tplc="3D962676" w:tentative="1">
      <w:start w:val="1"/>
      <w:numFmt w:val="lowerLetter"/>
      <w:lvlText w:val="%8."/>
      <w:lvlJc w:val="left"/>
      <w:pPr>
        <w:ind w:left="5760" w:hanging="360"/>
      </w:pPr>
    </w:lvl>
    <w:lvl w:ilvl="8" w:tplc="DB8E89E0" w:tentative="1">
      <w:start w:val="1"/>
      <w:numFmt w:val="lowerRoman"/>
      <w:lvlText w:val="%9."/>
      <w:lvlJc w:val="right"/>
      <w:pPr>
        <w:ind w:left="6480" w:hanging="180"/>
      </w:pPr>
    </w:lvl>
  </w:abstractNum>
  <w:abstractNum w:abstractNumId="26"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7" w15:restartNumberingAfterBreak="0">
    <w:nsid w:val="57B46BAE"/>
    <w:multiLevelType w:val="multilevel"/>
    <w:tmpl w:val="6362407C"/>
    <w:lvl w:ilvl="0">
      <w:start w:val="1"/>
      <w:numFmt w:val="decimal"/>
      <w:lvlText w:val="%1"/>
      <w:lvlJc w:val="left"/>
      <w:pPr>
        <w:tabs>
          <w:tab w:val="num" w:pos="964"/>
        </w:tabs>
        <w:ind w:left="964" w:hanging="964"/>
      </w:pPr>
      <w:rPr>
        <w:rFonts w:ascii="Times New Roman" w:hAnsi="Times New Roman" w:cs="Times New Roman" w:hint="default"/>
        <w:b/>
        <w:i w:val="0"/>
        <w:sz w:val="26"/>
      </w:rPr>
    </w:lvl>
    <w:lvl w:ilvl="1">
      <w:start w:val="1"/>
      <w:numFmt w:val="decimal"/>
      <w:pStyle w:val="NumText"/>
      <w:lvlText w:val="%1.%2"/>
      <w:lvlJc w:val="left"/>
      <w:pPr>
        <w:tabs>
          <w:tab w:val="num" w:pos="964"/>
        </w:tabs>
        <w:ind w:left="964" w:hanging="964"/>
      </w:pPr>
    </w:lvl>
    <w:lvl w:ilvl="2">
      <w:start w:val="1"/>
      <w:numFmt w:val="decimal"/>
      <w:lvlRestart w:val="0"/>
      <w:lvlText w:val="%1.%2.%3"/>
      <w:lvlJc w:val="left"/>
      <w:pPr>
        <w:tabs>
          <w:tab w:val="num" w:pos="964"/>
        </w:tabs>
        <w:ind w:left="964" w:hanging="96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440"/>
        </w:tabs>
        <w:ind w:left="1296" w:hanging="1296"/>
      </w:pPr>
    </w:lvl>
    <w:lvl w:ilvl="7">
      <w:start w:val="1"/>
      <w:numFmt w:val="decimal"/>
      <w:lvlText w:val="%1.%2.%3.%4.%5.%6.%7.%8"/>
      <w:lvlJc w:val="left"/>
      <w:pPr>
        <w:tabs>
          <w:tab w:val="num" w:pos="1800"/>
        </w:tabs>
        <w:ind w:left="1440" w:hanging="1440"/>
      </w:pPr>
    </w:lvl>
    <w:lvl w:ilvl="8">
      <w:start w:val="1"/>
      <w:numFmt w:val="decimal"/>
      <w:lvlText w:val="%1.%2.%3.%4.%5.%6.%7.%8.%9"/>
      <w:lvlJc w:val="left"/>
      <w:pPr>
        <w:tabs>
          <w:tab w:val="num" w:pos="2160"/>
        </w:tabs>
        <w:ind w:left="1584" w:hanging="1584"/>
      </w:pPr>
    </w:lvl>
  </w:abstractNum>
  <w:abstractNum w:abstractNumId="28" w15:restartNumberingAfterBreak="0">
    <w:nsid w:val="585925E5"/>
    <w:multiLevelType w:val="multilevel"/>
    <w:tmpl w:val="6284BEB2"/>
    <w:styleLink w:val="NumberingDefinitions"/>
    <w:lvl w:ilvl="0">
      <w:start w:val="1"/>
      <w:numFmt w:val="none"/>
      <w:pStyle w:val="Definition"/>
      <w:suff w:val="nothing"/>
      <w:lvlText w:val="%1"/>
      <w:lvlJc w:val="left"/>
      <w:pPr>
        <w:ind w:left="720" w:firstLine="0"/>
      </w:pPr>
      <w:rPr>
        <w:rFonts w:hint="default"/>
      </w:rPr>
    </w:lvl>
    <w:lvl w:ilvl="1">
      <w:start w:val="1"/>
      <w:numFmt w:val="lowerLetter"/>
      <w:pStyle w:val="Definition1"/>
      <w:lvlText w:val="(%2)"/>
      <w:lvlJc w:val="left"/>
      <w:pPr>
        <w:tabs>
          <w:tab w:val="num" w:pos="1440"/>
        </w:tabs>
        <w:ind w:left="1440" w:hanging="720"/>
      </w:pPr>
      <w:rPr>
        <w:rFonts w:hint="default"/>
      </w:rPr>
    </w:lvl>
    <w:lvl w:ilvl="2">
      <w:start w:val="1"/>
      <w:numFmt w:val="lowerRoman"/>
      <w:pStyle w:val="Definition2"/>
      <w:lvlText w:val="(%3)"/>
      <w:lvlJc w:val="left"/>
      <w:pPr>
        <w:tabs>
          <w:tab w:val="num" w:pos="2160"/>
        </w:tabs>
        <w:ind w:left="2160" w:hanging="720"/>
      </w:pPr>
      <w:rPr>
        <w:rFonts w:hint="default"/>
        <w:b w:val="0"/>
        <w:i w:val="0"/>
      </w:rPr>
    </w:lvl>
    <w:lvl w:ilvl="3">
      <w:start w:val="1"/>
      <w:numFmt w:val="upperLetter"/>
      <w:pStyle w:val="Definition3"/>
      <w:lvlText w:val="(%4)"/>
      <w:lvlJc w:val="left"/>
      <w:pPr>
        <w:tabs>
          <w:tab w:val="num" w:pos="2880"/>
        </w:tabs>
        <w:ind w:left="2880" w:hanging="720"/>
      </w:pPr>
      <w:rPr>
        <w:rFonts w:hint="default"/>
      </w:rPr>
    </w:lvl>
    <w:lvl w:ilvl="4">
      <w:start w:val="1"/>
      <w:numFmt w:val="decimal"/>
      <w:pStyle w:val="Definition4"/>
      <w:lvlText w:val="%5)"/>
      <w:lvlJc w:val="left"/>
      <w:pPr>
        <w:tabs>
          <w:tab w:val="num" w:pos="3600"/>
        </w:tabs>
        <w:ind w:left="3600" w:hanging="720"/>
      </w:pPr>
      <w:rPr>
        <w:rFonts w:hint="default"/>
      </w:rPr>
    </w:lvl>
    <w:lvl w:ilvl="5">
      <w:start w:val="1"/>
      <w:numFmt w:val="lowerLetter"/>
      <w:pStyle w:val="Definition5"/>
      <w:lvlText w:val="%6)"/>
      <w:lvlJc w:val="left"/>
      <w:pPr>
        <w:tabs>
          <w:tab w:val="num" w:pos="4321"/>
        </w:tabs>
        <w:ind w:left="4321" w:hanging="721"/>
      </w:pPr>
      <w:rPr>
        <w:rFonts w:hint="default"/>
      </w:rPr>
    </w:lvl>
    <w:lvl w:ilvl="6">
      <w:start w:val="1"/>
      <w:numFmt w:val="lowerRoman"/>
      <w:pStyle w:val="Definition6"/>
      <w:lvlText w:val="%7)"/>
      <w:lvlJc w:val="left"/>
      <w:pPr>
        <w:tabs>
          <w:tab w:val="num" w:pos="5041"/>
        </w:tabs>
        <w:ind w:left="5041" w:hanging="72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9" w15:restartNumberingAfterBreak="0">
    <w:nsid w:val="61071422"/>
    <w:multiLevelType w:val="hybridMultilevel"/>
    <w:tmpl w:val="59B858D8"/>
    <w:lvl w:ilvl="0" w:tplc="01BE2EE0">
      <w:start w:val="1"/>
      <w:numFmt w:val="bullet"/>
      <w:pStyle w:val="ClauseBullet1"/>
      <w:lvlText w:val=""/>
      <w:lvlJc w:val="left"/>
      <w:pPr>
        <w:ind w:left="1080" w:hanging="360"/>
      </w:pPr>
      <w:rPr>
        <w:rFonts w:ascii="Symbol" w:hAnsi="Symbol" w:hint="default"/>
        <w:color w:val="000000"/>
      </w:rPr>
    </w:lvl>
    <w:lvl w:ilvl="1" w:tplc="BB52CE5A" w:tentative="1">
      <w:start w:val="1"/>
      <w:numFmt w:val="bullet"/>
      <w:lvlText w:val="o"/>
      <w:lvlJc w:val="left"/>
      <w:pPr>
        <w:ind w:left="1800" w:hanging="360"/>
      </w:pPr>
      <w:rPr>
        <w:rFonts w:ascii="Courier New" w:hAnsi="Courier New" w:cs="Courier New" w:hint="default"/>
      </w:rPr>
    </w:lvl>
    <w:lvl w:ilvl="2" w:tplc="F4AE6520" w:tentative="1">
      <w:start w:val="1"/>
      <w:numFmt w:val="bullet"/>
      <w:lvlText w:val=""/>
      <w:lvlJc w:val="left"/>
      <w:pPr>
        <w:ind w:left="2520" w:hanging="360"/>
      </w:pPr>
      <w:rPr>
        <w:rFonts w:ascii="Wingdings" w:hAnsi="Wingdings" w:hint="default"/>
      </w:rPr>
    </w:lvl>
    <w:lvl w:ilvl="3" w:tplc="EE0AAB70" w:tentative="1">
      <w:start w:val="1"/>
      <w:numFmt w:val="bullet"/>
      <w:lvlText w:val=""/>
      <w:lvlJc w:val="left"/>
      <w:pPr>
        <w:ind w:left="3240" w:hanging="360"/>
      </w:pPr>
      <w:rPr>
        <w:rFonts w:ascii="Symbol" w:hAnsi="Symbol" w:hint="default"/>
      </w:rPr>
    </w:lvl>
    <w:lvl w:ilvl="4" w:tplc="561254D8" w:tentative="1">
      <w:start w:val="1"/>
      <w:numFmt w:val="bullet"/>
      <w:lvlText w:val="o"/>
      <w:lvlJc w:val="left"/>
      <w:pPr>
        <w:ind w:left="3960" w:hanging="360"/>
      </w:pPr>
      <w:rPr>
        <w:rFonts w:ascii="Courier New" w:hAnsi="Courier New" w:cs="Courier New" w:hint="default"/>
      </w:rPr>
    </w:lvl>
    <w:lvl w:ilvl="5" w:tplc="65886C94" w:tentative="1">
      <w:start w:val="1"/>
      <w:numFmt w:val="bullet"/>
      <w:lvlText w:val=""/>
      <w:lvlJc w:val="left"/>
      <w:pPr>
        <w:ind w:left="4680" w:hanging="360"/>
      </w:pPr>
      <w:rPr>
        <w:rFonts w:ascii="Wingdings" w:hAnsi="Wingdings" w:hint="default"/>
      </w:rPr>
    </w:lvl>
    <w:lvl w:ilvl="6" w:tplc="016A923A" w:tentative="1">
      <w:start w:val="1"/>
      <w:numFmt w:val="bullet"/>
      <w:lvlText w:val=""/>
      <w:lvlJc w:val="left"/>
      <w:pPr>
        <w:ind w:left="5400" w:hanging="360"/>
      </w:pPr>
      <w:rPr>
        <w:rFonts w:ascii="Symbol" w:hAnsi="Symbol" w:hint="default"/>
      </w:rPr>
    </w:lvl>
    <w:lvl w:ilvl="7" w:tplc="4C9441E6" w:tentative="1">
      <w:start w:val="1"/>
      <w:numFmt w:val="bullet"/>
      <w:lvlText w:val="o"/>
      <w:lvlJc w:val="left"/>
      <w:pPr>
        <w:ind w:left="6120" w:hanging="360"/>
      </w:pPr>
      <w:rPr>
        <w:rFonts w:ascii="Courier New" w:hAnsi="Courier New" w:cs="Courier New" w:hint="default"/>
      </w:rPr>
    </w:lvl>
    <w:lvl w:ilvl="8" w:tplc="86423438" w:tentative="1">
      <w:start w:val="1"/>
      <w:numFmt w:val="bullet"/>
      <w:lvlText w:val=""/>
      <w:lvlJc w:val="left"/>
      <w:pPr>
        <w:ind w:left="6840" w:hanging="360"/>
      </w:pPr>
      <w:rPr>
        <w:rFonts w:ascii="Wingdings" w:hAnsi="Wingdings" w:hint="default"/>
      </w:rPr>
    </w:lvl>
  </w:abstractNum>
  <w:abstractNum w:abstractNumId="30" w15:restartNumberingAfterBreak="0">
    <w:nsid w:val="642371CD"/>
    <w:multiLevelType w:val="hybridMultilevel"/>
    <w:tmpl w:val="3B76A654"/>
    <w:lvl w:ilvl="0" w:tplc="B1F0E356">
      <w:start w:val="1"/>
      <w:numFmt w:val="bullet"/>
      <w:pStyle w:val="subclause3Bullet2"/>
      <w:lvlText w:val=""/>
      <w:lvlJc w:val="left"/>
      <w:pPr>
        <w:ind w:left="3748" w:hanging="360"/>
      </w:pPr>
      <w:rPr>
        <w:rFonts w:ascii="Symbol" w:hAnsi="Symbol" w:hint="default"/>
        <w:color w:val="000000"/>
      </w:rPr>
    </w:lvl>
    <w:lvl w:ilvl="1" w:tplc="E3B406BC" w:tentative="1">
      <w:start w:val="1"/>
      <w:numFmt w:val="bullet"/>
      <w:lvlText w:val="o"/>
      <w:lvlJc w:val="left"/>
      <w:pPr>
        <w:ind w:left="4468" w:hanging="360"/>
      </w:pPr>
      <w:rPr>
        <w:rFonts w:ascii="Courier New" w:hAnsi="Courier New" w:cs="Courier New" w:hint="default"/>
      </w:rPr>
    </w:lvl>
    <w:lvl w:ilvl="2" w:tplc="D97C0E0E" w:tentative="1">
      <w:start w:val="1"/>
      <w:numFmt w:val="bullet"/>
      <w:lvlText w:val=""/>
      <w:lvlJc w:val="left"/>
      <w:pPr>
        <w:ind w:left="5188" w:hanging="360"/>
      </w:pPr>
      <w:rPr>
        <w:rFonts w:ascii="Wingdings" w:hAnsi="Wingdings" w:hint="default"/>
      </w:rPr>
    </w:lvl>
    <w:lvl w:ilvl="3" w:tplc="AE64A500" w:tentative="1">
      <w:start w:val="1"/>
      <w:numFmt w:val="bullet"/>
      <w:lvlText w:val=""/>
      <w:lvlJc w:val="left"/>
      <w:pPr>
        <w:ind w:left="5908" w:hanging="360"/>
      </w:pPr>
      <w:rPr>
        <w:rFonts w:ascii="Symbol" w:hAnsi="Symbol" w:hint="default"/>
      </w:rPr>
    </w:lvl>
    <w:lvl w:ilvl="4" w:tplc="5AD28196" w:tentative="1">
      <w:start w:val="1"/>
      <w:numFmt w:val="bullet"/>
      <w:lvlText w:val="o"/>
      <w:lvlJc w:val="left"/>
      <w:pPr>
        <w:ind w:left="6628" w:hanging="360"/>
      </w:pPr>
      <w:rPr>
        <w:rFonts w:ascii="Courier New" w:hAnsi="Courier New" w:cs="Courier New" w:hint="default"/>
      </w:rPr>
    </w:lvl>
    <w:lvl w:ilvl="5" w:tplc="B6069FDE" w:tentative="1">
      <w:start w:val="1"/>
      <w:numFmt w:val="bullet"/>
      <w:lvlText w:val=""/>
      <w:lvlJc w:val="left"/>
      <w:pPr>
        <w:ind w:left="7348" w:hanging="360"/>
      </w:pPr>
      <w:rPr>
        <w:rFonts w:ascii="Wingdings" w:hAnsi="Wingdings" w:hint="default"/>
      </w:rPr>
    </w:lvl>
    <w:lvl w:ilvl="6" w:tplc="7B4227FA" w:tentative="1">
      <w:start w:val="1"/>
      <w:numFmt w:val="bullet"/>
      <w:lvlText w:val=""/>
      <w:lvlJc w:val="left"/>
      <w:pPr>
        <w:ind w:left="8068" w:hanging="360"/>
      </w:pPr>
      <w:rPr>
        <w:rFonts w:ascii="Symbol" w:hAnsi="Symbol" w:hint="default"/>
      </w:rPr>
    </w:lvl>
    <w:lvl w:ilvl="7" w:tplc="221A815C" w:tentative="1">
      <w:start w:val="1"/>
      <w:numFmt w:val="bullet"/>
      <w:lvlText w:val="o"/>
      <w:lvlJc w:val="left"/>
      <w:pPr>
        <w:ind w:left="8788" w:hanging="360"/>
      </w:pPr>
      <w:rPr>
        <w:rFonts w:ascii="Courier New" w:hAnsi="Courier New" w:cs="Courier New" w:hint="default"/>
      </w:rPr>
    </w:lvl>
    <w:lvl w:ilvl="8" w:tplc="2AE4DDFE" w:tentative="1">
      <w:start w:val="1"/>
      <w:numFmt w:val="bullet"/>
      <w:lvlText w:val=""/>
      <w:lvlJc w:val="left"/>
      <w:pPr>
        <w:ind w:left="9508" w:hanging="360"/>
      </w:pPr>
      <w:rPr>
        <w:rFonts w:ascii="Wingdings" w:hAnsi="Wingdings" w:hint="default"/>
      </w:rPr>
    </w:lvl>
  </w:abstractNum>
  <w:abstractNum w:abstractNumId="31" w15:restartNumberingAfterBreak="0">
    <w:nsid w:val="651400AD"/>
    <w:multiLevelType w:val="multilevel"/>
    <w:tmpl w:val="3418D3CA"/>
    <w:lvl w:ilvl="0">
      <w:start w:val="1"/>
      <w:numFmt w:val="decimal"/>
      <w:pStyle w:val="Num1"/>
      <w:lvlText w:val="%1."/>
      <w:lvlJc w:val="left"/>
      <w:pPr>
        <w:tabs>
          <w:tab w:val="num" w:pos="709"/>
        </w:tabs>
        <w:ind w:left="709" w:hanging="709"/>
      </w:pPr>
    </w:lvl>
    <w:lvl w:ilvl="1">
      <w:start w:val="1"/>
      <w:numFmt w:val="lowerLetter"/>
      <w:pStyle w:val="Num2"/>
      <w:lvlText w:val="(%2)"/>
      <w:lvlJc w:val="left"/>
      <w:pPr>
        <w:tabs>
          <w:tab w:val="num" w:pos="1418"/>
        </w:tabs>
        <w:ind w:left="1418" w:hanging="709"/>
      </w:pPr>
    </w:lvl>
    <w:lvl w:ilvl="2">
      <w:start w:val="1"/>
      <w:numFmt w:val="lowerRoman"/>
      <w:pStyle w:val="Num3"/>
      <w:lvlText w:val="(%3)"/>
      <w:lvlJc w:val="left"/>
      <w:pPr>
        <w:tabs>
          <w:tab w:val="num" w:pos="2127"/>
        </w:tabs>
        <w:ind w:left="2127" w:hanging="709"/>
      </w:pPr>
    </w:lvl>
    <w:lvl w:ilvl="3">
      <w:start w:val="1"/>
      <w:numFmt w:val="upperLetter"/>
      <w:pStyle w:val="Num4"/>
      <w:lvlText w:val="(%4)"/>
      <w:lvlJc w:val="left"/>
      <w:pPr>
        <w:tabs>
          <w:tab w:val="num" w:pos="2836"/>
        </w:tabs>
        <w:ind w:left="2836" w:hanging="709"/>
      </w:pPr>
    </w:lvl>
    <w:lvl w:ilvl="4">
      <w:start w:val="27"/>
      <w:numFmt w:val="lowerLetter"/>
      <w:pStyle w:val="Num5"/>
      <w:lvlText w:val="(%5)"/>
      <w:lvlJc w:val="left"/>
      <w:pPr>
        <w:tabs>
          <w:tab w:val="num" w:pos="3545"/>
        </w:tabs>
        <w:ind w:left="3545" w:hanging="709"/>
      </w:pPr>
    </w:lvl>
    <w:lvl w:ilvl="5">
      <w:start w:val="1"/>
      <w:numFmt w:val="decimal"/>
      <w:pStyle w:val="Num6"/>
      <w:lvlText w:val="(%6)"/>
      <w:lvlJc w:val="left"/>
      <w:pPr>
        <w:tabs>
          <w:tab w:val="num" w:pos="4254"/>
        </w:tabs>
        <w:ind w:left="4254" w:hanging="709"/>
      </w:pPr>
    </w:lvl>
    <w:lvl w:ilvl="6">
      <w:start w:val="1"/>
      <w:numFmt w:val="lowerLetter"/>
      <w:pStyle w:val="Num7"/>
      <w:lvlText w:val="(%7)"/>
      <w:lvlJc w:val="left"/>
      <w:pPr>
        <w:tabs>
          <w:tab w:val="num" w:pos="4963"/>
        </w:tabs>
        <w:ind w:left="4963" w:hanging="709"/>
      </w:pPr>
    </w:lvl>
    <w:lvl w:ilvl="7">
      <w:start w:val="1"/>
      <w:numFmt w:val="lowerRoman"/>
      <w:pStyle w:val="Num8"/>
      <w:lvlText w:val="(%8)"/>
      <w:lvlJc w:val="left"/>
      <w:pPr>
        <w:tabs>
          <w:tab w:val="num" w:pos="5672"/>
        </w:tabs>
        <w:ind w:left="5672" w:hanging="709"/>
      </w:pPr>
    </w:lvl>
    <w:lvl w:ilvl="8">
      <w:start w:val="1"/>
      <w:numFmt w:val="lowerLetter"/>
      <w:pStyle w:val="Num9"/>
      <w:lvlText w:val="%9."/>
      <w:lvlJc w:val="left"/>
      <w:pPr>
        <w:tabs>
          <w:tab w:val="num" w:pos="6381"/>
        </w:tabs>
        <w:ind w:left="6381" w:hanging="709"/>
      </w:pPr>
    </w:lvl>
  </w:abstractNum>
  <w:abstractNum w:abstractNumId="32"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33" w15:restartNumberingAfterBreak="0">
    <w:nsid w:val="6768400B"/>
    <w:multiLevelType w:val="multilevel"/>
    <w:tmpl w:val="66565930"/>
    <w:lvl w:ilvl="0">
      <w:start w:val="1"/>
      <w:numFmt w:val="decimal"/>
      <w:pStyle w:val="ListNumber"/>
      <w:lvlText w:val="%1."/>
      <w:lvlJc w:val="left"/>
      <w:pPr>
        <w:tabs>
          <w:tab w:val="num" w:pos="709"/>
        </w:tabs>
        <w:ind w:left="709" w:hanging="709"/>
      </w:pPr>
      <w:rPr>
        <w:rFonts w:hint="default"/>
      </w:rPr>
    </w:lvl>
    <w:lvl w:ilvl="1">
      <w:start w:val="1"/>
      <w:numFmt w:val="decimal"/>
      <w:lvlRestart w:val="0"/>
      <w:pStyle w:val="ListNumber2"/>
      <w:lvlText w:val="%2."/>
      <w:lvlJc w:val="left"/>
      <w:pPr>
        <w:tabs>
          <w:tab w:val="num" w:pos="1418"/>
        </w:tabs>
        <w:ind w:left="1418" w:hanging="709"/>
      </w:pPr>
      <w:rPr>
        <w:rFonts w:hint="default"/>
      </w:rPr>
    </w:lvl>
    <w:lvl w:ilvl="2">
      <w:start w:val="1"/>
      <w:numFmt w:val="decimal"/>
      <w:lvlRestart w:val="0"/>
      <w:pStyle w:val="ListNumber3"/>
      <w:lvlText w:val="%3."/>
      <w:lvlJc w:val="left"/>
      <w:pPr>
        <w:tabs>
          <w:tab w:val="num" w:pos="2127"/>
        </w:tabs>
        <w:ind w:left="2127" w:hanging="709"/>
      </w:pPr>
      <w:rPr>
        <w:rFonts w:hint="default"/>
      </w:rPr>
    </w:lvl>
    <w:lvl w:ilvl="3">
      <w:start w:val="1"/>
      <w:numFmt w:val="decimal"/>
      <w:lvlRestart w:val="0"/>
      <w:pStyle w:val="ListNumber4"/>
      <w:lvlText w:val="%4."/>
      <w:lvlJc w:val="left"/>
      <w:pPr>
        <w:tabs>
          <w:tab w:val="num" w:pos="2836"/>
        </w:tabs>
        <w:ind w:left="2836" w:hanging="709"/>
      </w:pPr>
      <w:rPr>
        <w:rFonts w:hint="default"/>
      </w:rPr>
    </w:lvl>
    <w:lvl w:ilvl="4">
      <w:start w:val="1"/>
      <w:numFmt w:val="decimal"/>
      <w:lvlRestart w:val="0"/>
      <w:pStyle w:val="ListNumber5"/>
      <w:lvlText w:val="%5."/>
      <w:lvlJc w:val="left"/>
      <w:pPr>
        <w:tabs>
          <w:tab w:val="num" w:pos="3545"/>
        </w:tabs>
        <w:ind w:left="3545" w:hanging="709"/>
      </w:pPr>
      <w:rPr>
        <w:rFonts w:hint="default"/>
      </w:rPr>
    </w:lvl>
    <w:lvl w:ilvl="5">
      <w:start w:val="1"/>
      <w:numFmt w:val="decimal"/>
      <w:lvlRestart w:val="0"/>
      <w:lvlText w:val="%6."/>
      <w:lvlJc w:val="left"/>
      <w:pPr>
        <w:tabs>
          <w:tab w:val="num" w:pos="4254"/>
        </w:tabs>
        <w:ind w:left="4254" w:hanging="709"/>
      </w:pPr>
      <w:rPr>
        <w:rFonts w:hint="default"/>
      </w:rPr>
    </w:lvl>
    <w:lvl w:ilvl="6">
      <w:start w:val="1"/>
      <w:numFmt w:val="decimal"/>
      <w:lvlRestart w:val="0"/>
      <w:lvlText w:val="%7."/>
      <w:lvlJc w:val="left"/>
      <w:pPr>
        <w:tabs>
          <w:tab w:val="num" w:pos="4963"/>
        </w:tabs>
        <w:ind w:left="4963" w:hanging="709"/>
      </w:pPr>
      <w:rPr>
        <w:rFonts w:hint="default"/>
      </w:rPr>
    </w:lvl>
    <w:lvl w:ilvl="7">
      <w:start w:val="1"/>
      <w:numFmt w:val="decimal"/>
      <w:lvlRestart w:val="0"/>
      <w:lvlText w:val="%8."/>
      <w:lvlJc w:val="left"/>
      <w:pPr>
        <w:tabs>
          <w:tab w:val="num" w:pos="5672"/>
        </w:tabs>
        <w:ind w:left="5672" w:hanging="709"/>
      </w:pPr>
      <w:rPr>
        <w:rFonts w:hint="default"/>
      </w:rPr>
    </w:lvl>
    <w:lvl w:ilvl="8">
      <w:start w:val="1"/>
      <w:numFmt w:val="decimal"/>
      <w:lvlRestart w:val="0"/>
      <w:lvlText w:val="%9."/>
      <w:lvlJc w:val="left"/>
      <w:pPr>
        <w:tabs>
          <w:tab w:val="num" w:pos="6381"/>
        </w:tabs>
        <w:ind w:left="6381" w:hanging="709"/>
      </w:pPr>
      <w:rPr>
        <w:rFonts w:hint="default"/>
      </w:rPr>
    </w:lvl>
  </w:abstractNum>
  <w:abstractNum w:abstractNumId="34" w15:restartNumberingAfterBreak="0">
    <w:nsid w:val="6A14466B"/>
    <w:multiLevelType w:val="hybridMultilevel"/>
    <w:tmpl w:val="2402A666"/>
    <w:lvl w:ilvl="0" w:tplc="66FC5906">
      <w:start w:val="1"/>
      <w:numFmt w:val="bullet"/>
      <w:pStyle w:val="BulletList1"/>
      <w:lvlText w:val="·"/>
      <w:lvlJc w:val="left"/>
      <w:pPr>
        <w:tabs>
          <w:tab w:val="num" w:pos="360"/>
        </w:tabs>
        <w:ind w:left="360" w:hanging="360"/>
      </w:pPr>
      <w:rPr>
        <w:rFonts w:ascii="Symbol" w:hAnsi="Symbol" w:hint="default"/>
        <w:color w:val="000000"/>
      </w:rPr>
    </w:lvl>
    <w:lvl w:ilvl="1" w:tplc="AABA35E8" w:tentative="1">
      <w:start w:val="1"/>
      <w:numFmt w:val="bullet"/>
      <w:lvlText w:val="·"/>
      <w:lvlJc w:val="left"/>
      <w:pPr>
        <w:tabs>
          <w:tab w:val="num" w:pos="1440"/>
        </w:tabs>
        <w:ind w:left="1440" w:hanging="360"/>
      </w:pPr>
      <w:rPr>
        <w:rFonts w:ascii="Symbol" w:hAnsi="Symbol" w:hint="default"/>
      </w:rPr>
    </w:lvl>
    <w:lvl w:ilvl="2" w:tplc="4E849568" w:tentative="1">
      <w:start w:val="1"/>
      <w:numFmt w:val="bullet"/>
      <w:lvlText w:val="·"/>
      <w:lvlJc w:val="left"/>
      <w:pPr>
        <w:tabs>
          <w:tab w:val="num" w:pos="2160"/>
        </w:tabs>
        <w:ind w:left="2160" w:hanging="360"/>
      </w:pPr>
      <w:rPr>
        <w:rFonts w:ascii="Symbol" w:hAnsi="Symbol" w:hint="default"/>
      </w:rPr>
    </w:lvl>
    <w:lvl w:ilvl="3" w:tplc="343E85BE" w:tentative="1">
      <w:start w:val="1"/>
      <w:numFmt w:val="bullet"/>
      <w:lvlText w:val="·"/>
      <w:lvlJc w:val="left"/>
      <w:pPr>
        <w:tabs>
          <w:tab w:val="num" w:pos="2880"/>
        </w:tabs>
        <w:ind w:left="2880" w:hanging="360"/>
      </w:pPr>
      <w:rPr>
        <w:rFonts w:ascii="Symbol" w:hAnsi="Symbol" w:hint="default"/>
      </w:rPr>
    </w:lvl>
    <w:lvl w:ilvl="4" w:tplc="568CD2A6" w:tentative="1">
      <w:start w:val="1"/>
      <w:numFmt w:val="bullet"/>
      <w:lvlText w:val="o"/>
      <w:lvlJc w:val="left"/>
      <w:pPr>
        <w:tabs>
          <w:tab w:val="num" w:pos="3600"/>
        </w:tabs>
        <w:ind w:left="3600" w:hanging="360"/>
      </w:pPr>
      <w:rPr>
        <w:rFonts w:ascii="Courier New" w:hAnsi="Courier New" w:hint="default"/>
      </w:rPr>
    </w:lvl>
    <w:lvl w:ilvl="5" w:tplc="DFC2925C" w:tentative="1">
      <w:start w:val="1"/>
      <w:numFmt w:val="bullet"/>
      <w:lvlText w:val="§"/>
      <w:lvlJc w:val="left"/>
      <w:pPr>
        <w:tabs>
          <w:tab w:val="num" w:pos="4320"/>
        </w:tabs>
        <w:ind w:left="4320" w:hanging="360"/>
      </w:pPr>
      <w:rPr>
        <w:rFonts w:ascii="Wingdings" w:hAnsi="Wingdings" w:hint="default"/>
      </w:rPr>
    </w:lvl>
    <w:lvl w:ilvl="6" w:tplc="8208F07A" w:tentative="1">
      <w:start w:val="1"/>
      <w:numFmt w:val="bullet"/>
      <w:lvlText w:val="·"/>
      <w:lvlJc w:val="left"/>
      <w:pPr>
        <w:tabs>
          <w:tab w:val="num" w:pos="5040"/>
        </w:tabs>
        <w:ind w:left="5040" w:hanging="360"/>
      </w:pPr>
      <w:rPr>
        <w:rFonts w:ascii="Symbol" w:hAnsi="Symbol" w:hint="default"/>
      </w:rPr>
    </w:lvl>
    <w:lvl w:ilvl="7" w:tplc="3F9806E0" w:tentative="1">
      <w:start w:val="1"/>
      <w:numFmt w:val="bullet"/>
      <w:lvlText w:val="o"/>
      <w:lvlJc w:val="left"/>
      <w:pPr>
        <w:tabs>
          <w:tab w:val="num" w:pos="5760"/>
        </w:tabs>
        <w:ind w:left="5760" w:hanging="360"/>
      </w:pPr>
      <w:rPr>
        <w:rFonts w:ascii="Courier New" w:hAnsi="Courier New" w:hint="default"/>
      </w:rPr>
    </w:lvl>
    <w:lvl w:ilvl="8" w:tplc="1FBCD55E"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51623E9"/>
    <w:multiLevelType w:val="hybridMultilevel"/>
    <w:tmpl w:val="695686C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DB5644F"/>
    <w:multiLevelType w:val="hybridMultilevel"/>
    <w:tmpl w:val="8BCC9C08"/>
    <w:lvl w:ilvl="0" w:tplc="37E0D572">
      <w:start w:val="1"/>
      <w:numFmt w:val="bullet"/>
      <w:pStyle w:val="BulletList3"/>
      <w:lvlText w:val=""/>
      <w:lvlJc w:val="left"/>
      <w:pPr>
        <w:tabs>
          <w:tab w:val="num" w:pos="1945"/>
        </w:tabs>
        <w:ind w:left="1945" w:hanging="357"/>
      </w:pPr>
      <w:rPr>
        <w:rFonts w:ascii="Symbol" w:hAnsi="Symbol" w:hint="default"/>
        <w:color w:val="000000"/>
      </w:rPr>
    </w:lvl>
    <w:lvl w:ilvl="1" w:tplc="F34A019E" w:tentative="1">
      <w:start w:val="1"/>
      <w:numFmt w:val="bullet"/>
      <w:lvlText w:val="o"/>
      <w:lvlJc w:val="left"/>
      <w:pPr>
        <w:tabs>
          <w:tab w:val="num" w:pos="1440"/>
        </w:tabs>
        <w:ind w:left="1440" w:hanging="360"/>
      </w:pPr>
      <w:rPr>
        <w:rFonts w:ascii="Courier New" w:hAnsi="Courier New" w:cs="Courier New" w:hint="default"/>
      </w:rPr>
    </w:lvl>
    <w:lvl w:ilvl="2" w:tplc="6EEA676A" w:tentative="1">
      <w:start w:val="1"/>
      <w:numFmt w:val="bullet"/>
      <w:lvlText w:val=""/>
      <w:lvlJc w:val="left"/>
      <w:pPr>
        <w:tabs>
          <w:tab w:val="num" w:pos="2160"/>
        </w:tabs>
        <w:ind w:left="2160" w:hanging="360"/>
      </w:pPr>
      <w:rPr>
        <w:rFonts w:ascii="Wingdings" w:hAnsi="Wingdings" w:hint="default"/>
      </w:rPr>
    </w:lvl>
    <w:lvl w:ilvl="3" w:tplc="ABBA8A3E" w:tentative="1">
      <w:start w:val="1"/>
      <w:numFmt w:val="bullet"/>
      <w:lvlText w:val=""/>
      <w:lvlJc w:val="left"/>
      <w:pPr>
        <w:tabs>
          <w:tab w:val="num" w:pos="2880"/>
        </w:tabs>
        <w:ind w:left="2880" w:hanging="360"/>
      </w:pPr>
      <w:rPr>
        <w:rFonts w:ascii="Symbol" w:hAnsi="Symbol" w:hint="default"/>
      </w:rPr>
    </w:lvl>
    <w:lvl w:ilvl="4" w:tplc="086C6038" w:tentative="1">
      <w:start w:val="1"/>
      <w:numFmt w:val="bullet"/>
      <w:lvlText w:val="o"/>
      <w:lvlJc w:val="left"/>
      <w:pPr>
        <w:tabs>
          <w:tab w:val="num" w:pos="3600"/>
        </w:tabs>
        <w:ind w:left="3600" w:hanging="360"/>
      </w:pPr>
      <w:rPr>
        <w:rFonts w:ascii="Courier New" w:hAnsi="Courier New" w:cs="Courier New" w:hint="default"/>
      </w:rPr>
    </w:lvl>
    <w:lvl w:ilvl="5" w:tplc="BB32EA44" w:tentative="1">
      <w:start w:val="1"/>
      <w:numFmt w:val="bullet"/>
      <w:lvlText w:val=""/>
      <w:lvlJc w:val="left"/>
      <w:pPr>
        <w:tabs>
          <w:tab w:val="num" w:pos="4320"/>
        </w:tabs>
        <w:ind w:left="4320" w:hanging="360"/>
      </w:pPr>
      <w:rPr>
        <w:rFonts w:ascii="Wingdings" w:hAnsi="Wingdings" w:hint="default"/>
      </w:rPr>
    </w:lvl>
    <w:lvl w:ilvl="6" w:tplc="BC883A7E" w:tentative="1">
      <w:start w:val="1"/>
      <w:numFmt w:val="bullet"/>
      <w:lvlText w:val=""/>
      <w:lvlJc w:val="left"/>
      <w:pPr>
        <w:tabs>
          <w:tab w:val="num" w:pos="5040"/>
        </w:tabs>
        <w:ind w:left="5040" w:hanging="360"/>
      </w:pPr>
      <w:rPr>
        <w:rFonts w:ascii="Symbol" w:hAnsi="Symbol" w:hint="default"/>
      </w:rPr>
    </w:lvl>
    <w:lvl w:ilvl="7" w:tplc="799A6C1E" w:tentative="1">
      <w:start w:val="1"/>
      <w:numFmt w:val="bullet"/>
      <w:lvlText w:val="o"/>
      <w:lvlJc w:val="left"/>
      <w:pPr>
        <w:tabs>
          <w:tab w:val="num" w:pos="5760"/>
        </w:tabs>
        <w:ind w:left="5760" w:hanging="360"/>
      </w:pPr>
      <w:rPr>
        <w:rFonts w:ascii="Courier New" w:hAnsi="Courier New" w:cs="Courier New" w:hint="default"/>
      </w:rPr>
    </w:lvl>
    <w:lvl w:ilvl="8" w:tplc="12E4048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B56451"/>
    <w:multiLevelType w:val="multilevel"/>
    <w:tmpl w:val="7DB56451"/>
    <w:styleLink w:val="ScheduleListStyle"/>
    <w:lvl w:ilvl="0">
      <w:start w:val="1"/>
      <w:numFmt w:val="decimal"/>
      <w:pStyle w:val="Schedule0"/>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40" w15:restartNumberingAfterBreak="0">
    <w:nsid w:val="7DB56453"/>
    <w:multiLevelType w:val="multilevel"/>
    <w:tmpl w:val="7DB56451"/>
    <w:numStyleLink w:val="ScheduleListStyle"/>
  </w:abstractNum>
  <w:abstractNum w:abstractNumId="41" w15:restartNumberingAfterBreak="0">
    <w:nsid w:val="7DB56455"/>
    <w:multiLevelType w:val="multilevel"/>
    <w:tmpl w:val="7DB56455"/>
    <w:styleLink w:val="ClauseListStyle"/>
    <w:lvl w:ilvl="0">
      <w:start w:val="1"/>
      <w:numFmt w:val="decimal"/>
      <w:pStyle w:val="ScheduleTitleClause"/>
      <w:lvlText w:val="%1."/>
      <w:lvlJc w:val="left"/>
      <w:pPr>
        <w:tabs>
          <w:tab w:val="num" w:pos="720"/>
        </w:tabs>
        <w:ind w:left="720" w:hanging="720"/>
      </w:pPr>
      <w:rPr>
        <w:rFonts w:hint="default"/>
        <w:color w:val="000000"/>
      </w:rPr>
    </w:lvl>
    <w:lvl w:ilvl="1">
      <w:start w:val="1"/>
      <w:numFmt w:val="decimal"/>
      <w:pStyle w:val="ScheduleUntitledsubclause1"/>
      <w:lvlText w:val="%1.%2"/>
      <w:lvlJc w:val="left"/>
      <w:pPr>
        <w:tabs>
          <w:tab w:val="num" w:pos="720"/>
        </w:tabs>
        <w:ind w:left="720" w:hanging="720"/>
      </w:pPr>
      <w:rPr>
        <w:rFonts w:hint="default"/>
        <w:color w:val="000000"/>
      </w:rPr>
    </w:lvl>
    <w:lvl w:ilvl="2">
      <w:start w:val="1"/>
      <w:numFmt w:val="lowerLetter"/>
      <w:pStyle w:val="ScheduleUntitledsubclause2"/>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42" w15:restartNumberingAfterBreak="0">
    <w:nsid w:val="7DB56456"/>
    <w:multiLevelType w:val="multilevel"/>
    <w:tmpl w:val="7DB56455"/>
    <w:numStyleLink w:val="ClauseListStyle"/>
  </w:abstractNum>
  <w:num w:numId="1" w16cid:durableId="1612397702">
    <w:abstractNumId w:val="32"/>
  </w:num>
  <w:num w:numId="2" w16cid:durableId="1254629217">
    <w:abstractNumId w:val="34"/>
  </w:num>
  <w:num w:numId="3" w16cid:durableId="462388323">
    <w:abstractNumId w:val="12"/>
  </w:num>
  <w:num w:numId="4" w16cid:durableId="548419392">
    <w:abstractNumId w:val="38"/>
  </w:num>
  <w:num w:numId="5" w16cid:durableId="377709084">
    <w:abstractNumId w:val="37"/>
  </w:num>
  <w:num w:numId="6" w16cid:durableId="1017779816">
    <w:abstractNumId w:val="6"/>
  </w:num>
  <w:num w:numId="7" w16cid:durableId="1645350714">
    <w:abstractNumId w:val="16"/>
  </w:num>
  <w:num w:numId="8" w16cid:durableId="1485585793">
    <w:abstractNumId w:val="14"/>
  </w:num>
  <w:num w:numId="9" w16cid:durableId="1229804283">
    <w:abstractNumId w:val="9"/>
  </w:num>
  <w:num w:numId="10" w16cid:durableId="738746269">
    <w:abstractNumId w:val="26"/>
  </w:num>
  <w:num w:numId="11" w16cid:durableId="190804010">
    <w:abstractNumId w:val="7"/>
  </w:num>
  <w:num w:numId="12" w16cid:durableId="268585265">
    <w:abstractNumId w:val="25"/>
  </w:num>
  <w:num w:numId="13" w16cid:durableId="1829320137">
    <w:abstractNumId w:val="29"/>
  </w:num>
  <w:num w:numId="14" w16cid:durableId="1795753248">
    <w:abstractNumId w:val="18"/>
  </w:num>
  <w:num w:numId="15" w16cid:durableId="1436628662">
    <w:abstractNumId w:val="23"/>
  </w:num>
  <w:num w:numId="16" w16cid:durableId="458106558">
    <w:abstractNumId w:val="21"/>
  </w:num>
  <w:num w:numId="17" w16cid:durableId="129056079">
    <w:abstractNumId w:val="22"/>
  </w:num>
  <w:num w:numId="18" w16cid:durableId="1472864739">
    <w:abstractNumId w:val="20"/>
  </w:num>
  <w:num w:numId="19" w16cid:durableId="971597932">
    <w:abstractNumId w:val="11"/>
  </w:num>
  <w:num w:numId="20" w16cid:durableId="964039878">
    <w:abstractNumId w:val="30"/>
  </w:num>
  <w:num w:numId="21" w16cid:durableId="1515922953">
    <w:abstractNumId w:val="1"/>
  </w:num>
  <w:num w:numId="22" w16cid:durableId="42364375">
    <w:abstractNumId w:val="2"/>
  </w:num>
  <w:num w:numId="23" w16cid:durableId="1502155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37956234">
    <w:abstractNumId w:val="35"/>
  </w:num>
  <w:num w:numId="25" w16cid:durableId="1720126488">
    <w:abstractNumId w:val="39"/>
  </w:num>
  <w:num w:numId="26" w16cid:durableId="1051536803">
    <w:abstractNumId w:val="40"/>
  </w:num>
  <w:num w:numId="27" w16cid:durableId="2040163776">
    <w:abstractNumId w:val="41"/>
  </w:num>
  <w:num w:numId="28" w16cid:durableId="446509074">
    <w:abstractNumId w:val="42"/>
  </w:num>
  <w:num w:numId="29" w16cid:durableId="20014221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63812425">
    <w:abstractNumId w:val="28"/>
  </w:num>
  <w:num w:numId="31" w16cid:durableId="2053116072">
    <w:abstractNumId w:val="8"/>
  </w:num>
  <w:num w:numId="32" w16cid:durableId="18763045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66017638">
    <w:abstractNumId w:val="5"/>
  </w:num>
  <w:num w:numId="34" w16cid:durableId="1703417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592549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47336323">
    <w:abstractNumId w:val="0"/>
  </w:num>
  <w:num w:numId="37" w16cid:durableId="18613565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84990882">
    <w:abstractNumId w:val="24"/>
  </w:num>
  <w:num w:numId="39" w16cid:durableId="1667830068">
    <w:abstractNumId w:val="4"/>
  </w:num>
  <w:num w:numId="40" w16cid:durableId="888345291">
    <w:abstractNumId w:val="33"/>
  </w:num>
  <w:num w:numId="41" w16cid:durableId="1604612765">
    <w:abstractNumId w:val="17"/>
  </w:num>
  <w:num w:numId="42" w16cid:durableId="1212377414">
    <w:abstractNumId w:val="19"/>
  </w:num>
  <w:num w:numId="43" w16cid:durableId="117457548">
    <w:abstractNumId w:val="31"/>
  </w:num>
  <w:num w:numId="44" w16cid:durableId="1242030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64819397">
    <w:abstractNumId w:val="3"/>
  </w:num>
  <w:num w:numId="46" w16cid:durableId="17690850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47176868">
    <w:abstractNumId w:val="36"/>
  </w:num>
  <w:num w:numId="48" w16cid:durableId="2009867797">
    <w:abstractNumId w:val="13"/>
  </w:num>
  <w:num w:numId="49" w16cid:durableId="8558530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096342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631312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6411259">
    <w:abstractNumId w:val="3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LockQFSet/>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D78"/>
    <w:rsid w:val="00001B4F"/>
    <w:rsid w:val="00001D8E"/>
    <w:rsid w:val="00003314"/>
    <w:rsid w:val="00003A0B"/>
    <w:rsid w:val="00003C26"/>
    <w:rsid w:val="00003D9A"/>
    <w:rsid w:val="0000462D"/>
    <w:rsid w:val="0000482C"/>
    <w:rsid w:val="0000499A"/>
    <w:rsid w:val="00005A8D"/>
    <w:rsid w:val="00006E58"/>
    <w:rsid w:val="000070E4"/>
    <w:rsid w:val="00007709"/>
    <w:rsid w:val="0000773F"/>
    <w:rsid w:val="00007BE6"/>
    <w:rsid w:val="00010E83"/>
    <w:rsid w:val="00011C8F"/>
    <w:rsid w:val="00012431"/>
    <w:rsid w:val="00013E32"/>
    <w:rsid w:val="000145F2"/>
    <w:rsid w:val="00014F18"/>
    <w:rsid w:val="00014F70"/>
    <w:rsid w:val="00014FF7"/>
    <w:rsid w:val="000150F6"/>
    <w:rsid w:val="0001511D"/>
    <w:rsid w:val="00015A65"/>
    <w:rsid w:val="00016938"/>
    <w:rsid w:val="000169A7"/>
    <w:rsid w:val="000171DB"/>
    <w:rsid w:val="00017B21"/>
    <w:rsid w:val="00020ACD"/>
    <w:rsid w:val="00021D92"/>
    <w:rsid w:val="00021FC3"/>
    <w:rsid w:val="000223F4"/>
    <w:rsid w:val="000224EC"/>
    <w:rsid w:val="0002287F"/>
    <w:rsid w:val="000228FD"/>
    <w:rsid w:val="00022CCA"/>
    <w:rsid w:val="000233A9"/>
    <w:rsid w:val="000233FE"/>
    <w:rsid w:val="0002342E"/>
    <w:rsid w:val="00023E66"/>
    <w:rsid w:val="00025C3F"/>
    <w:rsid w:val="00026A7B"/>
    <w:rsid w:val="00026A88"/>
    <w:rsid w:val="00026C3F"/>
    <w:rsid w:val="0002752E"/>
    <w:rsid w:val="0002791C"/>
    <w:rsid w:val="00027920"/>
    <w:rsid w:val="00030299"/>
    <w:rsid w:val="000324D0"/>
    <w:rsid w:val="0003260F"/>
    <w:rsid w:val="000329A5"/>
    <w:rsid w:val="00033F38"/>
    <w:rsid w:val="00033F7A"/>
    <w:rsid w:val="00034A88"/>
    <w:rsid w:val="000355A6"/>
    <w:rsid w:val="000359D2"/>
    <w:rsid w:val="000365B1"/>
    <w:rsid w:val="00037220"/>
    <w:rsid w:val="000372FE"/>
    <w:rsid w:val="00037C6B"/>
    <w:rsid w:val="00040958"/>
    <w:rsid w:val="000409B1"/>
    <w:rsid w:val="0004149D"/>
    <w:rsid w:val="000414DF"/>
    <w:rsid w:val="000419B8"/>
    <w:rsid w:val="00041CB8"/>
    <w:rsid w:val="0004309C"/>
    <w:rsid w:val="0004387D"/>
    <w:rsid w:val="000441B9"/>
    <w:rsid w:val="00044784"/>
    <w:rsid w:val="00044AB7"/>
    <w:rsid w:val="00045CAF"/>
    <w:rsid w:val="00046766"/>
    <w:rsid w:val="00046773"/>
    <w:rsid w:val="00046DF8"/>
    <w:rsid w:val="000475DB"/>
    <w:rsid w:val="00047DAB"/>
    <w:rsid w:val="00047E7D"/>
    <w:rsid w:val="000508AB"/>
    <w:rsid w:val="000515D0"/>
    <w:rsid w:val="000516F1"/>
    <w:rsid w:val="00051ED0"/>
    <w:rsid w:val="00051FC5"/>
    <w:rsid w:val="000529D9"/>
    <w:rsid w:val="00053AB9"/>
    <w:rsid w:val="00055ABA"/>
    <w:rsid w:val="00055D5F"/>
    <w:rsid w:val="00055F90"/>
    <w:rsid w:val="00056364"/>
    <w:rsid w:val="0005711A"/>
    <w:rsid w:val="00060354"/>
    <w:rsid w:val="00060A19"/>
    <w:rsid w:val="00060DDD"/>
    <w:rsid w:val="00062FAA"/>
    <w:rsid w:val="00063E1B"/>
    <w:rsid w:val="0006446C"/>
    <w:rsid w:val="0006487D"/>
    <w:rsid w:val="000649A4"/>
    <w:rsid w:val="0006514D"/>
    <w:rsid w:val="000665CA"/>
    <w:rsid w:val="00066842"/>
    <w:rsid w:val="00070950"/>
    <w:rsid w:val="00072174"/>
    <w:rsid w:val="0007248F"/>
    <w:rsid w:val="000725DE"/>
    <w:rsid w:val="0007294A"/>
    <w:rsid w:val="00072E03"/>
    <w:rsid w:val="00072F08"/>
    <w:rsid w:val="00073477"/>
    <w:rsid w:val="000737CB"/>
    <w:rsid w:val="000737D3"/>
    <w:rsid w:val="00073B7A"/>
    <w:rsid w:val="00073BB5"/>
    <w:rsid w:val="00073C7B"/>
    <w:rsid w:val="00074006"/>
    <w:rsid w:val="0007406F"/>
    <w:rsid w:val="0007478C"/>
    <w:rsid w:val="00076111"/>
    <w:rsid w:val="0007665B"/>
    <w:rsid w:val="00076C69"/>
    <w:rsid w:val="000777D6"/>
    <w:rsid w:val="00077F5B"/>
    <w:rsid w:val="00082A54"/>
    <w:rsid w:val="00082CDC"/>
    <w:rsid w:val="00083932"/>
    <w:rsid w:val="000848D0"/>
    <w:rsid w:val="00084DA3"/>
    <w:rsid w:val="00084FC5"/>
    <w:rsid w:val="00084FFE"/>
    <w:rsid w:val="00085785"/>
    <w:rsid w:val="000857E1"/>
    <w:rsid w:val="00085B09"/>
    <w:rsid w:val="00085DB1"/>
    <w:rsid w:val="00086717"/>
    <w:rsid w:val="000867D4"/>
    <w:rsid w:val="00086EC8"/>
    <w:rsid w:val="00090693"/>
    <w:rsid w:val="00090845"/>
    <w:rsid w:val="00090CA3"/>
    <w:rsid w:val="00091076"/>
    <w:rsid w:val="00091CB6"/>
    <w:rsid w:val="000929F3"/>
    <w:rsid w:val="00092A7F"/>
    <w:rsid w:val="000937CE"/>
    <w:rsid w:val="00093B84"/>
    <w:rsid w:val="00093BA6"/>
    <w:rsid w:val="0009440D"/>
    <w:rsid w:val="00094963"/>
    <w:rsid w:val="00095456"/>
    <w:rsid w:val="000966A1"/>
    <w:rsid w:val="00096C4D"/>
    <w:rsid w:val="000979A7"/>
    <w:rsid w:val="000A103E"/>
    <w:rsid w:val="000A18BB"/>
    <w:rsid w:val="000A1C86"/>
    <w:rsid w:val="000A2264"/>
    <w:rsid w:val="000A3095"/>
    <w:rsid w:val="000A4332"/>
    <w:rsid w:val="000A43AB"/>
    <w:rsid w:val="000A5111"/>
    <w:rsid w:val="000A575C"/>
    <w:rsid w:val="000A5C93"/>
    <w:rsid w:val="000A7B7A"/>
    <w:rsid w:val="000B01FE"/>
    <w:rsid w:val="000B1F6D"/>
    <w:rsid w:val="000B212B"/>
    <w:rsid w:val="000B2D2E"/>
    <w:rsid w:val="000B344C"/>
    <w:rsid w:val="000B35CC"/>
    <w:rsid w:val="000B3FEF"/>
    <w:rsid w:val="000B40D5"/>
    <w:rsid w:val="000B5738"/>
    <w:rsid w:val="000B59E1"/>
    <w:rsid w:val="000B5C41"/>
    <w:rsid w:val="000B76AB"/>
    <w:rsid w:val="000C0BDE"/>
    <w:rsid w:val="000C264C"/>
    <w:rsid w:val="000C2915"/>
    <w:rsid w:val="000C31B9"/>
    <w:rsid w:val="000C3817"/>
    <w:rsid w:val="000C405B"/>
    <w:rsid w:val="000C4E64"/>
    <w:rsid w:val="000C55BB"/>
    <w:rsid w:val="000C6551"/>
    <w:rsid w:val="000C6877"/>
    <w:rsid w:val="000C6986"/>
    <w:rsid w:val="000C6BB2"/>
    <w:rsid w:val="000C6C1F"/>
    <w:rsid w:val="000C76C5"/>
    <w:rsid w:val="000C79AC"/>
    <w:rsid w:val="000D0626"/>
    <w:rsid w:val="000D082D"/>
    <w:rsid w:val="000D0B99"/>
    <w:rsid w:val="000D15B9"/>
    <w:rsid w:val="000D1896"/>
    <w:rsid w:val="000D1925"/>
    <w:rsid w:val="000D1AFE"/>
    <w:rsid w:val="000D1B9C"/>
    <w:rsid w:val="000D1C86"/>
    <w:rsid w:val="000D35F4"/>
    <w:rsid w:val="000D3A4B"/>
    <w:rsid w:val="000D3CE6"/>
    <w:rsid w:val="000D3D07"/>
    <w:rsid w:val="000D5384"/>
    <w:rsid w:val="000D5770"/>
    <w:rsid w:val="000D617D"/>
    <w:rsid w:val="000D73BD"/>
    <w:rsid w:val="000D7F03"/>
    <w:rsid w:val="000E0066"/>
    <w:rsid w:val="000E086C"/>
    <w:rsid w:val="000E0DB6"/>
    <w:rsid w:val="000E36D9"/>
    <w:rsid w:val="000E3D9C"/>
    <w:rsid w:val="000E3EB0"/>
    <w:rsid w:val="000E3F75"/>
    <w:rsid w:val="000E43D3"/>
    <w:rsid w:val="000E4C2C"/>
    <w:rsid w:val="000E65E8"/>
    <w:rsid w:val="000E665F"/>
    <w:rsid w:val="000E67A0"/>
    <w:rsid w:val="000E6A49"/>
    <w:rsid w:val="000E6B19"/>
    <w:rsid w:val="000E70C7"/>
    <w:rsid w:val="000E7234"/>
    <w:rsid w:val="000E77A3"/>
    <w:rsid w:val="000E7FE4"/>
    <w:rsid w:val="000F1431"/>
    <w:rsid w:val="000F17E5"/>
    <w:rsid w:val="000F1AB4"/>
    <w:rsid w:val="000F1C06"/>
    <w:rsid w:val="000F2DD1"/>
    <w:rsid w:val="000F4E9A"/>
    <w:rsid w:val="000F6027"/>
    <w:rsid w:val="000F7557"/>
    <w:rsid w:val="000F75AF"/>
    <w:rsid w:val="000F780E"/>
    <w:rsid w:val="000F7E4D"/>
    <w:rsid w:val="00100A0A"/>
    <w:rsid w:val="0010132D"/>
    <w:rsid w:val="00101E8D"/>
    <w:rsid w:val="0010228E"/>
    <w:rsid w:val="001027FF"/>
    <w:rsid w:val="00102E2F"/>
    <w:rsid w:val="00103012"/>
    <w:rsid w:val="00103D4F"/>
    <w:rsid w:val="00103EAF"/>
    <w:rsid w:val="00103FF8"/>
    <w:rsid w:val="00104557"/>
    <w:rsid w:val="0010484C"/>
    <w:rsid w:val="00105386"/>
    <w:rsid w:val="00105FA1"/>
    <w:rsid w:val="00106D88"/>
    <w:rsid w:val="001071CC"/>
    <w:rsid w:val="00107638"/>
    <w:rsid w:val="00107C38"/>
    <w:rsid w:val="00107DBD"/>
    <w:rsid w:val="001101A1"/>
    <w:rsid w:val="0011087D"/>
    <w:rsid w:val="00110B50"/>
    <w:rsid w:val="00110CB0"/>
    <w:rsid w:val="00111042"/>
    <w:rsid w:val="00111307"/>
    <w:rsid w:val="001113DA"/>
    <w:rsid w:val="00111732"/>
    <w:rsid w:val="00112255"/>
    <w:rsid w:val="0011264C"/>
    <w:rsid w:val="00113216"/>
    <w:rsid w:val="0011584A"/>
    <w:rsid w:val="00115C89"/>
    <w:rsid w:val="00115EE7"/>
    <w:rsid w:val="001163FC"/>
    <w:rsid w:val="0011646A"/>
    <w:rsid w:val="0011682A"/>
    <w:rsid w:val="00117664"/>
    <w:rsid w:val="00117BF4"/>
    <w:rsid w:val="00120A86"/>
    <w:rsid w:val="00121168"/>
    <w:rsid w:val="0012130D"/>
    <w:rsid w:val="00121AD7"/>
    <w:rsid w:val="00121D0A"/>
    <w:rsid w:val="00122600"/>
    <w:rsid w:val="0012296E"/>
    <w:rsid w:val="00122BDA"/>
    <w:rsid w:val="00122EE0"/>
    <w:rsid w:val="00123BAD"/>
    <w:rsid w:val="00124164"/>
    <w:rsid w:val="00124397"/>
    <w:rsid w:val="00124F61"/>
    <w:rsid w:val="00125CFA"/>
    <w:rsid w:val="00126261"/>
    <w:rsid w:val="00126CF1"/>
    <w:rsid w:val="001277AD"/>
    <w:rsid w:val="00127C3A"/>
    <w:rsid w:val="001309BC"/>
    <w:rsid w:val="001314D0"/>
    <w:rsid w:val="00131F80"/>
    <w:rsid w:val="0013255F"/>
    <w:rsid w:val="00132888"/>
    <w:rsid w:val="00132A96"/>
    <w:rsid w:val="00133956"/>
    <w:rsid w:val="00133B77"/>
    <w:rsid w:val="001340F2"/>
    <w:rsid w:val="00134704"/>
    <w:rsid w:val="0013473B"/>
    <w:rsid w:val="00134AEA"/>
    <w:rsid w:val="00135543"/>
    <w:rsid w:val="001355C9"/>
    <w:rsid w:val="0013560E"/>
    <w:rsid w:val="00135D6F"/>
    <w:rsid w:val="00136632"/>
    <w:rsid w:val="00136ABB"/>
    <w:rsid w:val="001379C8"/>
    <w:rsid w:val="00137AD7"/>
    <w:rsid w:val="00140037"/>
    <w:rsid w:val="00141A0A"/>
    <w:rsid w:val="00141D71"/>
    <w:rsid w:val="00142983"/>
    <w:rsid w:val="00142E39"/>
    <w:rsid w:val="00143624"/>
    <w:rsid w:val="00144473"/>
    <w:rsid w:val="001446AD"/>
    <w:rsid w:val="00144E4A"/>
    <w:rsid w:val="00144E8C"/>
    <w:rsid w:val="001459BC"/>
    <w:rsid w:val="00145B4F"/>
    <w:rsid w:val="00147850"/>
    <w:rsid w:val="00150EA1"/>
    <w:rsid w:val="00150EAB"/>
    <w:rsid w:val="001521B5"/>
    <w:rsid w:val="00152881"/>
    <w:rsid w:val="001528AE"/>
    <w:rsid w:val="0015294E"/>
    <w:rsid w:val="00152ABF"/>
    <w:rsid w:val="0015352B"/>
    <w:rsid w:val="00153F52"/>
    <w:rsid w:val="001546D6"/>
    <w:rsid w:val="001557CB"/>
    <w:rsid w:val="00155A5B"/>
    <w:rsid w:val="0015629C"/>
    <w:rsid w:val="00156BD3"/>
    <w:rsid w:val="001570F2"/>
    <w:rsid w:val="0016047C"/>
    <w:rsid w:val="001614B3"/>
    <w:rsid w:val="00161933"/>
    <w:rsid w:val="00161C43"/>
    <w:rsid w:val="00161E99"/>
    <w:rsid w:val="0016206C"/>
    <w:rsid w:val="00163BDC"/>
    <w:rsid w:val="001640B9"/>
    <w:rsid w:val="00165450"/>
    <w:rsid w:val="00165A87"/>
    <w:rsid w:val="001660A3"/>
    <w:rsid w:val="001667BB"/>
    <w:rsid w:val="00166D1A"/>
    <w:rsid w:val="001703EB"/>
    <w:rsid w:val="00170449"/>
    <w:rsid w:val="001705B9"/>
    <w:rsid w:val="00171CAF"/>
    <w:rsid w:val="00171CE0"/>
    <w:rsid w:val="001727BA"/>
    <w:rsid w:val="001727F3"/>
    <w:rsid w:val="001728B3"/>
    <w:rsid w:val="001728F7"/>
    <w:rsid w:val="00172F57"/>
    <w:rsid w:val="00173086"/>
    <w:rsid w:val="00173494"/>
    <w:rsid w:val="00173E3C"/>
    <w:rsid w:val="00173F00"/>
    <w:rsid w:val="001747DA"/>
    <w:rsid w:val="00174834"/>
    <w:rsid w:val="00174EDE"/>
    <w:rsid w:val="001758AA"/>
    <w:rsid w:val="00175B49"/>
    <w:rsid w:val="001761A2"/>
    <w:rsid w:val="001763F5"/>
    <w:rsid w:val="00176976"/>
    <w:rsid w:val="00176B7E"/>
    <w:rsid w:val="00176CA7"/>
    <w:rsid w:val="00177A98"/>
    <w:rsid w:val="00177E90"/>
    <w:rsid w:val="00177EBF"/>
    <w:rsid w:val="00177FD8"/>
    <w:rsid w:val="00180716"/>
    <w:rsid w:val="00180CDC"/>
    <w:rsid w:val="0018374D"/>
    <w:rsid w:val="00183CE8"/>
    <w:rsid w:val="00184025"/>
    <w:rsid w:val="00184111"/>
    <w:rsid w:val="0018469A"/>
    <w:rsid w:val="00184807"/>
    <w:rsid w:val="00184DDB"/>
    <w:rsid w:val="00185A89"/>
    <w:rsid w:val="00185D28"/>
    <w:rsid w:val="00185F8E"/>
    <w:rsid w:val="0018600E"/>
    <w:rsid w:val="00186F67"/>
    <w:rsid w:val="001875CA"/>
    <w:rsid w:val="00187641"/>
    <w:rsid w:val="00190C14"/>
    <w:rsid w:val="00191552"/>
    <w:rsid w:val="00192822"/>
    <w:rsid w:val="0019287B"/>
    <w:rsid w:val="00192C37"/>
    <w:rsid w:val="00192C81"/>
    <w:rsid w:val="00192F4C"/>
    <w:rsid w:val="00193B9E"/>
    <w:rsid w:val="00193E5E"/>
    <w:rsid w:val="00195122"/>
    <w:rsid w:val="00195569"/>
    <w:rsid w:val="0019572E"/>
    <w:rsid w:val="00195A65"/>
    <w:rsid w:val="0019611D"/>
    <w:rsid w:val="00196652"/>
    <w:rsid w:val="00196F6A"/>
    <w:rsid w:val="00197142"/>
    <w:rsid w:val="0019771C"/>
    <w:rsid w:val="001A07F2"/>
    <w:rsid w:val="001A11E5"/>
    <w:rsid w:val="001A1D55"/>
    <w:rsid w:val="001A234F"/>
    <w:rsid w:val="001A2DAB"/>
    <w:rsid w:val="001A314C"/>
    <w:rsid w:val="001A33F3"/>
    <w:rsid w:val="001A3C20"/>
    <w:rsid w:val="001A3EE8"/>
    <w:rsid w:val="001A485A"/>
    <w:rsid w:val="001A48AB"/>
    <w:rsid w:val="001A57D1"/>
    <w:rsid w:val="001A6157"/>
    <w:rsid w:val="001A69FA"/>
    <w:rsid w:val="001A7573"/>
    <w:rsid w:val="001A76E6"/>
    <w:rsid w:val="001A7CE2"/>
    <w:rsid w:val="001B02B2"/>
    <w:rsid w:val="001B02C5"/>
    <w:rsid w:val="001B095C"/>
    <w:rsid w:val="001B0A6F"/>
    <w:rsid w:val="001B14FE"/>
    <w:rsid w:val="001B1D62"/>
    <w:rsid w:val="001B21E5"/>
    <w:rsid w:val="001B23DA"/>
    <w:rsid w:val="001B24F4"/>
    <w:rsid w:val="001B36A5"/>
    <w:rsid w:val="001B395E"/>
    <w:rsid w:val="001B399E"/>
    <w:rsid w:val="001B3C86"/>
    <w:rsid w:val="001B4142"/>
    <w:rsid w:val="001B497B"/>
    <w:rsid w:val="001B5704"/>
    <w:rsid w:val="001B5A73"/>
    <w:rsid w:val="001B60B6"/>
    <w:rsid w:val="001B6D76"/>
    <w:rsid w:val="001B7D44"/>
    <w:rsid w:val="001C0036"/>
    <w:rsid w:val="001C0410"/>
    <w:rsid w:val="001C0885"/>
    <w:rsid w:val="001C0B74"/>
    <w:rsid w:val="001C1120"/>
    <w:rsid w:val="001C1314"/>
    <w:rsid w:val="001C135D"/>
    <w:rsid w:val="001C14F2"/>
    <w:rsid w:val="001C17C8"/>
    <w:rsid w:val="001C1B54"/>
    <w:rsid w:val="001C22D7"/>
    <w:rsid w:val="001C2C7F"/>
    <w:rsid w:val="001C3BC8"/>
    <w:rsid w:val="001C3DE7"/>
    <w:rsid w:val="001C3F66"/>
    <w:rsid w:val="001C4190"/>
    <w:rsid w:val="001C4C5A"/>
    <w:rsid w:val="001C54AA"/>
    <w:rsid w:val="001C5571"/>
    <w:rsid w:val="001C5DC7"/>
    <w:rsid w:val="001C6AFD"/>
    <w:rsid w:val="001C7C9D"/>
    <w:rsid w:val="001D09FF"/>
    <w:rsid w:val="001D1177"/>
    <w:rsid w:val="001D1297"/>
    <w:rsid w:val="001D132C"/>
    <w:rsid w:val="001D154A"/>
    <w:rsid w:val="001D1635"/>
    <w:rsid w:val="001D1A09"/>
    <w:rsid w:val="001D2239"/>
    <w:rsid w:val="001D271C"/>
    <w:rsid w:val="001D2C0A"/>
    <w:rsid w:val="001D2DD4"/>
    <w:rsid w:val="001D3FF8"/>
    <w:rsid w:val="001D55B4"/>
    <w:rsid w:val="001D5C1A"/>
    <w:rsid w:val="001D6DD5"/>
    <w:rsid w:val="001D6E21"/>
    <w:rsid w:val="001D7A5D"/>
    <w:rsid w:val="001E029F"/>
    <w:rsid w:val="001E065E"/>
    <w:rsid w:val="001E2380"/>
    <w:rsid w:val="001E2A0B"/>
    <w:rsid w:val="001E638F"/>
    <w:rsid w:val="001E67B1"/>
    <w:rsid w:val="001E6D5C"/>
    <w:rsid w:val="001E6F49"/>
    <w:rsid w:val="001E76D5"/>
    <w:rsid w:val="001F1803"/>
    <w:rsid w:val="001F21DD"/>
    <w:rsid w:val="001F2447"/>
    <w:rsid w:val="001F249E"/>
    <w:rsid w:val="001F3868"/>
    <w:rsid w:val="001F39EE"/>
    <w:rsid w:val="001F3A28"/>
    <w:rsid w:val="001F3D47"/>
    <w:rsid w:val="001F4622"/>
    <w:rsid w:val="001F5068"/>
    <w:rsid w:val="001F5A96"/>
    <w:rsid w:val="001F5E06"/>
    <w:rsid w:val="001F5EA0"/>
    <w:rsid w:val="001F5FE9"/>
    <w:rsid w:val="001F61EC"/>
    <w:rsid w:val="001F62B8"/>
    <w:rsid w:val="001F635F"/>
    <w:rsid w:val="001F6D1F"/>
    <w:rsid w:val="001F7622"/>
    <w:rsid w:val="001F7CEA"/>
    <w:rsid w:val="002002FD"/>
    <w:rsid w:val="002006EC"/>
    <w:rsid w:val="00200A35"/>
    <w:rsid w:val="00200D18"/>
    <w:rsid w:val="0020106B"/>
    <w:rsid w:val="00201984"/>
    <w:rsid w:val="00201A80"/>
    <w:rsid w:val="00201F7C"/>
    <w:rsid w:val="00202D3C"/>
    <w:rsid w:val="00203135"/>
    <w:rsid w:val="002037D8"/>
    <w:rsid w:val="00203A47"/>
    <w:rsid w:val="00205674"/>
    <w:rsid w:val="00205AA9"/>
    <w:rsid w:val="00206877"/>
    <w:rsid w:val="00207CC8"/>
    <w:rsid w:val="00207F47"/>
    <w:rsid w:val="00210C94"/>
    <w:rsid w:val="00210EB6"/>
    <w:rsid w:val="00211054"/>
    <w:rsid w:val="00211299"/>
    <w:rsid w:val="002117DC"/>
    <w:rsid w:val="00211FF2"/>
    <w:rsid w:val="00212076"/>
    <w:rsid w:val="002120E6"/>
    <w:rsid w:val="002120FF"/>
    <w:rsid w:val="0021322C"/>
    <w:rsid w:val="002139A3"/>
    <w:rsid w:val="00213E66"/>
    <w:rsid w:val="00214058"/>
    <w:rsid w:val="00214298"/>
    <w:rsid w:val="00214565"/>
    <w:rsid w:val="002147D4"/>
    <w:rsid w:val="00214EB7"/>
    <w:rsid w:val="00214FCC"/>
    <w:rsid w:val="002158AD"/>
    <w:rsid w:val="00215916"/>
    <w:rsid w:val="00215E69"/>
    <w:rsid w:val="00215FAF"/>
    <w:rsid w:val="00216413"/>
    <w:rsid w:val="0021694B"/>
    <w:rsid w:val="00217636"/>
    <w:rsid w:val="00217E7A"/>
    <w:rsid w:val="00220074"/>
    <w:rsid w:val="0022011F"/>
    <w:rsid w:val="00220532"/>
    <w:rsid w:val="00220CB3"/>
    <w:rsid w:val="00220F50"/>
    <w:rsid w:val="0022206A"/>
    <w:rsid w:val="002222E3"/>
    <w:rsid w:val="00222CF6"/>
    <w:rsid w:val="00223AA2"/>
    <w:rsid w:val="0022414D"/>
    <w:rsid w:val="00224810"/>
    <w:rsid w:val="00224CCD"/>
    <w:rsid w:val="00225F5B"/>
    <w:rsid w:val="00226F89"/>
    <w:rsid w:val="00227166"/>
    <w:rsid w:val="002272A8"/>
    <w:rsid w:val="002273CD"/>
    <w:rsid w:val="00227D4C"/>
    <w:rsid w:val="002301F7"/>
    <w:rsid w:val="00230A5C"/>
    <w:rsid w:val="0023137C"/>
    <w:rsid w:val="002314C8"/>
    <w:rsid w:val="00231EE1"/>
    <w:rsid w:val="0023205F"/>
    <w:rsid w:val="002326E7"/>
    <w:rsid w:val="00233AA9"/>
    <w:rsid w:val="00234B6C"/>
    <w:rsid w:val="002364D4"/>
    <w:rsid w:val="00236603"/>
    <w:rsid w:val="00236870"/>
    <w:rsid w:val="0023749A"/>
    <w:rsid w:val="00237801"/>
    <w:rsid w:val="002379F1"/>
    <w:rsid w:val="00240F39"/>
    <w:rsid w:val="0024105D"/>
    <w:rsid w:val="002412FC"/>
    <w:rsid w:val="002428C2"/>
    <w:rsid w:val="00243ACE"/>
    <w:rsid w:val="00243E22"/>
    <w:rsid w:val="00244686"/>
    <w:rsid w:val="00244CDB"/>
    <w:rsid w:val="00244F07"/>
    <w:rsid w:val="00245BC3"/>
    <w:rsid w:val="00245E82"/>
    <w:rsid w:val="002477FB"/>
    <w:rsid w:val="00247B0A"/>
    <w:rsid w:val="00250012"/>
    <w:rsid w:val="00250507"/>
    <w:rsid w:val="0025084E"/>
    <w:rsid w:val="00250C8E"/>
    <w:rsid w:val="002522B9"/>
    <w:rsid w:val="00252504"/>
    <w:rsid w:val="00252BBB"/>
    <w:rsid w:val="0025378C"/>
    <w:rsid w:val="00253B20"/>
    <w:rsid w:val="00254176"/>
    <w:rsid w:val="00254618"/>
    <w:rsid w:val="00254CFB"/>
    <w:rsid w:val="002550E9"/>
    <w:rsid w:val="00255EDD"/>
    <w:rsid w:val="0025646B"/>
    <w:rsid w:val="0025655E"/>
    <w:rsid w:val="00256896"/>
    <w:rsid w:val="002569CC"/>
    <w:rsid w:val="00256D62"/>
    <w:rsid w:val="002570A7"/>
    <w:rsid w:val="0025727D"/>
    <w:rsid w:val="00257F8C"/>
    <w:rsid w:val="002617BC"/>
    <w:rsid w:val="00262121"/>
    <w:rsid w:val="00262691"/>
    <w:rsid w:val="00263171"/>
    <w:rsid w:val="002633D5"/>
    <w:rsid w:val="00263C0B"/>
    <w:rsid w:val="00265C84"/>
    <w:rsid w:val="00265DE9"/>
    <w:rsid w:val="0026718C"/>
    <w:rsid w:val="00270545"/>
    <w:rsid w:val="00270E21"/>
    <w:rsid w:val="00270F1A"/>
    <w:rsid w:val="00272A83"/>
    <w:rsid w:val="00273F14"/>
    <w:rsid w:val="00273F60"/>
    <w:rsid w:val="0027475D"/>
    <w:rsid w:val="00274C1B"/>
    <w:rsid w:val="00274D6B"/>
    <w:rsid w:val="002751D4"/>
    <w:rsid w:val="00275384"/>
    <w:rsid w:val="00275DAC"/>
    <w:rsid w:val="00275E4C"/>
    <w:rsid w:val="00276EB3"/>
    <w:rsid w:val="0028081B"/>
    <w:rsid w:val="0028094D"/>
    <w:rsid w:val="00281711"/>
    <w:rsid w:val="00282319"/>
    <w:rsid w:val="00283180"/>
    <w:rsid w:val="00283938"/>
    <w:rsid w:val="002840FE"/>
    <w:rsid w:val="002846CC"/>
    <w:rsid w:val="00284A34"/>
    <w:rsid w:val="0028597E"/>
    <w:rsid w:val="0028650D"/>
    <w:rsid w:val="00286884"/>
    <w:rsid w:val="00286F61"/>
    <w:rsid w:val="0028794B"/>
    <w:rsid w:val="00287CE1"/>
    <w:rsid w:val="002900CF"/>
    <w:rsid w:val="00291522"/>
    <w:rsid w:val="0029157A"/>
    <w:rsid w:val="00291CE6"/>
    <w:rsid w:val="002926EF"/>
    <w:rsid w:val="00292AA3"/>
    <w:rsid w:val="00292B58"/>
    <w:rsid w:val="00292F28"/>
    <w:rsid w:val="00293E71"/>
    <w:rsid w:val="0029421B"/>
    <w:rsid w:val="002946DF"/>
    <w:rsid w:val="00294958"/>
    <w:rsid w:val="00294C28"/>
    <w:rsid w:val="00294EC2"/>
    <w:rsid w:val="002957D7"/>
    <w:rsid w:val="00296543"/>
    <w:rsid w:val="002970D0"/>
    <w:rsid w:val="002971B4"/>
    <w:rsid w:val="002973CD"/>
    <w:rsid w:val="0029753B"/>
    <w:rsid w:val="002979D0"/>
    <w:rsid w:val="00297C5C"/>
    <w:rsid w:val="00297F2C"/>
    <w:rsid w:val="002A037D"/>
    <w:rsid w:val="002A1C44"/>
    <w:rsid w:val="002A2335"/>
    <w:rsid w:val="002A2AA8"/>
    <w:rsid w:val="002A2CE2"/>
    <w:rsid w:val="002A3159"/>
    <w:rsid w:val="002A3AC9"/>
    <w:rsid w:val="002A4746"/>
    <w:rsid w:val="002A50D0"/>
    <w:rsid w:val="002A57A6"/>
    <w:rsid w:val="002A5C7F"/>
    <w:rsid w:val="002A5D6D"/>
    <w:rsid w:val="002A6CDB"/>
    <w:rsid w:val="002A739B"/>
    <w:rsid w:val="002A7669"/>
    <w:rsid w:val="002B07C5"/>
    <w:rsid w:val="002B0989"/>
    <w:rsid w:val="002B0AC7"/>
    <w:rsid w:val="002B1159"/>
    <w:rsid w:val="002B15FF"/>
    <w:rsid w:val="002B1685"/>
    <w:rsid w:val="002B170F"/>
    <w:rsid w:val="002B20BA"/>
    <w:rsid w:val="002B2443"/>
    <w:rsid w:val="002B3127"/>
    <w:rsid w:val="002B3375"/>
    <w:rsid w:val="002B3710"/>
    <w:rsid w:val="002B3F23"/>
    <w:rsid w:val="002B4A14"/>
    <w:rsid w:val="002B4A63"/>
    <w:rsid w:val="002B4D51"/>
    <w:rsid w:val="002B5B0C"/>
    <w:rsid w:val="002B71FF"/>
    <w:rsid w:val="002C01DB"/>
    <w:rsid w:val="002C0AA9"/>
    <w:rsid w:val="002C15D8"/>
    <w:rsid w:val="002C1AE8"/>
    <w:rsid w:val="002C2BD0"/>
    <w:rsid w:val="002C2E80"/>
    <w:rsid w:val="002C3A29"/>
    <w:rsid w:val="002C4EE2"/>
    <w:rsid w:val="002C5C02"/>
    <w:rsid w:val="002C60AC"/>
    <w:rsid w:val="002C64F5"/>
    <w:rsid w:val="002C6945"/>
    <w:rsid w:val="002C74EA"/>
    <w:rsid w:val="002C77E9"/>
    <w:rsid w:val="002C7858"/>
    <w:rsid w:val="002D1229"/>
    <w:rsid w:val="002D1805"/>
    <w:rsid w:val="002D1F57"/>
    <w:rsid w:val="002D243F"/>
    <w:rsid w:val="002D2AF6"/>
    <w:rsid w:val="002D33D7"/>
    <w:rsid w:val="002D353C"/>
    <w:rsid w:val="002D37AD"/>
    <w:rsid w:val="002D3C7A"/>
    <w:rsid w:val="002D3DB4"/>
    <w:rsid w:val="002D5050"/>
    <w:rsid w:val="002D5860"/>
    <w:rsid w:val="002D5ADD"/>
    <w:rsid w:val="002D64B2"/>
    <w:rsid w:val="002D76A1"/>
    <w:rsid w:val="002D78D8"/>
    <w:rsid w:val="002E0CD8"/>
    <w:rsid w:val="002E136B"/>
    <w:rsid w:val="002E14AB"/>
    <w:rsid w:val="002E18F9"/>
    <w:rsid w:val="002E198D"/>
    <w:rsid w:val="002E1E2A"/>
    <w:rsid w:val="002E23D6"/>
    <w:rsid w:val="002E2F22"/>
    <w:rsid w:val="002E300A"/>
    <w:rsid w:val="002E356E"/>
    <w:rsid w:val="002E361E"/>
    <w:rsid w:val="002E4485"/>
    <w:rsid w:val="002E4DDE"/>
    <w:rsid w:val="002E5592"/>
    <w:rsid w:val="002E6431"/>
    <w:rsid w:val="002E716D"/>
    <w:rsid w:val="002E73BB"/>
    <w:rsid w:val="002E7694"/>
    <w:rsid w:val="002F0A00"/>
    <w:rsid w:val="002F2D61"/>
    <w:rsid w:val="002F3375"/>
    <w:rsid w:val="002F3EC0"/>
    <w:rsid w:val="002F4072"/>
    <w:rsid w:val="002F40D5"/>
    <w:rsid w:val="002F4644"/>
    <w:rsid w:val="002F480A"/>
    <w:rsid w:val="002F48C9"/>
    <w:rsid w:val="002F4DCE"/>
    <w:rsid w:val="002F5362"/>
    <w:rsid w:val="002F5769"/>
    <w:rsid w:val="002F6564"/>
    <w:rsid w:val="002F714D"/>
    <w:rsid w:val="002F7D7E"/>
    <w:rsid w:val="002F7EFC"/>
    <w:rsid w:val="0030029C"/>
    <w:rsid w:val="003006F5"/>
    <w:rsid w:val="00301379"/>
    <w:rsid w:val="003016C0"/>
    <w:rsid w:val="003025B3"/>
    <w:rsid w:val="00303D49"/>
    <w:rsid w:val="00304C63"/>
    <w:rsid w:val="00305062"/>
    <w:rsid w:val="00305716"/>
    <w:rsid w:val="00305993"/>
    <w:rsid w:val="0030599A"/>
    <w:rsid w:val="003059E0"/>
    <w:rsid w:val="00306BEC"/>
    <w:rsid w:val="00306F52"/>
    <w:rsid w:val="003070B7"/>
    <w:rsid w:val="00310308"/>
    <w:rsid w:val="0031063D"/>
    <w:rsid w:val="00310C9B"/>
    <w:rsid w:val="0031146B"/>
    <w:rsid w:val="00311C36"/>
    <w:rsid w:val="003134F3"/>
    <w:rsid w:val="00313636"/>
    <w:rsid w:val="0031373E"/>
    <w:rsid w:val="00314127"/>
    <w:rsid w:val="00314785"/>
    <w:rsid w:val="00314C37"/>
    <w:rsid w:val="00315152"/>
    <w:rsid w:val="00315557"/>
    <w:rsid w:val="00315CE4"/>
    <w:rsid w:val="00317282"/>
    <w:rsid w:val="003174AE"/>
    <w:rsid w:val="003178CA"/>
    <w:rsid w:val="00317FA0"/>
    <w:rsid w:val="003201A4"/>
    <w:rsid w:val="003205E7"/>
    <w:rsid w:val="0032092C"/>
    <w:rsid w:val="003211A2"/>
    <w:rsid w:val="0032159E"/>
    <w:rsid w:val="003217B7"/>
    <w:rsid w:val="00321F75"/>
    <w:rsid w:val="003221AC"/>
    <w:rsid w:val="0032282E"/>
    <w:rsid w:val="00322AED"/>
    <w:rsid w:val="003232B8"/>
    <w:rsid w:val="003244C4"/>
    <w:rsid w:val="00324C8D"/>
    <w:rsid w:val="00324F6C"/>
    <w:rsid w:val="0032680D"/>
    <w:rsid w:val="00326D73"/>
    <w:rsid w:val="003276E9"/>
    <w:rsid w:val="0032792C"/>
    <w:rsid w:val="00330180"/>
    <w:rsid w:val="003303E1"/>
    <w:rsid w:val="0033055A"/>
    <w:rsid w:val="0033149E"/>
    <w:rsid w:val="00331B3C"/>
    <w:rsid w:val="00331D54"/>
    <w:rsid w:val="00332585"/>
    <w:rsid w:val="00333801"/>
    <w:rsid w:val="00333E53"/>
    <w:rsid w:val="00334229"/>
    <w:rsid w:val="003342B6"/>
    <w:rsid w:val="00334DE0"/>
    <w:rsid w:val="00334E2F"/>
    <w:rsid w:val="0033620D"/>
    <w:rsid w:val="00336411"/>
    <w:rsid w:val="00337082"/>
    <w:rsid w:val="00337525"/>
    <w:rsid w:val="0034084D"/>
    <w:rsid w:val="00341CB2"/>
    <w:rsid w:val="0034211E"/>
    <w:rsid w:val="00342209"/>
    <w:rsid w:val="00342399"/>
    <w:rsid w:val="003426F5"/>
    <w:rsid w:val="00342A5C"/>
    <w:rsid w:val="00342E95"/>
    <w:rsid w:val="0034372D"/>
    <w:rsid w:val="00343CBF"/>
    <w:rsid w:val="00344076"/>
    <w:rsid w:val="003448CC"/>
    <w:rsid w:val="00344B73"/>
    <w:rsid w:val="003453EB"/>
    <w:rsid w:val="003460FD"/>
    <w:rsid w:val="003463BE"/>
    <w:rsid w:val="00351909"/>
    <w:rsid w:val="003527A4"/>
    <w:rsid w:val="00352B57"/>
    <w:rsid w:val="00352F9F"/>
    <w:rsid w:val="00353496"/>
    <w:rsid w:val="00353A6B"/>
    <w:rsid w:val="00353DCF"/>
    <w:rsid w:val="003548FA"/>
    <w:rsid w:val="00354D84"/>
    <w:rsid w:val="003552D3"/>
    <w:rsid w:val="003558B3"/>
    <w:rsid w:val="00356898"/>
    <w:rsid w:val="00357431"/>
    <w:rsid w:val="00357D67"/>
    <w:rsid w:val="00360B4E"/>
    <w:rsid w:val="00360CAF"/>
    <w:rsid w:val="0036176F"/>
    <w:rsid w:val="0036200E"/>
    <w:rsid w:val="00362C3B"/>
    <w:rsid w:val="0036330C"/>
    <w:rsid w:val="00363672"/>
    <w:rsid w:val="0036462A"/>
    <w:rsid w:val="00364CC7"/>
    <w:rsid w:val="003656D6"/>
    <w:rsid w:val="003657F3"/>
    <w:rsid w:val="00365D2C"/>
    <w:rsid w:val="003669B9"/>
    <w:rsid w:val="00366C85"/>
    <w:rsid w:val="00366D40"/>
    <w:rsid w:val="003679D0"/>
    <w:rsid w:val="003679D4"/>
    <w:rsid w:val="0037022A"/>
    <w:rsid w:val="0037045A"/>
    <w:rsid w:val="003708DF"/>
    <w:rsid w:val="00371309"/>
    <w:rsid w:val="00371A01"/>
    <w:rsid w:val="0037270F"/>
    <w:rsid w:val="003735AF"/>
    <w:rsid w:val="003739D5"/>
    <w:rsid w:val="00373BEF"/>
    <w:rsid w:val="00373ED4"/>
    <w:rsid w:val="0037495E"/>
    <w:rsid w:val="00374B6E"/>
    <w:rsid w:val="0037508C"/>
    <w:rsid w:val="00375376"/>
    <w:rsid w:val="0037623A"/>
    <w:rsid w:val="0037657F"/>
    <w:rsid w:val="003779DC"/>
    <w:rsid w:val="00377B5E"/>
    <w:rsid w:val="00377BAF"/>
    <w:rsid w:val="003801E3"/>
    <w:rsid w:val="00381A5A"/>
    <w:rsid w:val="00382D24"/>
    <w:rsid w:val="003836DA"/>
    <w:rsid w:val="00385397"/>
    <w:rsid w:val="00385539"/>
    <w:rsid w:val="00385898"/>
    <w:rsid w:val="003859E1"/>
    <w:rsid w:val="00385BB3"/>
    <w:rsid w:val="00385C56"/>
    <w:rsid w:val="00385CA0"/>
    <w:rsid w:val="00386938"/>
    <w:rsid w:val="00387CF0"/>
    <w:rsid w:val="0039038C"/>
    <w:rsid w:val="003905C2"/>
    <w:rsid w:val="00390736"/>
    <w:rsid w:val="00390A41"/>
    <w:rsid w:val="00390D41"/>
    <w:rsid w:val="00390F98"/>
    <w:rsid w:val="0039204D"/>
    <w:rsid w:val="0039236D"/>
    <w:rsid w:val="00392B80"/>
    <w:rsid w:val="00392B96"/>
    <w:rsid w:val="00393064"/>
    <w:rsid w:val="00393455"/>
    <w:rsid w:val="00395697"/>
    <w:rsid w:val="00395918"/>
    <w:rsid w:val="00395AB6"/>
    <w:rsid w:val="0039602C"/>
    <w:rsid w:val="00396048"/>
    <w:rsid w:val="003961AA"/>
    <w:rsid w:val="0039626F"/>
    <w:rsid w:val="003968A9"/>
    <w:rsid w:val="003972AF"/>
    <w:rsid w:val="003A0015"/>
    <w:rsid w:val="003A0070"/>
    <w:rsid w:val="003A0104"/>
    <w:rsid w:val="003A021B"/>
    <w:rsid w:val="003A055D"/>
    <w:rsid w:val="003A0628"/>
    <w:rsid w:val="003A1928"/>
    <w:rsid w:val="003A2B68"/>
    <w:rsid w:val="003A2BC6"/>
    <w:rsid w:val="003A333D"/>
    <w:rsid w:val="003A3A1F"/>
    <w:rsid w:val="003A40A4"/>
    <w:rsid w:val="003A4392"/>
    <w:rsid w:val="003A4624"/>
    <w:rsid w:val="003A5FCC"/>
    <w:rsid w:val="003A61EE"/>
    <w:rsid w:val="003A761C"/>
    <w:rsid w:val="003A780A"/>
    <w:rsid w:val="003B0332"/>
    <w:rsid w:val="003B04D2"/>
    <w:rsid w:val="003B0830"/>
    <w:rsid w:val="003B0C66"/>
    <w:rsid w:val="003B18C2"/>
    <w:rsid w:val="003B3122"/>
    <w:rsid w:val="003B3D67"/>
    <w:rsid w:val="003B3E15"/>
    <w:rsid w:val="003B40EA"/>
    <w:rsid w:val="003B4532"/>
    <w:rsid w:val="003B62B3"/>
    <w:rsid w:val="003B670F"/>
    <w:rsid w:val="003B7F2D"/>
    <w:rsid w:val="003C027C"/>
    <w:rsid w:val="003C04DC"/>
    <w:rsid w:val="003C09F7"/>
    <w:rsid w:val="003C1275"/>
    <w:rsid w:val="003C13D0"/>
    <w:rsid w:val="003C1801"/>
    <w:rsid w:val="003C20DB"/>
    <w:rsid w:val="003C21E0"/>
    <w:rsid w:val="003C280D"/>
    <w:rsid w:val="003C288B"/>
    <w:rsid w:val="003C3BAA"/>
    <w:rsid w:val="003C3E12"/>
    <w:rsid w:val="003C4999"/>
    <w:rsid w:val="003C53EB"/>
    <w:rsid w:val="003C54C0"/>
    <w:rsid w:val="003C64C8"/>
    <w:rsid w:val="003C67F6"/>
    <w:rsid w:val="003C7215"/>
    <w:rsid w:val="003C78B7"/>
    <w:rsid w:val="003C7C2A"/>
    <w:rsid w:val="003D06C2"/>
    <w:rsid w:val="003D11C8"/>
    <w:rsid w:val="003D1697"/>
    <w:rsid w:val="003D1E4B"/>
    <w:rsid w:val="003D1E87"/>
    <w:rsid w:val="003D1FEB"/>
    <w:rsid w:val="003D47BE"/>
    <w:rsid w:val="003D47DE"/>
    <w:rsid w:val="003D4919"/>
    <w:rsid w:val="003D4A92"/>
    <w:rsid w:val="003D4C85"/>
    <w:rsid w:val="003D5892"/>
    <w:rsid w:val="003D5D44"/>
    <w:rsid w:val="003D65AE"/>
    <w:rsid w:val="003D660B"/>
    <w:rsid w:val="003D6914"/>
    <w:rsid w:val="003D6BE2"/>
    <w:rsid w:val="003D7FD8"/>
    <w:rsid w:val="003E038A"/>
    <w:rsid w:val="003E0D77"/>
    <w:rsid w:val="003E1399"/>
    <w:rsid w:val="003E1402"/>
    <w:rsid w:val="003E156D"/>
    <w:rsid w:val="003E189E"/>
    <w:rsid w:val="003E1B3C"/>
    <w:rsid w:val="003E1E45"/>
    <w:rsid w:val="003E280E"/>
    <w:rsid w:val="003E3EC3"/>
    <w:rsid w:val="003E4A95"/>
    <w:rsid w:val="003E53CB"/>
    <w:rsid w:val="003E67B8"/>
    <w:rsid w:val="003E7496"/>
    <w:rsid w:val="003E7559"/>
    <w:rsid w:val="003E75FA"/>
    <w:rsid w:val="003E780B"/>
    <w:rsid w:val="003E7AC3"/>
    <w:rsid w:val="003F02E9"/>
    <w:rsid w:val="003F06BA"/>
    <w:rsid w:val="003F10EE"/>
    <w:rsid w:val="003F1BC7"/>
    <w:rsid w:val="003F276C"/>
    <w:rsid w:val="003F38C3"/>
    <w:rsid w:val="003F4247"/>
    <w:rsid w:val="003F528F"/>
    <w:rsid w:val="003F54EB"/>
    <w:rsid w:val="003F5784"/>
    <w:rsid w:val="003F61A7"/>
    <w:rsid w:val="003F6652"/>
    <w:rsid w:val="003F6715"/>
    <w:rsid w:val="0040074A"/>
    <w:rsid w:val="004008AA"/>
    <w:rsid w:val="00400C32"/>
    <w:rsid w:val="00402257"/>
    <w:rsid w:val="00402CDE"/>
    <w:rsid w:val="00403400"/>
    <w:rsid w:val="00403640"/>
    <w:rsid w:val="004043EE"/>
    <w:rsid w:val="004046EC"/>
    <w:rsid w:val="0040478D"/>
    <w:rsid w:val="004064D6"/>
    <w:rsid w:val="00407A83"/>
    <w:rsid w:val="004101F3"/>
    <w:rsid w:val="00410900"/>
    <w:rsid w:val="00410936"/>
    <w:rsid w:val="00410FA6"/>
    <w:rsid w:val="0041112D"/>
    <w:rsid w:val="00411336"/>
    <w:rsid w:val="00411A1F"/>
    <w:rsid w:val="0041246A"/>
    <w:rsid w:val="00412701"/>
    <w:rsid w:val="00412E38"/>
    <w:rsid w:val="00412E5E"/>
    <w:rsid w:val="004133D3"/>
    <w:rsid w:val="00413971"/>
    <w:rsid w:val="00413F6C"/>
    <w:rsid w:val="0041403A"/>
    <w:rsid w:val="0041478E"/>
    <w:rsid w:val="004147E2"/>
    <w:rsid w:val="00414CDE"/>
    <w:rsid w:val="0041539A"/>
    <w:rsid w:val="004155E3"/>
    <w:rsid w:val="00415762"/>
    <w:rsid w:val="0041598C"/>
    <w:rsid w:val="00415FF8"/>
    <w:rsid w:val="00416FCD"/>
    <w:rsid w:val="00417603"/>
    <w:rsid w:val="004179E8"/>
    <w:rsid w:val="004207A2"/>
    <w:rsid w:val="00420BBF"/>
    <w:rsid w:val="00422A42"/>
    <w:rsid w:val="00422BC2"/>
    <w:rsid w:val="00423449"/>
    <w:rsid w:val="0042361E"/>
    <w:rsid w:val="00423BAB"/>
    <w:rsid w:val="00425DB3"/>
    <w:rsid w:val="00426707"/>
    <w:rsid w:val="00426CCA"/>
    <w:rsid w:val="004271A6"/>
    <w:rsid w:val="0042734A"/>
    <w:rsid w:val="0042735A"/>
    <w:rsid w:val="0042791D"/>
    <w:rsid w:val="00427F25"/>
    <w:rsid w:val="004314BA"/>
    <w:rsid w:val="00431ADD"/>
    <w:rsid w:val="00432C46"/>
    <w:rsid w:val="00433C10"/>
    <w:rsid w:val="00433FF4"/>
    <w:rsid w:val="004354FE"/>
    <w:rsid w:val="004355D0"/>
    <w:rsid w:val="00436432"/>
    <w:rsid w:val="00436B40"/>
    <w:rsid w:val="00436FFA"/>
    <w:rsid w:val="00437A55"/>
    <w:rsid w:val="00440AA6"/>
    <w:rsid w:val="00440DF1"/>
    <w:rsid w:val="004411A8"/>
    <w:rsid w:val="00441497"/>
    <w:rsid w:val="0044184B"/>
    <w:rsid w:val="00441CE4"/>
    <w:rsid w:val="00442310"/>
    <w:rsid w:val="0044249A"/>
    <w:rsid w:val="004444F5"/>
    <w:rsid w:val="004453F2"/>
    <w:rsid w:val="00445610"/>
    <w:rsid w:val="00445803"/>
    <w:rsid w:val="00446451"/>
    <w:rsid w:val="00447475"/>
    <w:rsid w:val="004475F5"/>
    <w:rsid w:val="004502B7"/>
    <w:rsid w:val="004502CA"/>
    <w:rsid w:val="00451C0C"/>
    <w:rsid w:val="00451DB6"/>
    <w:rsid w:val="00451EA9"/>
    <w:rsid w:val="0045341A"/>
    <w:rsid w:val="004555CB"/>
    <w:rsid w:val="0045582D"/>
    <w:rsid w:val="00455EAF"/>
    <w:rsid w:val="004564C8"/>
    <w:rsid w:val="004576C6"/>
    <w:rsid w:val="004578F4"/>
    <w:rsid w:val="00457E58"/>
    <w:rsid w:val="00457EB5"/>
    <w:rsid w:val="00457ECA"/>
    <w:rsid w:val="004608BF"/>
    <w:rsid w:val="00460C13"/>
    <w:rsid w:val="00461977"/>
    <w:rsid w:val="004629E2"/>
    <w:rsid w:val="00462B5C"/>
    <w:rsid w:val="004635B9"/>
    <w:rsid w:val="0046413D"/>
    <w:rsid w:val="00464ABA"/>
    <w:rsid w:val="00464C90"/>
    <w:rsid w:val="00464E36"/>
    <w:rsid w:val="004653D1"/>
    <w:rsid w:val="00465EEF"/>
    <w:rsid w:val="0046628D"/>
    <w:rsid w:val="00467386"/>
    <w:rsid w:val="00467611"/>
    <w:rsid w:val="00470220"/>
    <w:rsid w:val="0047258B"/>
    <w:rsid w:val="00472BB3"/>
    <w:rsid w:val="00472FB8"/>
    <w:rsid w:val="00472FEF"/>
    <w:rsid w:val="00474E49"/>
    <w:rsid w:val="00475A37"/>
    <w:rsid w:val="00475C0F"/>
    <w:rsid w:val="00477924"/>
    <w:rsid w:val="004779B8"/>
    <w:rsid w:val="0048070D"/>
    <w:rsid w:val="004809BA"/>
    <w:rsid w:val="004810F3"/>
    <w:rsid w:val="00482949"/>
    <w:rsid w:val="00482A8C"/>
    <w:rsid w:val="00483113"/>
    <w:rsid w:val="004843F7"/>
    <w:rsid w:val="004846C8"/>
    <w:rsid w:val="00484AFB"/>
    <w:rsid w:val="004851B4"/>
    <w:rsid w:val="00485B5A"/>
    <w:rsid w:val="00486437"/>
    <w:rsid w:val="004869AE"/>
    <w:rsid w:val="004874DC"/>
    <w:rsid w:val="0049017D"/>
    <w:rsid w:val="004905AF"/>
    <w:rsid w:val="004907F6"/>
    <w:rsid w:val="00490A49"/>
    <w:rsid w:val="00490B5E"/>
    <w:rsid w:val="0049124C"/>
    <w:rsid w:val="004914AC"/>
    <w:rsid w:val="00491668"/>
    <w:rsid w:val="0049280B"/>
    <w:rsid w:val="00492A86"/>
    <w:rsid w:val="00493199"/>
    <w:rsid w:val="004939A9"/>
    <w:rsid w:val="00493E66"/>
    <w:rsid w:val="00494430"/>
    <w:rsid w:val="0049460F"/>
    <w:rsid w:val="00495326"/>
    <w:rsid w:val="00496AB0"/>
    <w:rsid w:val="0049756C"/>
    <w:rsid w:val="00497DF3"/>
    <w:rsid w:val="004A0194"/>
    <w:rsid w:val="004A09FE"/>
    <w:rsid w:val="004A1379"/>
    <w:rsid w:val="004A13B6"/>
    <w:rsid w:val="004A14D6"/>
    <w:rsid w:val="004A14F5"/>
    <w:rsid w:val="004A1666"/>
    <w:rsid w:val="004A1D8A"/>
    <w:rsid w:val="004A1E24"/>
    <w:rsid w:val="004A233B"/>
    <w:rsid w:val="004A233E"/>
    <w:rsid w:val="004A2F3F"/>
    <w:rsid w:val="004A3795"/>
    <w:rsid w:val="004A3899"/>
    <w:rsid w:val="004A399B"/>
    <w:rsid w:val="004A39FA"/>
    <w:rsid w:val="004A45FA"/>
    <w:rsid w:val="004A6803"/>
    <w:rsid w:val="004A7449"/>
    <w:rsid w:val="004A7E82"/>
    <w:rsid w:val="004B066A"/>
    <w:rsid w:val="004B0D93"/>
    <w:rsid w:val="004B0E25"/>
    <w:rsid w:val="004B3406"/>
    <w:rsid w:val="004B3B0C"/>
    <w:rsid w:val="004B413F"/>
    <w:rsid w:val="004B499B"/>
    <w:rsid w:val="004B5B6F"/>
    <w:rsid w:val="004B5D3E"/>
    <w:rsid w:val="004B695B"/>
    <w:rsid w:val="004B7E42"/>
    <w:rsid w:val="004C034D"/>
    <w:rsid w:val="004C07CE"/>
    <w:rsid w:val="004C14D5"/>
    <w:rsid w:val="004C1A6B"/>
    <w:rsid w:val="004C223C"/>
    <w:rsid w:val="004C2F41"/>
    <w:rsid w:val="004C304A"/>
    <w:rsid w:val="004C3225"/>
    <w:rsid w:val="004C3B31"/>
    <w:rsid w:val="004C43B4"/>
    <w:rsid w:val="004C47A8"/>
    <w:rsid w:val="004C5AC3"/>
    <w:rsid w:val="004C5C5C"/>
    <w:rsid w:val="004C67AE"/>
    <w:rsid w:val="004C69CF"/>
    <w:rsid w:val="004C708E"/>
    <w:rsid w:val="004C7230"/>
    <w:rsid w:val="004C7294"/>
    <w:rsid w:val="004D05CD"/>
    <w:rsid w:val="004D12EB"/>
    <w:rsid w:val="004D1436"/>
    <w:rsid w:val="004D1829"/>
    <w:rsid w:val="004D1CB2"/>
    <w:rsid w:val="004D2AD0"/>
    <w:rsid w:val="004D2F7F"/>
    <w:rsid w:val="004D33DF"/>
    <w:rsid w:val="004D34B8"/>
    <w:rsid w:val="004D4D02"/>
    <w:rsid w:val="004D5EB2"/>
    <w:rsid w:val="004D6F70"/>
    <w:rsid w:val="004D73B9"/>
    <w:rsid w:val="004D7968"/>
    <w:rsid w:val="004E038C"/>
    <w:rsid w:val="004E107D"/>
    <w:rsid w:val="004E1481"/>
    <w:rsid w:val="004E1DC0"/>
    <w:rsid w:val="004E2FE3"/>
    <w:rsid w:val="004E3FA7"/>
    <w:rsid w:val="004E42AF"/>
    <w:rsid w:val="004E43D2"/>
    <w:rsid w:val="004E5505"/>
    <w:rsid w:val="004E5994"/>
    <w:rsid w:val="004E63E7"/>
    <w:rsid w:val="004E6F7B"/>
    <w:rsid w:val="004E6FFF"/>
    <w:rsid w:val="004E7471"/>
    <w:rsid w:val="004F046C"/>
    <w:rsid w:val="004F0AB4"/>
    <w:rsid w:val="004F0AD2"/>
    <w:rsid w:val="004F1390"/>
    <w:rsid w:val="004F1ADE"/>
    <w:rsid w:val="004F1D38"/>
    <w:rsid w:val="004F2869"/>
    <w:rsid w:val="004F2ECE"/>
    <w:rsid w:val="004F2F7E"/>
    <w:rsid w:val="004F4E2F"/>
    <w:rsid w:val="004F517E"/>
    <w:rsid w:val="004F6248"/>
    <w:rsid w:val="004F65AD"/>
    <w:rsid w:val="004F6664"/>
    <w:rsid w:val="005003E8"/>
    <w:rsid w:val="005013C4"/>
    <w:rsid w:val="00502216"/>
    <w:rsid w:val="00502661"/>
    <w:rsid w:val="00502948"/>
    <w:rsid w:val="00502FD5"/>
    <w:rsid w:val="0050387D"/>
    <w:rsid w:val="00503E42"/>
    <w:rsid w:val="00504161"/>
    <w:rsid w:val="00504D3B"/>
    <w:rsid w:val="00505603"/>
    <w:rsid w:val="00505E1B"/>
    <w:rsid w:val="0050676A"/>
    <w:rsid w:val="00507657"/>
    <w:rsid w:val="0051017A"/>
    <w:rsid w:val="0051086C"/>
    <w:rsid w:val="00511680"/>
    <w:rsid w:val="005118B4"/>
    <w:rsid w:val="00511D7A"/>
    <w:rsid w:val="00511FAC"/>
    <w:rsid w:val="00512913"/>
    <w:rsid w:val="00512944"/>
    <w:rsid w:val="00512A98"/>
    <w:rsid w:val="00512AD6"/>
    <w:rsid w:val="00513627"/>
    <w:rsid w:val="0051389A"/>
    <w:rsid w:val="00513D75"/>
    <w:rsid w:val="00513E97"/>
    <w:rsid w:val="005158BF"/>
    <w:rsid w:val="0051595F"/>
    <w:rsid w:val="00516045"/>
    <w:rsid w:val="005161D4"/>
    <w:rsid w:val="00517596"/>
    <w:rsid w:val="00517A83"/>
    <w:rsid w:val="00517C6A"/>
    <w:rsid w:val="0052018D"/>
    <w:rsid w:val="00520260"/>
    <w:rsid w:val="00520814"/>
    <w:rsid w:val="00520905"/>
    <w:rsid w:val="00520AE4"/>
    <w:rsid w:val="005214BB"/>
    <w:rsid w:val="00522167"/>
    <w:rsid w:val="0052251C"/>
    <w:rsid w:val="005226E9"/>
    <w:rsid w:val="00522E9F"/>
    <w:rsid w:val="005238B3"/>
    <w:rsid w:val="00523E89"/>
    <w:rsid w:val="00523EF7"/>
    <w:rsid w:val="00523F6D"/>
    <w:rsid w:val="00524ABC"/>
    <w:rsid w:val="005250FD"/>
    <w:rsid w:val="0052632C"/>
    <w:rsid w:val="0052654E"/>
    <w:rsid w:val="00526688"/>
    <w:rsid w:val="00527423"/>
    <w:rsid w:val="00531D11"/>
    <w:rsid w:val="00531FE3"/>
    <w:rsid w:val="00532D23"/>
    <w:rsid w:val="00532FED"/>
    <w:rsid w:val="0053318F"/>
    <w:rsid w:val="00533CE0"/>
    <w:rsid w:val="00534D97"/>
    <w:rsid w:val="00534F5D"/>
    <w:rsid w:val="005352BD"/>
    <w:rsid w:val="0053604D"/>
    <w:rsid w:val="00536474"/>
    <w:rsid w:val="0053711D"/>
    <w:rsid w:val="00537343"/>
    <w:rsid w:val="00537442"/>
    <w:rsid w:val="00540756"/>
    <w:rsid w:val="005407F5"/>
    <w:rsid w:val="00540A64"/>
    <w:rsid w:val="00540CE5"/>
    <w:rsid w:val="00541750"/>
    <w:rsid w:val="00541FBC"/>
    <w:rsid w:val="0054223E"/>
    <w:rsid w:val="005422E0"/>
    <w:rsid w:val="00542ABA"/>
    <w:rsid w:val="00542D02"/>
    <w:rsid w:val="0054362A"/>
    <w:rsid w:val="0054505C"/>
    <w:rsid w:val="005452DC"/>
    <w:rsid w:val="005455AD"/>
    <w:rsid w:val="0054614E"/>
    <w:rsid w:val="005461F4"/>
    <w:rsid w:val="005473BF"/>
    <w:rsid w:val="0055080F"/>
    <w:rsid w:val="0055098A"/>
    <w:rsid w:val="00551212"/>
    <w:rsid w:val="00551B2B"/>
    <w:rsid w:val="005528D5"/>
    <w:rsid w:val="00552C12"/>
    <w:rsid w:val="00553269"/>
    <w:rsid w:val="00553F3A"/>
    <w:rsid w:val="0055446B"/>
    <w:rsid w:val="005546A2"/>
    <w:rsid w:val="005577F7"/>
    <w:rsid w:val="00560644"/>
    <w:rsid w:val="005606A2"/>
    <w:rsid w:val="00561FCA"/>
    <w:rsid w:val="00562796"/>
    <w:rsid w:val="00562C5B"/>
    <w:rsid w:val="00562F94"/>
    <w:rsid w:val="005635EF"/>
    <w:rsid w:val="005637B0"/>
    <w:rsid w:val="00563E94"/>
    <w:rsid w:val="00563EFA"/>
    <w:rsid w:val="00564A0D"/>
    <w:rsid w:val="00564AAC"/>
    <w:rsid w:val="005664F4"/>
    <w:rsid w:val="00566C97"/>
    <w:rsid w:val="00566CC2"/>
    <w:rsid w:val="00567735"/>
    <w:rsid w:val="00567B47"/>
    <w:rsid w:val="00567BE9"/>
    <w:rsid w:val="00570379"/>
    <w:rsid w:val="00570600"/>
    <w:rsid w:val="00570D09"/>
    <w:rsid w:val="00571B11"/>
    <w:rsid w:val="00571F78"/>
    <w:rsid w:val="00573FBB"/>
    <w:rsid w:val="00574092"/>
    <w:rsid w:val="005747DE"/>
    <w:rsid w:val="00574CF4"/>
    <w:rsid w:val="00575205"/>
    <w:rsid w:val="00575A04"/>
    <w:rsid w:val="00575E77"/>
    <w:rsid w:val="00575E96"/>
    <w:rsid w:val="00575FCB"/>
    <w:rsid w:val="005771BE"/>
    <w:rsid w:val="00580430"/>
    <w:rsid w:val="00580501"/>
    <w:rsid w:val="00581B48"/>
    <w:rsid w:val="005823EF"/>
    <w:rsid w:val="005827B3"/>
    <w:rsid w:val="005836C6"/>
    <w:rsid w:val="00583B83"/>
    <w:rsid w:val="00583D05"/>
    <w:rsid w:val="00583ED3"/>
    <w:rsid w:val="00583FDE"/>
    <w:rsid w:val="0058420D"/>
    <w:rsid w:val="00584509"/>
    <w:rsid w:val="00584DF5"/>
    <w:rsid w:val="00585168"/>
    <w:rsid w:val="00585185"/>
    <w:rsid w:val="00586059"/>
    <w:rsid w:val="005862B0"/>
    <w:rsid w:val="0058697C"/>
    <w:rsid w:val="00586F71"/>
    <w:rsid w:val="005901B1"/>
    <w:rsid w:val="00590F77"/>
    <w:rsid w:val="0059105D"/>
    <w:rsid w:val="0059178A"/>
    <w:rsid w:val="00591D2C"/>
    <w:rsid w:val="00591D65"/>
    <w:rsid w:val="00591E35"/>
    <w:rsid w:val="0059243D"/>
    <w:rsid w:val="00592A94"/>
    <w:rsid w:val="00593388"/>
    <w:rsid w:val="00593821"/>
    <w:rsid w:val="00593A2C"/>
    <w:rsid w:val="00594F2A"/>
    <w:rsid w:val="00595034"/>
    <w:rsid w:val="005969F4"/>
    <w:rsid w:val="00596F75"/>
    <w:rsid w:val="005A104B"/>
    <w:rsid w:val="005A1248"/>
    <w:rsid w:val="005A1FAB"/>
    <w:rsid w:val="005A2B44"/>
    <w:rsid w:val="005A2B7F"/>
    <w:rsid w:val="005A3160"/>
    <w:rsid w:val="005A3A61"/>
    <w:rsid w:val="005A4539"/>
    <w:rsid w:val="005A458E"/>
    <w:rsid w:val="005A4906"/>
    <w:rsid w:val="005A4C49"/>
    <w:rsid w:val="005A4D5B"/>
    <w:rsid w:val="005A63A2"/>
    <w:rsid w:val="005A757D"/>
    <w:rsid w:val="005B0076"/>
    <w:rsid w:val="005B0233"/>
    <w:rsid w:val="005B0342"/>
    <w:rsid w:val="005B05BD"/>
    <w:rsid w:val="005B14A4"/>
    <w:rsid w:val="005B14FF"/>
    <w:rsid w:val="005B2022"/>
    <w:rsid w:val="005B39B4"/>
    <w:rsid w:val="005B420A"/>
    <w:rsid w:val="005B440D"/>
    <w:rsid w:val="005B47F1"/>
    <w:rsid w:val="005B5D9B"/>
    <w:rsid w:val="005B672F"/>
    <w:rsid w:val="005B6B30"/>
    <w:rsid w:val="005B7343"/>
    <w:rsid w:val="005C05CD"/>
    <w:rsid w:val="005C08D8"/>
    <w:rsid w:val="005C23D2"/>
    <w:rsid w:val="005C30E6"/>
    <w:rsid w:val="005C3686"/>
    <w:rsid w:val="005C36B0"/>
    <w:rsid w:val="005C427C"/>
    <w:rsid w:val="005C518F"/>
    <w:rsid w:val="005C5524"/>
    <w:rsid w:val="005C5760"/>
    <w:rsid w:val="005C5AF0"/>
    <w:rsid w:val="005C5B49"/>
    <w:rsid w:val="005C6625"/>
    <w:rsid w:val="005C6738"/>
    <w:rsid w:val="005C6C71"/>
    <w:rsid w:val="005C6D0A"/>
    <w:rsid w:val="005C7475"/>
    <w:rsid w:val="005D0018"/>
    <w:rsid w:val="005D0102"/>
    <w:rsid w:val="005D05CD"/>
    <w:rsid w:val="005D14CE"/>
    <w:rsid w:val="005D218B"/>
    <w:rsid w:val="005D2DA7"/>
    <w:rsid w:val="005D316E"/>
    <w:rsid w:val="005D3D64"/>
    <w:rsid w:val="005D46AC"/>
    <w:rsid w:val="005D6171"/>
    <w:rsid w:val="005D63B4"/>
    <w:rsid w:val="005D66F9"/>
    <w:rsid w:val="005D7168"/>
    <w:rsid w:val="005D7AF8"/>
    <w:rsid w:val="005E02BB"/>
    <w:rsid w:val="005E2435"/>
    <w:rsid w:val="005E2CFA"/>
    <w:rsid w:val="005E30DF"/>
    <w:rsid w:val="005E32B9"/>
    <w:rsid w:val="005E436D"/>
    <w:rsid w:val="005E43E9"/>
    <w:rsid w:val="005E4567"/>
    <w:rsid w:val="005E4BCE"/>
    <w:rsid w:val="005E4ED5"/>
    <w:rsid w:val="005E5BF9"/>
    <w:rsid w:val="005E620B"/>
    <w:rsid w:val="005E6886"/>
    <w:rsid w:val="005E6C1E"/>
    <w:rsid w:val="005F02E7"/>
    <w:rsid w:val="005F07D0"/>
    <w:rsid w:val="005F0845"/>
    <w:rsid w:val="005F19DD"/>
    <w:rsid w:val="005F27DD"/>
    <w:rsid w:val="005F28CD"/>
    <w:rsid w:val="005F35D6"/>
    <w:rsid w:val="005F364F"/>
    <w:rsid w:val="005F3CF8"/>
    <w:rsid w:val="005F3D07"/>
    <w:rsid w:val="005F435C"/>
    <w:rsid w:val="005F51A1"/>
    <w:rsid w:val="005F5647"/>
    <w:rsid w:val="005F5A1F"/>
    <w:rsid w:val="005F5ED1"/>
    <w:rsid w:val="005F7987"/>
    <w:rsid w:val="006009EA"/>
    <w:rsid w:val="0060119A"/>
    <w:rsid w:val="006015A6"/>
    <w:rsid w:val="00602118"/>
    <w:rsid w:val="00602AA4"/>
    <w:rsid w:val="0060319A"/>
    <w:rsid w:val="006034B3"/>
    <w:rsid w:val="00603FA4"/>
    <w:rsid w:val="006043B0"/>
    <w:rsid w:val="00604496"/>
    <w:rsid w:val="00604886"/>
    <w:rsid w:val="00604B2C"/>
    <w:rsid w:val="006050C3"/>
    <w:rsid w:val="0060553A"/>
    <w:rsid w:val="0060580F"/>
    <w:rsid w:val="00605F96"/>
    <w:rsid w:val="006105DE"/>
    <w:rsid w:val="00610A95"/>
    <w:rsid w:val="00610FE1"/>
    <w:rsid w:val="00611F05"/>
    <w:rsid w:val="0061212D"/>
    <w:rsid w:val="00612428"/>
    <w:rsid w:val="00612952"/>
    <w:rsid w:val="00613D5A"/>
    <w:rsid w:val="006149B0"/>
    <w:rsid w:val="00614C0D"/>
    <w:rsid w:val="00614D94"/>
    <w:rsid w:val="00615F88"/>
    <w:rsid w:val="00617B3F"/>
    <w:rsid w:val="00620538"/>
    <w:rsid w:val="00620E42"/>
    <w:rsid w:val="00622453"/>
    <w:rsid w:val="0062279B"/>
    <w:rsid w:val="00622E8E"/>
    <w:rsid w:val="00623047"/>
    <w:rsid w:val="006237CB"/>
    <w:rsid w:val="00623F6F"/>
    <w:rsid w:val="0062442E"/>
    <w:rsid w:val="006247F6"/>
    <w:rsid w:val="00624BEF"/>
    <w:rsid w:val="0062529F"/>
    <w:rsid w:val="006252D6"/>
    <w:rsid w:val="006253D4"/>
    <w:rsid w:val="006256D2"/>
    <w:rsid w:val="00625B45"/>
    <w:rsid w:val="00625B84"/>
    <w:rsid w:val="006261D8"/>
    <w:rsid w:val="0062685F"/>
    <w:rsid w:val="00626D6E"/>
    <w:rsid w:val="0062741B"/>
    <w:rsid w:val="00630113"/>
    <w:rsid w:val="00630335"/>
    <w:rsid w:val="0063089B"/>
    <w:rsid w:val="00631893"/>
    <w:rsid w:val="00632217"/>
    <w:rsid w:val="00632E4E"/>
    <w:rsid w:val="006332FD"/>
    <w:rsid w:val="0063385F"/>
    <w:rsid w:val="00634A87"/>
    <w:rsid w:val="00634C6D"/>
    <w:rsid w:val="0063537E"/>
    <w:rsid w:val="00635753"/>
    <w:rsid w:val="00636C53"/>
    <w:rsid w:val="006376D9"/>
    <w:rsid w:val="006405E5"/>
    <w:rsid w:val="006405F9"/>
    <w:rsid w:val="00640959"/>
    <w:rsid w:val="00641708"/>
    <w:rsid w:val="00641CAD"/>
    <w:rsid w:val="00642048"/>
    <w:rsid w:val="0064241D"/>
    <w:rsid w:val="00642C71"/>
    <w:rsid w:val="00642DD4"/>
    <w:rsid w:val="00642F8B"/>
    <w:rsid w:val="0064300C"/>
    <w:rsid w:val="0064389F"/>
    <w:rsid w:val="006438D7"/>
    <w:rsid w:val="00643D53"/>
    <w:rsid w:val="006441E6"/>
    <w:rsid w:val="006443EB"/>
    <w:rsid w:val="006456B3"/>
    <w:rsid w:val="00646879"/>
    <w:rsid w:val="0064706F"/>
    <w:rsid w:val="006477B2"/>
    <w:rsid w:val="00647E5C"/>
    <w:rsid w:val="00650D45"/>
    <w:rsid w:val="0065105D"/>
    <w:rsid w:val="0065144E"/>
    <w:rsid w:val="00651D85"/>
    <w:rsid w:val="00652131"/>
    <w:rsid w:val="006523A3"/>
    <w:rsid w:val="00652E55"/>
    <w:rsid w:val="006546B5"/>
    <w:rsid w:val="00654929"/>
    <w:rsid w:val="00655436"/>
    <w:rsid w:val="006554BC"/>
    <w:rsid w:val="00655BB8"/>
    <w:rsid w:val="006564E1"/>
    <w:rsid w:val="006612F5"/>
    <w:rsid w:val="00661DE2"/>
    <w:rsid w:val="00661E2E"/>
    <w:rsid w:val="0066279D"/>
    <w:rsid w:val="00664CA7"/>
    <w:rsid w:val="006662EB"/>
    <w:rsid w:val="00666CCD"/>
    <w:rsid w:val="006670DB"/>
    <w:rsid w:val="006701B3"/>
    <w:rsid w:val="00670586"/>
    <w:rsid w:val="006714A2"/>
    <w:rsid w:val="006718A4"/>
    <w:rsid w:val="00672369"/>
    <w:rsid w:val="00672628"/>
    <w:rsid w:val="0067273C"/>
    <w:rsid w:val="0067394D"/>
    <w:rsid w:val="00674314"/>
    <w:rsid w:val="00674488"/>
    <w:rsid w:val="00674C20"/>
    <w:rsid w:val="00675105"/>
    <w:rsid w:val="006753F9"/>
    <w:rsid w:val="006757E1"/>
    <w:rsid w:val="006760A6"/>
    <w:rsid w:val="00676E8F"/>
    <w:rsid w:val="00677459"/>
    <w:rsid w:val="00677BF7"/>
    <w:rsid w:val="00681226"/>
    <w:rsid w:val="00682902"/>
    <w:rsid w:val="00682E1B"/>
    <w:rsid w:val="00682E43"/>
    <w:rsid w:val="00683054"/>
    <w:rsid w:val="00683D20"/>
    <w:rsid w:val="006840DE"/>
    <w:rsid w:val="0068511C"/>
    <w:rsid w:val="00685C82"/>
    <w:rsid w:val="00685EC2"/>
    <w:rsid w:val="00686C73"/>
    <w:rsid w:val="00686CF7"/>
    <w:rsid w:val="006875FE"/>
    <w:rsid w:val="006901B1"/>
    <w:rsid w:val="00690620"/>
    <w:rsid w:val="00690A38"/>
    <w:rsid w:val="00691753"/>
    <w:rsid w:val="00692611"/>
    <w:rsid w:val="006926B1"/>
    <w:rsid w:val="00692EB9"/>
    <w:rsid w:val="00692F9D"/>
    <w:rsid w:val="00693142"/>
    <w:rsid w:val="00694664"/>
    <w:rsid w:val="00694D5A"/>
    <w:rsid w:val="00694DB6"/>
    <w:rsid w:val="00694FE7"/>
    <w:rsid w:val="0069527F"/>
    <w:rsid w:val="006954CC"/>
    <w:rsid w:val="0069577A"/>
    <w:rsid w:val="0069621B"/>
    <w:rsid w:val="00696EBC"/>
    <w:rsid w:val="00696F47"/>
    <w:rsid w:val="006A0EAD"/>
    <w:rsid w:val="006A16AD"/>
    <w:rsid w:val="006A19D0"/>
    <w:rsid w:val="006A254E"/>
    <w:rsid w:val="006A29A9"/>
    <w:rsid w:val="006A2CAA"/>
    <w:rsid w:val="006A2DCD"/>
    <w:rsid w:val="006A3113"/>
    <w:rsid w:val="006A3243"/>
    <w:rsid w:val="006A3D32"/>
    <w:rsid w:val="006A3F40"/>
    <w:rsid w:val="006A546E"/>
    <w:rsid w:val="006A5DB9"/>
    <w:rsid w:val="006A5F01"/>
    <w:rsid w:val="006A6F83"/>
    <w:rsid w:val="006A7341"/>
    <w:rsid w:val="006A7595"/>
    <w:rsid w:val="006B08F2"/>
    <w:rsid w:val="006B0DF8"/>
    <w:rsid w:val="006B243F"/>
    <w:rsid w:val="006B2E3E"/>
    <w:rsid w:val="006B37A9"/>
    <w:rsid w:val="006B4405"/>
    <w:rsid w:val="006B447A"/>
    <w:rsid w:val="006B4671"/>
    <w:rsid w:val="006B4681"/>
    <w:rsid w:val="006B4B4E"/>
    <w:rsid w:val="006B4CCD"/>
    <w:rsid w:val="006B5B75"/>
    <w:rsid w:val="006B6CC7"/>
    <w:rsid w:val="006B7D76"/>
    <w:rsid w:val="006C0EDB"/>
    <w:rsid w:val="006C12FF"/>
    <w:rsid w:val="006C16F4"/>
    <w:rsid w:val="006C26A3"/>
    <w:rsid w:val="006C27C4"/>
    <w:rsid w:val="006C3596"/>
    <w:rsid w:val="006C36B7"/>
    <w:rsid w:val="006C3A5C"/>
    <w:rsid w:val="006C3A82"/>
    <w:rsid w:val="006C5AE0"/>
    <w:rsid w:val="006C609F"/>
    <w:rsid w:val="006C679E"/>
    <w:rsid w:val="006C68D8"/>
    <w:rsid w:val="006C69EE"/>
    <w:rsid w:val="006C71F5"/>
    <w:rsid w:val="006D09F1"/>
    <w:rsid w:val="006D0A08"/>
    <w:rsid w:val="006D0CFE"/>
    <w:rsid w:val="006D11B9"/>
    <w:rsid w:val="006D3077"/>
    <w:rsid w:val="006D5358"/>
    <w:rsid w:val="006D5FAF"/>
    <w:rsid w:val="006D6686"/>
    <w:rsid w:val="006D6B30"/>
    <w:rsid w:val="006D7059"/>
    <w:rsid w:val="006D79B6"/>
    <w:rsid w:val="006D7C61"/>
    <w:rsid w:val="006E00E9"/>
    <w:rsid w:val="006E1343"/>
    <w:rsid w:val="006E225C"/>
    <w:rsid w:val="006E2C1E"/>
    <w:rsid w:val="006E2E84"/>
    <w:rsid w:val="006E3A2E"/>
    <w:rsid w:val="006E3C9E"/>
    <w:rsid w:val="006E3F58"/>
    <w:rsid w:val="006E5374"/>
    <w:rsid w:val="006E53AE"/>
    <w:rsid w:val="006E5929"/>
    <w:rsid w:val="006E6E92"/>
    <w:rsid w:val="006E73DC"/>
    <w:rsid w:val="006E7531"/>
    <w:rsid w:val="006E7D09"/>
    <w:rsid w:val="006E7D6C"/>
    <w:rsid w:val="006F02E4"/>
    <w:rsid w:val="006F0383"/>
    <w:rsid w:val="006F0507"/>
    <w:rsid w:val="006F0BC1"/>
    <w:rsid w:val="006F0FBC"/>
    <w:rsid w:val="006F2AE5"/>
    <w:rsid w:val="006F2B3E"/>
    <w:rsid w:val="006F3290"/>
    <w:rsid w:val="006F3504"/>
    <w:rsid w:val="006F3FD0"/>
    <w:rsid w:val="006F4460"/>
    <w:rsid w:val="006F47AA"/>
    <w:rsid w:val="006F47D7"/>
    <w:rsid w:val="006F5477"/>
    <w:rsid w:val="006F5817"/>
    <w:rsid w:val="006F59E9"/>
    <w:rsid w:val="006F5F5C"/>
    <w:rsid w:val="006F712F"/>
    <w:rsid w:val="006F7E98"/>
    <w:rsid w:val="006F7F7C"/>
    <w:rsid w:val="00700908"/>
    <w:rsid w:val="00700EC3"/>
    <w:rsid w:val="00701121"/>
    <w:rsid w:val="00703869"/>
    <w:rsid w:val="00703D27"/>
    <w:rsid w:val="0070420A"/>
    <w:rsid w:val="00704592"/>
    <w:rsid w:val="00704DFF"/>
    <w:rsid w:val="0070637E"/>
    <w:rsid w:val="007067A9"/>
    <w:rsid w:val="00706842"/>
    <w:rsid w:val="00707002"/>
    <w:rsid w:val="007074A3"/>
    <w:rsid w:val="0070763B"/>
    <w:rsid w:val="00707AD5"/>
    <w:rsid w:val="00710210"/>
    <w:rsid w:val="007114B6"/>
    <w:rsid w:val="007126FC"/>
    <w:rsid w:val="00712F96"/>
    <w:rsid w:val="00713150"/>
    <w:rsid w:val="007132B1"/>
    <w:rsid w:val="007134C4"/>
    <w:rsid w:val="00714D30"/>
    <w:rsid w:val="00715A3A"/>
    <w:rsid w:val="00715E3B"/>
    <w:rsid w:val="00716014"/>
    <w:rsid w:val="0071603B"/>
    <w:rsid w:val="00716043"/>
    <w:rsid w:val="00716FDA"/>
    <w:rsid w:val="00717319"/>
    <w:rsid w:val="00717320"/>
    <w:rsid w:val="0071767C"/>
    <w:rsid w:val="007177A3"/>
    <w:rsid w:val="007179C0"/>
    <w:rsid w:val="00717BBE"/>
    <w:rsid w:val="00717C08"/>
    <w:rsid w:val="00717E7B"/>
    <w:rsid w:val="00720256"/>
    <w:rsid w:val="00720660"/>
    <w:rsid w:val="007213C6"/>
    <w:rsid w:val="00721E75"/>
    <w:rsid w:val="00722D0C"/>
    <w:rsid w:val="007231F7"/>
    <w:rsid w:val="00723B88"/>
    <w:rsid w:val="00723D30"/>
    <w:rsid w:val="00724BEE"/>
    <w:rsid w:val="007257DB"/>
    <w:rsid w:val="00725EE4"/>
    <w:rsid w:val="0072689F"/>
    <w:rsid w:val="007270BC"/>
    <w:rsid w:val="0072720C"/>
    <w:rsid w:val="0072736F"/>
    <w:rsid w:val="0072739F"/>
    <w:rsid w:val="00727EF4"/>
    <w:rsid w:val="007309B0"/>
    <w:rsid w:val="00731916"/>
    <w:rsid w:val="007325A5"/>
    <w:rsid w:val="0073293C"/>
    <w:rsid w:val="00732E49"/>
    <w:rsid w:val="00733061"/>
    <w:rsid w:val="0073364F"/>
    <w:rsid w:val="007336BE"/>
    <w:rsid w:val="0073431E"/>
    <w:rsid w:val="00734FFE"/>
    <w:rsid w:val="00736933"/>
    <w:rsid w:val="00736C8A"/>
    <w:rsid w:val="00736CBB"/>
    <w:rsid w:val="0073701A"/>
    <w:rsid w:val="00737222"/>
    <w:rsid w:val="00737507"/>
    <w:rsid w:val="007379E0"/>
    <w:rsid w:val="00737C2B"/>
    <w:rsid w:val="007408E7"/>
    <w:rsid w:val="00740E0A"/>
    <w:rsid w:val="0074166D"/>
    <w:rsid w:val="00741709"/>
    <w:rsid w:val="0074174F"/>
    <w:rsid w:val="00741AB2"/>
    <w:rsid w:val="00741B52"/>
    <w:rsid w:val="00741D2A"/>
    <w:rsid w:val="00743238"/>
    <w:rsid w:val="007435E5"/>
    <w:rsid w:val="00743D61"/>
    <w:rsid w:val="00743F3E"/>
    <w:rsid w:val="00744761"/>
    <w:rsid w:val="00744F15"/>
    <w:rsid w:val="00745361"/>
    <w:rsid w:val="00745A2F"/>
    <w:rsid w:val="007465E7"/>
    <w:rsid w:val="00746798"/>
    <w:rsid w:val="00746821"/>
    <w:rsid w:val="00747503"/>
    <w:rsid w:val="0074782C"/>
    <w:rsid w:val="00747A7C"/>
    <w:rsid w:val="007500A3"/>
    <w:rsid w:val="0075048E"/>
    <w:rsid w:val="00750BF8"/>
    <w:rsid w:val="00751734"/>
    <w:rsid w:val="00752D40"/>
    <w:rsid w:val="0075379B"/>
    <w:rsid w:val="00754040"/>
    <w:rsid w:val="00754D5E"/>
    <w:rsid w:val="0075563D"/>
    <w:rsid w:val="007563AE"/>
    <w:rsid w:val="00756F1B"/>
    <w:rsid w:val="00756F37"/>
    <w:rsid w:val="00760122"/>
    <w:rsid w:val="00760243"/>
    <w:rsid w:val="00760985"/>
    <w:rsid w:val="00760EF8"/>
    <w:rsid w:val="007618C0"/>
    <w:rsid w:val="00761B83"/>
    <w:rsid w:val="00761C48"/>
    <w:rsid w:val="00762438"/>
    <w:rsid w:val="0076287C"/>
    <w:rsid w:val="00764873"/>
    <w:rsid w:val="007651BC"/>
    <w:rsid w:val="007652D7"/>
    <w:rsid w:val="00765362"/>
    <w:rsid w:val="00765B5A"/>
    <w:rsid w:val="00765BAA"/>
    <w:rsid w:val="007675C5"/>
    <w:rsid w:val="00767C1F"/>
    <w:rsid w:val="00767C4B"/>
    <w:rsid w:val="00770F8A"/>
    <w:rsid w:val="00770FDC"/>
    <w:rsid w:val="007714D3"/>
    <w:rsid w:val="00772BCD"/>
    <w:rsid w:val="0077375A"/>
    <w:rsid w:val="00773FCC"/>
    <w:rsid w:val="007758F9"/>
    <w:rsid w:val="00775F30"/>
    <w:rsid w:val="00776D35"/>
    <w:rsid w:val="00776D4E"/>
    <w:rsid w:val="00776E18"/>
    <w:rsid w:val="00777292"/>
    <w:rsid w:val="007777B1"/>
    <w:rsid w:val="00777B55"/>
    <w:rsid w:val="007802A0"/>
    <w:rsid w:val="00780330"/>
    <w:rsid w:val="007804C4"/>
    <w:rsid w:val="00780815"/>
    <w:rsid w:val="007809A5"/>
    <w:rsid w:val="00781084"/>
    <w:rsid w:val="0078108F"/>
    <w:rsid w:val="0078130F"/>
    <w:rsid w:val="00781C61"/>
    <w:rsid w:val="00782B5E"/>
    <w:rsid w:val="00783158"/>
    <w:rsid w:val="0078430F"/>
    <w:rsid w:val="00786079"/>
    <w:rsid w:val="007860B3"/>
    <w:rsid w:val="007863D4"/>
    <w:rsid w:val="007875EA"/>
    <w:rsid w:val="0079001D"/>
    <w:rsid w:val="00790689"/>
    <w:rsid w:val="00790912"/>
    <w:rsid w:val="00790DCB"/>
    <w:rsid w:val="00791735"/>
    <w:rsid w:val="007932F6"/>
    <w:rsid w:val="00793BAE"/>
    <w:rsid w:val="007941B0"/>
    <w:rsid w:val="007944CC"/>
    <w:rsid w:val="00794A5A"/>
    <w:rsid w:val="00796496"/>
    <w:rsid w:val="00796D24"/>
    <w:rsid w:val="00797183"/>
    <w:rsid w:val="00797C74"/>
    <w:rsid w:val="00797F40"/>
    <w:rsid w:val="007A00F1"/>
    <w:rsid w:val="007A05ED"/>
    <w:rsid w:val="007A179F"/>
    <w:rsid w:val="007A1DCE"/>
    <w:rsid w:val="007A2CA7"/>
    <w:rsid w:val="007A3323"/>
    <w:rsid w:val="007A3EAC"/>
    <w:rsid w:val="007A42E7"/>
    <w:rsid w:val="007A4A78"/>
    <w:rsid w:val="007A5430"/>
    <w:rsid w:val="007A58E3"/>
    <w:rsid w:val="007A5A67"/>
    <w:rsid w:val="007B06FB"/>
    <w:rsid w:val="007B0D79"/>
    <w:rsid w:val="007B1884"/>
    <w:rsid w:val="007B21D3"/>
    <w:rsid w:val="007B2307"/>
    <w:rsid w:val="007B2497"/>
    <w:rsid w:val="007B2CEA"/>
    <w:rsid w:val="007B39B1"/>
    <w:rsid w:val="007B39DC"/>
    <w:rsid w:val="007B4FB5"/>
    <w:rsid w:val="007B52AD"/>
    <w:rsid w:val="007B5558"/>
    <w:rsid w:val="007B5B0F"/>
    <w:rsid w:val="007B5DE5"/>
    <w:rsid w:val="007B5FCB"/>
    <w:rsid w:val="007B62C8"/>
    <w:rsid w:val="007B761F"/>
    <w:rsid w:val="007C06DC"/>
    <w:rsid w:val="007C1408"/>
    <w:rsid w:val="007C1592"/>
    <w:rsid w:val="007C1D81"/>
    <w:rsid w:val="007C251D"/>
    <w:rsid w:val="007C2530"/>
    <w:rsid w:val="007C2B6C"/>
    <w:rsid w:val="007C34C6"/>
    <w:rsid w:val="007C3B6D"/>
    <w:rsid w:val="007C3F01"/>
    <w:rsid w:val="007C4574"/>
    <w:rsid w:val="007C6027"/>
    <w:rsid w:val="007C6A6C"/>
    <w:rsid w:val="007C6E73"/>
    <w:rsid w:val="007C7734"/>
    <w:rsid w:val="007C7B2B"/>
    <w:rsid w:val="007C7B95"/>
    <w:rsid w:val="007D1CCC"/>
    <w:rsid w:val="007D2D8E"/>
    <w:rsid w:val="007D2DD8"/>
    <w:rsid w:val="007D3410"/>
    <w:rsid w:val="007D3BA0"/>
    <w:rsid w:val="007D3E60"/>
    <w:rsid w:val="007D6438"/>
    <w:rsid w:val="007D6642"/>
    <w:rsid w:val="007D6C7B"/>
    <w:rsid w:val="007D703E"/>
    <w:rsid w:val="007D7903"/>
    <w:rsid w:val="007D7E53"/>
    <w:rsid w:val="007E0176"/>
    <w:rsid w:val="007E12DC"/>
    <w:rsid w:val="007E1545"/>
    <w:rsid w:val="007E1EB5"/>
    <w:rsid w:val="007E1F7B"/>
    <w:rsid w:val="007E2CC1"/>
    <w:rsid w:val="007E2D78"/>
    <w:rsid w:val="007E30EE"/>
    <w:rsid w:val="007E470D"/>
    <w:rsid w:val="007E55F1"/>
    <w:rsid w:val="007E62A2"/>
    <w:rsid w:val="007E7271"/>
    <w:rsid w:val="007E74FB"/>
    <w:rsid w:val="007E7773"/>
    <w:rsid w:val="007E7B37"/>
    <w:rsid w:val="007E7E32"/>
    <w:rsid w:val="007F0409"/>
    <w:rsid w:val="007F1B72"/>
    <w:rsid w:val="007F21E8"/>
    <w:rsid w:val="007F2279"/>
    <w:rsid w:val="007F240A"/>
    <w:rsid w:val="007F24C9"/>
    <w:rsid w:val="007F3232"/>
    <w:rsid w:val="007F3736"/>
    <w:rsid w:val="007F4C82"/>
    <w:rsid w:val="007F5174"/>
    <w:rsid w:val="007F6079"/>
    <w:rsid w:val="007F62F3"/>
    <w:rsid w:val="007F6AE5"/>
    <w:rsid w:val="007F6B96"/>
    <w:rsid w:val="007F7243"/>
    <w:rsid w:val="008001AE"/>
    <w:rsid w:val="008005D0"/>
    <w:rsid w:val="00800F40"/>
    <w:rsid w:val="00801344"/>
    <w:rsid w:val="0080232E"/>
    <w:rsid w:val="008026BC"/>
    <w:rsid w:val="00802CDB"/>
    <w:rsid w:val="00802D7C"/>
    <w:rsid w:val="00802FE3"/>
    <w:rsid w:val="00803F14"/>
    <w:rsid w:val="00804A89"/>
    <w:rsid w:val="00806024"/>
    <w:rsid w:val="0080721E"/>
    <w:rsid w:val="00811536"/>
    <w:rsid w:val="00811873"/>
    <w:rsid w:val="00811994"/>
    <w:rsid w:val="0081285B"/>
    <w:rsid w:val="008129CA"/>
    <w:rsid w:val="00813AFA"/>
    <w:rsid w:val="0081442B"/>
    <w:rsid w:val="00814BC3"/>
    <w:rsid w:val="00814C08"/>
    <w:rsid w:val="0081557E"/>
    <w:rsid w:val="00815FD8"/>
    <w:rsid w:val="0081606D"/>
    <w:rsid w:val="008161D5"/>
    <w:rsid w:val="0081662D"/>
    <w:rsid w:val="0081681D"/>
    <w:rsid w:val="008173E8"/>
    <w:rsid w:val="00817D82"/>
    <w:rsid w:val="00817F66"/>
    <w:rsid w:val="0082142D"/>
    <w:rsid w:val="008218F5"/>
    <w:rsid w:val="00821BC6"/>
    <w:rsid w:val="00821E81"/>
    <w:rsid w:val="008224AD"/>
    <w:rsid w:val="0082266B"/>
    <w:rsid w:val="00822E92"/>
    <w:rsid w:val="00823C3A"/>
    <w:rsid w:val="00824870"/>
    <w:rsid w:val="00825F39"/>
    <w:rsid w:val="0082627B"/>
    <w:rsid w:val="00827306"/>
    <w:rsid w:val="008276F1"/>
    <w:rsid w:val="00827C71"/>
    <w:rsid w:val="00827CC7"/>
    <w:rsid w:val="0083113A"/>
    <w:rsid w:val="0083146D"/>
    <w:rsid w:val="008318EB"/>
    <w:rsid w:val="00831A1A"/>
    <w:rsid w:val="00831D8D"/>
    <w:rsid w:val="008321A3"/>
    <w:rsid w:val="00832740"/>
    <w:rsid w:val="00833E0E"/>
    <w:rsid w:val="008342A9"/>
    <w:rsid w:val="00834A6D"/>
    <w:rsid w:val="00834C35"/>
    <w:rsid w:val="00835FD4"/>
    <w:rsid w:val="00836717"/>
    <w:rsid w:val="008371A4"/>
    <w:rsid w:val="00840B58"/>
    <w:rsid w:val="00840E19"/>
    <w:rsid w:val="00840F36"/>
    <w:rsid w:val="00841329"/>
    <w:rsid w:val="008414CB"/>
    <w:rsid w:val="00841640"/>
    <w:rsid w:val="00842343"/>
    <w:rsid w:val="0084236A"/>
    <w:rsid w:val="00842A9E"/>
    <w:rsid w:val="008432C2"/>
    <w:rsid w:val="00843B48"/>
    <w:rsid w:val="00843C2E"/>
    <w:rsid w:val="00844C7F"/>
    <w:rsid w:val="00845474"/>
    <w:rsid w:val="0084597D"/>
    <w:rsid w:val="008469E2"/>
    <w:rsid w:val="008473D2"/>
    <w:rsid w:val="00847D3E"/>
    <w:rsid w:val="00850400"/>
    <w:rsid w:val="008525EE"/>
    <w:rsid w:val="008526D9"/>
    <w:rsid w:val="0085303F"/>
    <w:rsid w:val="00853825"/>
    <w:rsid w:val="008540FE"/>
    <w:rsid w:val="0085479F"/>
    <w:rsid w:val="00854DA6"/>
    <w:rsid w:val="00856453"/>
    <w:rsid w:val="008565A6"/>
    <w:rsid w:val="008569C4"/>
    <w:rsid w:val="00856A9C"/>
    <w:rsid w:val="00856BD4"/>
    <w:rsid w:val="00857412"/>
    <w:rsid w:val="00857821"/>
    <w:rsid w:val="00857A21"/>
    <w:rsid w:val="008600FE"/>
    <w:rsid w:val="008608AB"/>
    <w:rsid w:val="00860E01"/>
    <w:rsid w:val="0086183E"/>
    <w:rsid w:val="00862F5C"/>
    <w:rsid w:val="00862FD2"/>
    <w:rsid w:val="008638DA"/>
    <w:rsid w:val="00864546"/>
    <w:rsid w:val="00864855"/>
    <w:rsid w:val="00864CC3"/>
    <w:rsid w:val="0086577B"/>
    <w:rsid w:val="00866334"/>
    <w:rsid w:val="008665DF"/>
    <w:rsid w:val="00866CE2"/>
    <w:rsid w:val="00867177"/>
    <w:rsid w:val="00867CDF"/>
    <w:rsid w:val="00870680"/>
    <w:rsid w:val="00870766"/>
    <w:rsid w:val="00870CC3"/>
    <w:rsid w:val="00871CBC"/>
    <w:rsid w:val="00872428"/>
    <w:rsid w:val="0087248D"/>
    <w:rsid w:val="00872ABB"/>
    <w:rsid w:val="00872B5E"/>
    <w:rsid w:val="008734D9"/>
    <w:rsid w:val="008736AB"/>
    <w:rsid w:val="00873952"/>
    <w:rsid w:val="008742B0"/>
    <w:rsid w:val="008744C4"/>
    <w:rsid w:val="0087479F"/>
    <w:rsid w:val="00875170"/>
    <w:rsid w:val="0087564A"/>
    <w:rsid w:val="008756FF"/>
    <w:rsid w:val="008757DB"/>
    <w:rsid w:val="0087634E"/>
    <w:rsid w:val="00876881"/>
    <w:rsid w:val="00876C51"/>
    <w:rsid w:val="00876E53"/>
    <w:rsid w:val="00880EFB"/>
    <w:rsid w:val="008818B9"/>
    <w:rsid w:val="008818E0"/>
    <w:rsid w:val="00881CFB"/>
    <w:rsid w:val="00882146"/>
    <w:rsid w:val="00882ED9"/>
    <w:rsid w:val="00882EEC"/>
    <w:rsid w:val="00883537"/>
    <w:rsid w:val="0088389E"/>
    <w:rsid w:val="00883B71"/>
    <w:rsid w:val="0088433A"/>
    <w:rsid w:val="00884F00"/>
    <w:rsid w:val="00885066"/>
    <w:rsid w:val="008852CF"/>
    <w:rsid w:val="00886AD7"/>
    <w:rsid w:val="00887A2F"/>
    <w:rsid w:val="00887D74"/>
    <w:rsid w:val="00887FCB"/>
    <w:rsid w:val="0089023D"/>
    <w:rsid w:val="008908CB"/>
    <w:rsid w:val="00890E8B"/>
    <w:rsid w:val="0089162B"/>
    <w:rsid w:val="00891BE6"/>
    <w:rsid w:val="00892A72"/>
    <w:rsid w:val="008936D7"/>
    <w:rsid w:val="008938D5"/>
    <w:rsid w:val="00893E15"/>
    <w:rsid w:val="00894666"/>
    <w:rsid w:val="00895AB2"/>
    <w:rsid w:val="00895FD2"/>
    <w:rsid w:val="008A0A0C"/>
    <w:rsid w:val="008A0A7F"/>
    <w:rsid w:val="008A0B59"/>
    <w:rsid w:val="008A0EA3"/>
    <w:rsid w:val="008A1843"/>
    <w:rsid w:val="008A20BF"/>
    <w:rsid w:val="008A276E"/>
    <w:rsid w:val="008A4119"/>
    <w:rsid w:val="008A437D"/>
    <w:rsid w:val="008A4B69"/>
    <w:rsid w:val="008A5630"/>
    <w:rsid w:val="008A65EA"/>
    <w:rsid w:val="008A6610"/>
    <w:rsid w:val="008A697E"/>
    <w:rsid w:val="008B0441"/>
    <w:rsid w:val="008B22BD"/>
    <w:rsid w:val="008B2C7D"/>
    <w:rsid w:val="008B2CFB"/>
    <w:rsid w:val="008B393E"/>
    <w:rsid w:val="008B42A2"/>
    <w:rsid w:val="008B5478"/>
    <w:rsid w:val="008B55CA"/>
    <w:rsid w:val="008B6A40"/>
    <w:rsid w:val="008B781A"/>
    <w:rsid w:val="008B7D22"/>
    <w:rsid w:val="008B7D7A"/>
    <w:rsid w:val="008B7F96"/>
    <w:rsid w:val="008C0949"/>
    <w:rsid w:val="008C0A53"/>
    <w:rsid w:val="008C1F20"/>
    <w:rsid w:val="008C262F"/>
    <w:rsid w:val="008C2659"/>
    <w:rsid w:val="008C2A9B"/>
    <w:rsid w:val="008C3221"/>
    <w:rsid w:val="008C3B8A"/>
    <w:rsid w:val="008C41F2"/>
    <w:rsid w:val="008C4F5B"/>
    <w:rsid w:val="008C51FF"/>
    <w:rsid w:val="008C6104"/>
    <w:rsid w:val="008C7792"/>
    <w:rsid w:val="008C779B"/>
    <w:rsid w:val="008D0FBB"/>
    <w:rsid w:val="008D1944"/>
    <w:rsid w:val="008D199A"/>
    <w:rsid w:val="008D1C13"/>
    <w:rsid w:val="008D21D0"/>
    <w:rsid w:val="008D298B"/>
    <w:rsid w:val="008D39A9"/>
    <w:rsid w:val="008D3C59"/>
    <w:rsid w:val="008D4AF1"/>
    <w:rsid w:val="008D5111"/>
    <w:rsid w:val="008D5542"/>
    <w:rsid w:val="008D5697"/>
    <w:rsid w:val="008D5AC5"/>
    <w:rsid w:val="008D619B"/>
    <w:rsid w:val="008E00C4"/>
    <w:rsid w:val="008E076B"/>
    <w:rsid w:val="008E082E"/>
    <w:rsid w:val="008E1517"/>
    <w:rsid w:val="008E1C93"/>
    <w:rsid w:val="008E212B"/>
    <w:rsid w:val="008E2B83"/>
    <w:rsid w:val="008E3C0F"/>
    <w:rsid w:val="008E3E46"/>
    <w:rsid w:val="008E4EFD"/>
    <w:rsid w:val="008E53F6"/>
    <w:rsid w:val="008E65A7"/>
    <w:rsid w:val="008E695C"/>
    <w:rsid w:val="008E7423"/>
    <w:rsid w:val="008E7C8A"/>
    <w:rsid w:val="008F016C"/>
    <w:rsid w:val="008F048C"/>
    <w:rsid w:val="008F0B77"/>
    <w:rsid w:val="008F16BF"/>
    <w:rsid w:val="008F1B08"/>
    <w:rsid w:val="008F1CA4"/>
    <w:rsid w:val="008F2265"/>
    <w:rsid w:val="008F232C"/>
    <w:rsid w:val="008F257F"/>
    <w:rsid w:val="008F2680"/>
    <w:rsid w:val="008F29E2"/>
    <w:rsid w:val="008F3FC1"/>
    <w:rsid w:val="008F4E8D"/>
    <w:rsid w:val="008F54FB"/>
    <w:rsid w:val="008F55D3"/>
    <w:rsid w:val="008F5AA6"/>
    <w:rsid w:val="008F63FA"/>
    <w:rsid w:val="008F6E9F"/>
    <w:rsid w:val="00900EC9"/>
    <w:rsid w:val="009011C3"/>
    <w:rsid w:val="00901534"/>
    <w:rsid w:val="009015A0"/>
    <w:rsid w:val="00902170"/>
    <w:rsid w:val="00902A0B"/>
    <w:rsid w:val="00902DE8"/>
    <w:rsid w:val="00903384"/>
    <w:rsid w:val="0090360E"/>
    <w:rsid w:val="009036D5"/>
    <w:rsid w:val="00903D3C"/>
    <w:rsid w:val="00903EFC"/>
    <w:rsid w:val="00903F93"/>
    <w:rsid w:val="009044EC"/>
    <w:rsid w:val="00904548"/>
    <w:rsid w:val="00904C6C"/>
    <w:rsid w:val="00904FB0"/>
    <w:rsid w:val="009068B2"/>
    <w:rsid w:val="0090707A"/>
    <w:rsid w:val="009108A6"/>
    <w:rsid w:val="00910D0C"/>
    <w:rsid w:val="00910D97"/>
    <w:rsid w:val="00911652"/>
    <w:rsid w:val="00911AB3"/>
    <w:rsid w:val="00911AEC"/>
    <w:rsid w:val="009128DE"/>
    <w:rsid w:val="00912F81"/>
    <w:rsid w:val="00912FE6"/>
    <w:rsid w:val="009137B7"/>
    <w:rsid w:val="0091399B"/>
    <w:rsid w:val="00913F66"/>
    <w:rsid w:val="00914545"/>
    <w:rsid w:val="0091764B"/>
    <w:rsid w:val="0091774A"/>
    <w:rsid w:val="00920294"/>
    <w:rsid w:val="009206D8"/>
    <w:rsid w:val="00920920"/>
    <w:rsid w:val="00920F50"/>
    <w:rsid w:val="0092173C"/>
    <w:rsid w:val="00921ACC"/>
    <w:rsid w:val="00922581"/>
    <w:rsid w:val="00922C94"/>
    <w:rsid w:val="0092311C"/>
    <w:rsid w:val="0092315F"/>
    <w:rsid w:val="00923466"/>
    <w:rsid w:val="00924C37"/>
    <w:rsid w:val="00924DE5"/>
    <w:rsid w:val="00924DE9"/>
    <w:rsid w:val="00925C02"/>
    <w:rsid w:val="009269C8"/>
    <w:rsid w:val="00927436"/>
    <w:rsid w:val="0092793D"/>
    <w:rsid w:val="00927E77"/>
    <w:rsid w:val="009307D9"/>
    <w:rsid w:val="0093081F"/>
    <w:rsid w:val="00930A3A"/>
    <w:rsid w:val="00930B8D"/>
    <w:rsid w:val="00931637"/>
    <w:rsid w:val="00931AF7"/>
    <w:rsid w:val="00931BB5"/>
    <w:rsid w:val="00932461"/>
    <w:rsid w:val="00932D85"/>
    <w:rsid w:val="009336FD"/>
    <w:rsid w:val="00933762"/>
    <w:rsid w:val="00934029"/>
    <w:rsid w:val="00934598"/>
    <w:rsid w:val="00934796"/>
    <w:rsid w:val="00934DAE"/>
    <w:rsid w:val="009353DF"/>
    <w:rsid w:val="00935401"/>
    <w:rsid w:val="009356A3"/>
    <w:rsid w:val="00935FCF"/>
    <w:rsid w:val="00936123"/>
    <w:rsid w:val="00936456"/>
    <w:rsid w:val="009369AA"/>
    <w:rsid w:val="009379F4"/>
    <w:rsid w:val="00941CB6"/>
    <w:rsid w:val="00941DAE"/>
    <w:rsid w:val="00942276"/>
    <w:rsid w:val="00942CD1"/>
    <w:rsid w:val="0094300D"/>
    <w:rsid w:val="009438E0"/>
    <w:rsid w:val="00944E06"/>
    <w:rsid w:val="00945190"/>
    <w:rsid w:val="00945313"/>
    <w:rsid w:val="0094575E"/>
    <w:rsid w:val="009462CA"/>
    <w:rsid w:val="00946993"/>
    <w:rsid w:val="00946D43"/>
    <w:rsid w:val="00946DBE"/>
    <w:rsid w:val="0095058A"/>
    <w:rsid w:val="0095153A"/>
    <w:rsid w:val="00951B7E"/>
    <w:rsid w:val="00951D67"/>
    <w:rsid w:val="00951D99"/>
    <w:rsid w:val="009527E0"/>
    <w:rsid w:val="00952800"/>
    <w:rsid w:val="0095313F"/>
    <w:rsid w:val="009537FA"/>
    <w:rsid w:val="00953BFF"/>
    <w:rsid w:val="00953D80"/>
    <w:rsid w:val="00953FCC"/>
    <w:rsid w:val="009545E5"/>
    <w:rsid w:val="00955581"/>
    <w:rsid w:val="0095594B"/>
    <w:rsid w:val="0095637A"/>
    <w:rsid w:val="00956ACC"/>
    <w:rsid w:val="0095740E"/>
    <w:rsid w:val="00957676"/>
    <w:rsid w:val="0096007B"/>
    <w:rsid w:val="00960525"/>
    <w:rsid w:val="009608DD"/>
    <w:rsid w:val="00960993"/>
    <w:rsid w:val="00960EC8"/>
    <w:rsid w:val="00962026"/>
    <w:rsid w:val="00962BF6"/>
    <w:rsid w:val="00962F55"/>
    <w:rsid w:val="009633D5"/>
    <w:rsid w:val="00963471"/>
    <w:rsid w:val="00963C68"/>
    <w:rsid w:val="0096467D"/>
    <w:rsid w:val="00964912"/>
    <w:rsid w:val="00964B1C"/>
    <w:rsid w:val="00965208"/>
    <w:rsid w:val="009660DA"/>
    <w:rsid w:val="00967426"/>
    <w:rsid w:val="009674D9"/>
    <w:rsid w:val="0096753B"/>
    <w:rsid w:val="00967746"/>
    <w:rsid w:val="00967B8B"/>
    <w:rsid w:val="009704BE"/>
    <w:rsid w:val="00971217"/>
    <w:rsid w:val="00971395"/>
    <w:rsid w:val="00971452"/>
    <w:rsid w:val="00971F27"/>
    <w:rsid w:val="009722EC"/>
    <w:rsid w:val="00972667"/>
    <w:rsid w:val="00972DA9"/>
    <w:rsid w:val="00973013"/>
    <w:rsid w:val="00973662"/>
    <w:rsid w:val="00973CF5"/>
    <w:rsid w:val="00974623"/>
    <w:rsid w:val="009748E3"/>
    <w:rsid w:val="00974DB4"/>
    <w:rsid w:val="00974DD2"/>
    <w:rsid w:val="00974FD0"/>
    <w:rsid w:val="0097608C"/>
    <w:rsid w:val="009764A8"/>
    <w:rsid w:val="00976E1E"/>
    <w:rsid w:val="009779A2"/>
    <w:rsid w:val="00977AE9"/>
    <w:rsid w:val="00977C54"/>
    <w:rsid w:val="00977EB0"/>
    <w:rsid w:val="00980166"/>
    <w:rsid w:val="0098194F"/>
    <w:rsid w:val="0098201C"/>
    <w:rsid w:val="00982BA5"/>
    <w:rsid w:val="00985063"/>
    <w:rsid w:val="00985A03"/>
    <w:rsid w:val="00986FD4"/>
    <w:rsid w:val="00991250"/>
    <w:rsid w:val="009915F9"/>
    <w:rsid w:val="009920DA"/>
    <w:rsid w:val="009928A6"/>
    <w:rsid w:val="009937D7"/>
    <w:rsid w:val="00994E47"/>
    <w:rsid w:val="00995A2D"/>
    <w:rsid w:val="0099613A"/>
    <w:rsid w:val="00996EE2"/>
    <w:rsid w:val="0099725A"/>
    <w:rsid w:val="009A01E8"/>
    <w:rsid w:val="009A0B20"/>
    <w:rsid w:val="009A0E03"/>
    <w:rsid w:val="009A18E5"/>
    <w:rsid w:val="009A280E"/>
    <w:rsid w:val="009A2927"/>
    <w:rsid w:val="009A4726"/>
    <w:rsid w:val="009A4BA2"/>
    <w:rsid w:val="009A4F6D"/>
    <w:rsid w:val="009A5976"/>
    <w:rsid w:val="009A5C0F"/>
    <w:rsid w:val="009A680B"/>
    <w:rsid w:val="009A6B2E"/>
    <w:rsid w:val="009A6ED2"/>
    <w:rsid w:val="009B066F"/>
    <w:rsid w:val="009B09A4"/>
    <w:rsid w:val="009B0A0C"/>
    <w:rsid w:val="009B18EF"/>
    <w:rsid w:val="009B1F68"/>
    <w:rsid w:val="009B29C7"/>
    <w:rsid w:val="009B3021"/>
    <w:rsid w:val="009B3096"/>
    <w:rsid w:val="009B3556"/>
    <w:rsid w:val="009B37D1"/>
    <w:rsid w:val="009B3C67"/>
    <w:rsid w:val="009B4031"/>
    <w:rsid w:val="009B4198"/>
    <w:rsid w:val="009B4702"/>
    <w:rsid w:val="009B6681"/>
    <w:rsid w:val="009B67C4"/>
    <w:rsid w:val="009B6C6B"/>
    <w:rsid w:val="009B7D0D"/>
    <w:rsid w:val="009C0211"/>
    <w:rsid w:val="009C05BD"/>
    <w:rsid w:val="009C121D"/>
    <w:rsid w:val="009C16A8"/>
    <w:rsid w:val="009C2323"/>
    <w:rsid w:val="009C25FF"/>
    <w:rsid w:val="009C2763"/>
    <w:rsid w:val="009C27E1"/>
    <w:rsid w:val="009C4167"/>
    <w:rsid w:val="009C42FE"/>
    <w:rsid w:val="009C4C5C"/>
    <w:rsid w:val="009C521A"/>
    <w:rsid w:val="009C5CB3"/>
    <w:rsid w:val="009C5F7A"/>
    <w:rsid w:val="009C66C7"/>
    <w:rsid w:val="009C71D9"/>
    <w:rsid w:val="009C79F4"/>
    <w:rsid w:val="009D048B"/>
    <w:rsid w:val="009D0F97"/>
    <w:rsid w:val="009D1611"/>
    <w:rsid w:val="009D186A"/>
    <w:rsid w:val="009D1F64"/>
    <w:rsid w:val="009D2799"/>
    <w:rsid w:val="009D2F2A"/>
    <w:rsid w:val="009D3C80"/>
    <w:rsid w:val="009D56A2"/>
    <w:rsid w:val="009D6FFB"/>
    <w:rsid w:val="009D73AD"/>
    <w:rsid w:val="009D7DD9"/>
    <w:rsid w:val="009E0102"/>
    <w:rsid w:val="009E1711"/>
    <w:rsid w:val="009E1996"/>
    <w:rsid w:val="009E237B"/>
    <w:rsid w:val="009E3646"/>
    <w:rsid w:val="009E388A"/>
    <w:rsid w:val="009E3D65"/>
    <w:rsid w:val="009E3F9E"/>
    <w:rsid w:val="009E4302"/>
    <w:rsid w:val="009E5F3B"/>
    <w:rsid w:val="009E614C"/>
    <w:rsid w:val="009E69FF"/>
    <w:rsid w:val="009E7B49"/>
    <w:rsid w:val="009E7E7A"/>
    <w:rsid w:val="009F05B4"/>
    <w:rsid w:val="009F0D2B"/>
    <w:rsid w:val="009F13A4"/>
    <w:rsid w:val="009F1477"/>
    <w:rsid w:val="009F16CA"/>
    <w:rsid w:val="009F1940"/>
    <w:rsid w:val="009F1990"/>
    <w:rsid w:val="009F231D"/>
    <w:rsid w:val="009F2F82"/>
    <w:rsid w:val="009F2FBF"/>
    <w:rsid w:val="009F38AB"/>
    <w:rsid w:val="009F396D"/>
    <w:rsid w:val="009F4289"/>
    <w:rsid w:val="009F52A5"/>
    <w:rsid w:val="009F539D"/>
    <w:rsid w:val="009F557D"/>
    <w:rsid w:val="009F578D"/>
    <w:rsid w:val="009F6836"/>
    <w:rsid w:val="009F6F73"/>
    <w:rsid w:val="009F75EA"/>
    <w:rsid w:val="009F7C55"/>
    <w:rsid w:val="009F7D0C"/>
    <w:rsid w:val="009F7ED4"/>
    <w:rsid w:val="00A006D0"/>
    <w:rsid w:val="00A0088D"/>
    <w:rsid w:val="00A01FEE"/>
    <w:rsid w:val="00A0224B"/>
    <w:rsid w:val="00A02398"/>
    <w:rsid w:val="00A03730"/>
    <w:rsid w:val="00A037C9"/>
    <w:rsid w:val="00A041DF"/>
    <w:rsid w:val="00A05082"/>
    <w:rsid w:val="00A05677"/>
    <w:rsid w:val="00A05C64"/>
    <w:rsid w:val="00A06593"/>
    <w:rsid w:val="00A066DF"/>
    <w:rsid w:val="00A06B0A"/>
    <w:rsid w:val="00A06FCB"/>
    <w:rsid w:val="00A0726E"/>
    <w:rsid w:val="00A07BB4"/>
    <w:rsid w:val="00A10022"/>
    <w:rsid w:val="00A10DAD"/>
    <w:rsid w:val="00A12720"/>
    <w:rsid w:val="00A13505"/>
    <w:rsid w:val="00A1394A"/>
    <w:rsid w:val="00A144EF"/>
    <w:rsid w:val="00A15A44"/>
    <w:rsid w:val="00A15FEE"/>
    <w:rsid w:val="00A16061"/>
    <w:rsid w:val="00A161E5"/>
    <w:rsid w:val="00A16425"/>
    <w:rsid w:val="00A16912"/>
    <w:rsid w:val="00A1710B"/>
    <w:rsid w:val="00A176BC"/>
    <w:rsid w:val="00A2011B"/>
    <w:rsid w:val="00A203A8"/>
    <w:rsid w:val="00A21545"/>
    <w:rsid w:val="00A217F3"/>
    <w:rsid w:val="00A21810"/>
    <w:rsid w:val="00A22459"/>
    <w:rsid w:val="00A23D90"/>
    <w:rsid w:val="00A24F2B"/>
    <w:rsid w:val="00A24FDD"/>
    <w:rsid w:val="00A253C4"/>
    <w:rsid w:val="00A258E5"/>
    <w:rsid w:val="00A2612D"/>
    <w:rsid w:val="00A26237"/>
    <w:rsid w:val="00A26794"/>
    <w:rsid w:val="00A26E06"/>
    <w:rsid w:val="00A26EA1"/>
    <w:rsid w:val="00A2748F"/>
    <w:rsid w:val="00A27803"/>
    <w:rsid w:val="00A3002C"/>
    <w:rsid w:val="00A30658"/>
    <w:rsid w:val="00A307A0"/>
    <w:rsid w:val="00A3083E"/>
    <w:rsid w:val="00A3098F"/>
    <w:rsid w:val="00A31422"/>
    <w:rsid w:val="00A314E7"/>
    <w:rsid w:val="00A31CD4"/>
    <w:rsid w:val="00A31EA5"/>
    <w:rsid w:val="00A32574"/>
    <w:rsid w:val="00A332A0"/>
    <w:rsid w:val="00A332D1"/>
    <w:rsid w:val="00A33403"/>
    <w:rsid w:val="00A3343A"/>
    <w:rsid w:val="00A34074"/>
    <w:rsid w:val="00A344F5"/>
    <w:rsid w:val="00A34AB7"/>
    <w:rsid w:val="00A34DBA"/>
    <w:rsid w:val="00A35224"/>
    <w:rsid w:val="00A35B60"/>
    <w:rsid w:val="00A37797"/>
    <w:rsid w:val="00A40357"/>
    <w:rsid w:val="00A404F5"/>
    <w:rsid w:val="00A40A2D"/>
    <w:rsid w:val="00A4146C"/>
    <w:rsid w:val="00A41CD9"/>
    <w:rsid w:val="00A422A7"/>
    <w:rsid w:val="00A4241D"/>
    <w:rsid w:val="00A4278E"/>
    <w:rsid w:val="00A4291B"/>
    <w:rsid w:val="00A42B13"/>
    <w:rsid w:val="00A433AF"/>
    <w:rsid w:val="00A43472"/>
    <w:rsid w:val="00A446FD"/>
    <w:rsid w:val="00A452C4"/>
    <w:rsid w:val="00A45EE0"/>
    <w:rsid w:val="00A46360"/>
    <w:rsid w:val="00A46364"/>
    <w:rsid w:val="00A4757D"/>
    <w:rsid w:val="00A500F0"/>
    <w:rsid w:val="00A50EC7"/>
    <w:rsid w:val="00A50FBE"/>
    <w:rsid w:val="00A512F9"/>
    <w:rsid w:val="00A5184F"/>
    <w:rsid w:val="00A51912"/>
    <w:rsid w:val="00A51BC2"/>
    <w:rsid w:val="00A51E40"/>
    <w:rsid w:val="00A522C6"/>
    <w:rsid w:val="00A52B73"/>
    <w:rsid w:val="00A52B8D"/>
    <w:rsid w:val="00A53E3B"/>
    <w:rsid w:val="00A546B6"/>
    <w:rsid w:val="00A546D8"/>
    <w:rsid w:val="00A546E8"/>
    <w:rsid w:val="00A549E8"/>
    <w:rsid w:val="00A54D04"/>
    <w:rsid w:val="00A54E92"/>
    <w:rsid w:val="00A554F4"/>
    <w:rsid w:val="00A5588D"/>
    <w:rsid w:val="00A55E2E"/>
    <w:rsid w:val="00A56EF4"/>
    <w:rsid w:val="00A573CB"/>
    <w:rsid w:val="00A57C18"/>
    <w:rsid w:val="00A6017F"/>
    <w:rsid w:val="00A609E5"/>
    <w:rsid w:val="00A62018"/>
    <w:rsid w:val="00A624E6"/>
    <w:rsid w:val="00A6339C"/>
    <w:rsid w:val="00A64602"/>
    <w:rsid w:val="00A64F9F"/>
    <w:rsid w:val="00A6500F"/>
    <w:rsid w:val="00A6550F"/>
    <w:rsid w:val="00A66B4C"/>
    <w:rsid w:val="00A67973"/>
    <w:rsid w:val="00A7075F"/>
    <w:rsid w:val="00A70770"/>
    <w:rsid w:val="00A70B0E"/>
    <w:rsid w:val="00A70FF2"/>
    <w:rsid w:val="00A71253"/>
    <w:rsid w:val="00A735CA"/>
    <w:rsid w:val="00A73945"/>
    <w:rsid w:val="00A74472"/>
    <w:rsid w:val="00A744CD"/>
    <w:rsid w:val="00A755A4"/>
    <w:rsid w:val="00A763C5"/>
    <w:rsid w:val="00A766E9"/>
    <w:rsid w:val="00A77630"/>
    <w:rsid w:val="00A778AE"/>
    <w:rsid w:val="00A8001C"/>
    <w:rsid w:val="00A801A0"/>
    <w:rsid w:val="00A80777"/>
    <w:rsid w:val="00A817F9"/>
    <w:rsid w:val="00A819C9"/>
    <w:rsid w:val="00A81AE6"/>
    <w:rsid w:val="00A82142"/>
    <w:rsid w:val="00A825BF"/>
    <w:rsid w:val="00A82FDA"/>
    <w:rsid w:val="00A82FDC"/>
    <w:rsid w:val="00A830AB"/>
    <w:rsid w:val="00A83780"/>
    <w:rsid w:val="00A8419F"/>
    <w:rsid w:val="00A8431A"/>
    <w:rsid w:val="00A84D33"/>
    <w:rsid w:val="00A864D2"/>
    <w:rsid w:val="00A8783D"/>
    <w:rsid w:val="00A90057"/>
    <w:rsid w:val="00A919B4"/>
    <w:rsid w:val="00A920DC"/>
    <w:rsid w:val="00A92139"/>
    <w:rsid w:val="00A942CA"/>
    <w:rsid w:val="00A942FE"/>
    <w:rsid w:val="00A94458"/>
    <w:rsid w:val="00A94885"/>
    <w:rsid w:val="00A94938"/>
    <w:rsid w:val="00A95077"/>
    <w:rsid w:val="00A954A5"/>
    <w:rsid w:val="00A954AA"/>
    <w:rsid w:val="00A95823"/>
    <w:rsid w:val="00A95E16"/>
    <w:rsid w:val="00A95FBF"/>
    <w:rsid w:val="00A973CE"/>
    <w:rsid w:val="00A97656"/>
    <w:rsid w:val="00A977AC"/>
    <w:rsid w:val="00A97D50"/>
    <w:rsid w:val="00A97FAB"/>
    <w:rsid w:val="00AA0988"/>
    <w:rsid w:val="00AA09A1"/>
    <w:rsid w:val="00AA1151"/>
    <w:rsid w:val="00AA1BB2"/>
    <w:rsid w:val="00AA2ABB"/>
    <w:rsid w:val="00AA2AC5"/>
    <w:rsid w:val="00AA2BF8"/>
    <w:rsid w:val="00AA2C80"/>
    <w:rsid w:val="00AA32FF"/>
    <w:rsid w:val="00AA3EE2"/>
    <w:rsid w:val="00AA42BC"/>
    <w:rsid w:val="00AA5B59"/>
    <w:rsid w:val="00AA6302"/>
    <w:rsid w:val="00AA6311"/>
    <w:rsid w:val="00AA6FEB"/>
    <w:rsid w:val="00AA71D4"/>
    <w:rsid w:val="00AA755F"/>
    <w:rsid w:val="00AB09F3"/>
    <w:rsid w:val="00AB16C9"/>
    <w:rsid w:val="00AB1F4A"/>
    <w:rsid w:val="00AB2B11"/>
    <w:rsid w:val="00AB2B32"/>
    <w:rsid w:val="00AB2E5F"/>
    <w:rsid w:val="00AB385B"/>
    <w:rsid w:val="00AB3C9B"/>
    <w:rsid w:val="00AB3E93"/>
    <w:rsid w:val="00AB44D3"/>
    <w:rsid w:val="00AB4768"/>
    <w:rsid w:val="00AB5A35"/>
    <w:rsid w:val="00AB5BCA"/>
    <w:rsid w:val="00AB6050"/>
    <w:rsid w:val="00AB681F"/>
    <w:rsid w:val="00AC084B"/>
    <w:rsid w:val="00AC0A9A"/>
    <w:rsid w:val="00AC0B75"/>
    <w:rsid w:val="00AC14CF"/>
    <w:rsid w:val="00AC1712"/>
    <w:rsid w:val="00AC263C"/>
    <w:rsid w:val="00AC2D65"/>
    <w:rsid w:val="00AC301A"/>
    <w:rsid w:val="00AC324D"/>
    <w:rsid w:val="00AC3278"/>
    <w:rsid w:val="00AC3DDE"/>
    <w:rsid w:val="00AC4094"/>
    <w:rsid w:val="00AC5729"/>
    <w:rsid w:val="00AC61B9"/>
    <w:rsid w:val="00AC7876"/>
    <w:rsid w:val="00AD0565"/>
    <w:rsid w:val="00AD0E8C"/>
    <w:rsid w:val="00AD1D4B"/>
    <w:rsid w:val="00AD2ED6"/>
    <w:rsid w:val="00AD37AD"/>
    <w:rsid w:val="00AD3B74"/>
    <w:rsid w:val="00AD4072"/>
    <w:rsid w:val="00AD4663"/>
    <w:rsid w:val="00AD4A51"/>
    <w:rsid w:val="00AD4B4F"/>
    <w:rsid w:val="00AD5651"/>
    <w:rsid w:val="00AD595E"/>
    <w:rsid w:val="00AD5B94"/>
    <w:rsid w:val="00AD69D2"/>
    <w:rsid w:val="00AD774A"/>
    <w:rsid w:val="00AD7BCB"/>
    <w:rsid w:val="00AD7FCE"/>
    <w:rsid w:val="00AE0AC5"/>
    <w:rsid w:val="00AE15FE"/>
    <w:rsid w:val="00AE1F0C"/>
    <w:rsid w:val="00AE2628"/>
    <w:rsid w:val="00AE2AEE"/>
    <w:rsid w:val="00AE35A9"/>
    <w:rsid w:val="00AE497D"/>
    <w:rsid w:val="00AE6232"/>
    <w:rsid w:val="00AE64B1"/>
    <w:rsid w:val="00AF0227"/>
    <w:rsid w:val="00AF02C9"/>
    <w:rsid w:val="00AF06A5"/>
    <w:rsid w:val="00AF0AAB"/>
    <w:rsid w:val="00AF0E80"/>
    <w:rsid w:val="00AF1658"/>
    <w:rsid w:val="00AF17DA"/>
    <w:rsid w:val="00AF2100"/>
    <w:rsid w:val="00AF4D73"/>
    <w:rsid w:val="00AF4DA4"/>
    <w:rsid w:val="00AF53EA"/>
    <w:rsid w:val="00AF56E7"/>
    <w:rsid w:val="00AF5DF0"/>
    <w:rsid w:val="00AF6B20"/>
    <w:rsid w:val="00AF7220"/>
    <w:rsid w:val="00AF7636"/>
    <w:rsid w:val="00AF7638"/>
    <w:rsid w:val="00AF783E"/>
    <w:rsid w:val="00B000B7"/>
    <w:rsid w:val="00B007AC"/>
    <w:rsid w:val="00B00984"/>
    <w:rsid w:val="00B00B6F"/>
    <w:rsid w:val="00B012C6"/>
    <w:rsid w:val="00B01804"/>
    <w:rsid w:val="00B0196E"/>
    <w:rsid w:val="00B01AD0"/>
    <w:rsid w:val="00B01E47"/>
    <w:rsid w:val="00B02DEE"/>
    <w:rsid w:val="00B042CC"/>
    <w:rsid w:val="00B04427"/>
    <w:rsid w:val="00B04706"/>
    <w:rsid w:val="00B049D3"/>
    <w:rsid w:val="00B05E10"/>
    <w:rsid w:val="00B0682E"/>
    <w:rsid w:val="00B06AE0"/>
    <w:rsid w:val="00B070F6"/>
    <w:rsid w:val="00B077E9"/>
    <w:rsid w:val="00B0799E"/>
    <w:rsid w:val="00B07FC2"/>
    <w:rsid w:val="00B10185"/>
    <w:rsid w:val="00B11118"/>
    <w:rsid w:val="00B11391"/>
    <w:rsid w:val="00B1225B"/>
    <w:rsid w:val="00B12D9C"/>
    <w:rsid w:val="00B13453"/>
    <w:rsid w:val="00B13555"/>
    <w:rsid w:val="00B13A11"/>
    <w:rsid w:val="00B13CEF"/>
    <w:rsid w:val="00B146C1"/>
    <w:rsid w:val="00B14A14"/>
    <w:rsid w:val="00B15083"/>
    <w:rsid w:val="00B15415"/>
    <w:rsid w:val="00B16EBB"/>
    <w:rsid w:val="00B1745D"/>
    <w:rsid w:val="00B20FA9"/>
    <w:rsid w:val="00B218EC"/>
    <w:rsid w:val="00B21C67"/>
    <w:rsid w:val="00B2282A"/>
    <w:rsid w:val="00B2326C"/>
    <w:rsid w:val="00B2485F"/>
    <w:rsid w:val="00B24CB8"/>
    <w:rsid w:val="00B25006"/>
    <w:rsid w:val="00B25CE2"/>
    <w:rsid w:val="00B262F9"/>
    <w:rsid w:val="00B27484"/>
    <w:rsid w:val="00B27830"/>
    <w:rsid w:val="00B27A2D"/>
    <w:rsid w:val="00B27FA4"/>
    <w:rsid w:val="00B306D3"/>
    <w:rsid w:val="00B30865"/>
    <w:rsid w:val="00B315F0"/>
    <w:rsid w:val="00B32BD3"/>
    <w:rsid w:val="00B32FA3"/>
    <w:rsid w:val="00B337B5"/>
    <w:rsid w:val="00B34B38"/>
    <w:rsid w:val="00B34CA8"/>
    <w:rsid w:val="00B34E2F"/>
    <w:rsid w:val="00B34F08"/>
    <w:rsid w:val="00B351DB"/>
    <w:rsid w:val="00B35475"/>
    <w:rsid w:val="00B36703"/>
    <w:rsid w:val="00B3738E"/>
    <w:rsid w:val="00B3793F"/>
    <w:rsid w:val="00B379C3"/>
    <w:rsid w:val="00B403CF"/>
    <w:rsid w:val="00B40439"/>
    <w:rsid w:val="00B40C36"/>
    <w:rsid w:val="00B40C6E"/>
    <w:rsid w:val="00B40D94"/>
    <w:rsid w:val="00B41841"/>
    <w:rsid w:val="00B41C14"/>
    <w:rsid w:val="00B42BAF"/>
    <w:rsid w:val="00B42BC8"/>
    <w:rsid w:val="00B43EA9"/>
    <w:rsid w:val="00B44B00"/>
    <w:rsid w:val="00B44DFA"/>
    <w:rsid w:val="00B450D3"/>
    <w:rsid w:val="00B45423"/>
    <w:rsid w:val="00B45594"/>
    <w:rsid w:val="00B459A5"/>
    <w:rsid w:val="00B466DA"/>
    <w:rsid w:val="00B47D8B"/>
    <w:rsid w:val="00B47E86"/>
    <w:rsid w:val="00B50F95"/>
    <w:rsid w:val="00B51272"/>
    <w:rsid w:val="00B51428"/>
    <w:rsid w:val="00B51977"/>
    <w:rsid w:val="00B51DD4"/>
    <w:rsid w:val="00B52131"/>
    <w:rsid w:val="00B5271C"/>
    <w:rsid w:val="00B52959"/>
    <w:rsid w:val="00B53377"/>
    <w:rsid w:val="00B5380E"/>
    <w:rsid w:val="00B53B49"/>
    <w:rsid w:val="00B53E0F"/>
    <w:rsid w:val="00B5415E"/>
    <w:rsid w:val="00B545B1"/>
    <w:rsid w:val="00B551F0"/>
    <w:rsid w:val="00B55EED"/>
    <w:rsid w:val="00B60998"/>
    <w:rsid w:val="00B61415"/>
    <w:rsid w:val="00B615D9"/>
    <w:rsid w:val="00B61BC1"/>
    <w:rsid w:val="00B61C5E"/>
    <w:rsid w:val="00B62140"/>
    <w:rsid w:val="00B6338E"/>
    <w:rsid w:val="00B63471"/>
    <w:rsid w:val="00B63B56"/>
    <w:rsid w:val="00B64350"/>
    <w:rsid w:val="00B648B1"/>
    <w:rsid w:val="00B65338"/>
    <w:rsid w:val="00B656D0"/>
    <w:rsid w:val="00B66AF0"/>
    <w:rsid w:val="00B66FC8"/>
    <w:rsid w:val="00B70698"/>
    <w:rsid w:val="00B70791"/>
    <w:rsid w:val="00B70C0C"/>
    <w:rsid w:val="00B70F52"/>
    <w:rsid w:val="00B72C0E"/>
    <w:rsid w:val="00B732DA"/>
    <w:rsid w:val="00B74866"/>
    <w:rsid w:val="00B74AD0"/>
    <w:rsid w:val="00B74D28"/>
    <w:rsid w:val="00B75FB6"/>
    <w:rsid w:val="00B7630B"/>
    <w:rsid w:val="00B76CB2"/>
    <w:rsid w:val="00B774B4"/>
    <w:rsid w:val="00B77F2B"/>
    <w:rsid w:val="00B80842"/>
    <w:rsid w:val="00B8145D"/>
    <w:rsid w:val="00B81A1B"/>
    <w:rsid w:val="00B81E4C"/>
    <w:rsid w:val="00B82141"/>
    <w:rsid w:val="00B8221A"/>
    <w:rsid w:val="00B8244D"/>
    <w:rsid w:val="00B82A50"/>
    <w:rsid w:val="00B83E88"/>
    <w:rsid w:val="00B8420C"/>
    <w:rsid w:val="00B843C5"/>
    <w:rsid w:val="00B84560"/>
    <w:rsid w:val="00B84575"/>
    <w:rsid w:val="00B8477F"/>
    <w:rsid w:val="00B85955"/>
    <w:rsid w:val="00B86156"/>
    <w:rsid w:val="00B870A0"/>
    <w:rsid w:val="00B871F1"/>
    <w:rsid w:val="00B875AE"/>
    <w:rsid w:val="00B87733"/>
    <w:rsid w:val="00B87D58"/>
    <w:rsid w:val="00B90036"/>
    <w:rsid w:val="00B9109A"/>
    <w:rsid w:val="00B913EE"/>
    <w:rsid w:val="00B92640"/>
    <w:rsid w:val="00B932AD"/>
    <w:rsid w:val="00B93B16"/>
    <w:rsid w:val="00B944FF"/>
    <w:rsid w:val="00B95121"/>
    <w:rsid w:val="00B9585D"/>
    <w:rsid w:val="00B962C0"/>
    <w:rsid w:val="00B9696E"/>
    <w:rsid w:val="00B97120"/>
    <w:rsid w:val="00BA0982"/>
    <w:rsid w:val="00BA0F49"/>
    <w:rsid w:val="00BA17C3"/>
    <w:rsid w:val="00BA1929"/>
    <w:rsid w:val="00BA19DD"/>
    <w:rsid w:val="00BA1D82"/>
    <w:rsid w:val="00BA424A"/>
    <w:rsid w:val="00BA43F3"/>
    <w:rsid w:val="00BA5697"/>
    <w:rsid w:val="00BA65AC"/>
    <w:rsid w:val="00BA69E4"/>
    <w:rsid w:val="00BA6D8D"/>
    <w:rsid w:val="00BA7644"/>
    <w:rsid w:val="00BB061D"/>
    <w:rsid w:val="00BB0C88"/>
    <w:rsid w:val="00BB16A6"/>
    <w:rsid w:val="00BB18AD"/>
    <w:rsid w:val="00BB230E"/>
    <w:rsid w:val="00BB2319"/>
    <w:rsid w:val="00BB23F7"/>
    <w:rsid w:val="00BB299F"/>
    <w:rsid w:val="00BB2C3B"/>
    <w:rsid w:val="00BB318A"/>
    <w:rsid w:val="00BB37FA"/>
    <w:rsid w:val="00BB5CED"/>
    <w:rsid w:val="00BB5F52"/>
    <w:rsid w:val="00BB623F"/>
    <w:rsid w:val="00BB65C5"/>
    <w:rsid w:val="00BB680F"/>
    <w:rsid w:val="00BB7298"/>
    <w:rsid w:val="00BC0831"/>
    <w:rsid w:val="00BC0899"/>
    <w:rsid w:val="00BC139F"/>
    <w:rsid w:val="00BC1B99"/>
    <w:rsid w:val="00BC4A87"/>
    <w:rsid w:val="00BC4C32"/>
    <w:rsid w:val="00BC4E1D"/>
    <w:rsid w:val="00BC6E29"/>
    <w:rsid w:val="00BC70ED"/>
    <w:rsid w:val="00BC72D6"/>
    <w:rsid w:val="00BC7D38"/>
    <w:rsid w:val="00BD1537"/>
    <w:rsid w:val="00BD1872"/>
    <w:rsid w:val="00BD194D"/>
    <w:rsid w:val="00BD1D7E"/>
    <w:rsid w:val="00BD1E9E"/>
    <w:rsid w:val="00BD2F81"/>
    <w:rsid w:val="00BD41BF"/>
    <w:rsid w:val="00BD4D4F"/>
    <w:rsid w:val="00BD4F1D"/>
    <w:rsid w:val="00BD4F4A"/>
    <w:rsid w:val="00BD54EF"/>
    <w:rsid w:val="00BD74BA"/>
    <w:rsid w:val="00BD76D0"/>
    <w:rsid w:val="00BE06B9"/>
    <w:rsid w:val="00BE092D"/>
    <w:rsid w:val="00BE0B7F"/>
    <w:rsid w:val="00BE0BE3"/>
    <w:rsid w:val="00BE0CFF"/>
    <w:rsid w:val="00BE1C59"/>
    <w:rsid w:val="00BE2386"/>
    <w:rsid w:val="00BE249A"/>
    <w:rsid w:val="00BE2B16"/>
    <w:rsid w:val="00BE31CB"/>
    <w:rsid w:val="00BE33DA"/>
    <w:rsid w:val="00BE388B"/>
    <w:rsid w:val="00BE41F9"/>
    <w:rsid w:val="00BE4988"/>
    <w:rsid w:val="00BE4A64"/>
    <w:rsid w:val="00BE5CDB"/>
    <w:rsid w:val="00BE5E87"/>
    <w:rsid w:val="00BE648C"/>
    <w:rsid w:val="00BE652E"/>
    <w:rsid w:val="00BE736B"/>
    <w:rsid w:val="00BE7432"/>
    <w:rsid w:val="00BF0AA6"/>
    <w:rsid w:val="00BF1526"/>
    <w:rsid w:val="00BF16DF"/>
    <w:rsid w:val="00BF1ABE"/>
    <w:rsid w:val="00BF2304"/>
    <w:rsid w:val="00BF2441"/>
    <w:rsid w:val="00BF2F42"/>
    <w:rsid w:val="00BF4376"/>
    <w:rsid w:val="00BF48F5"/>
    <w:rsid w:val="00BF501B"/>
    <w:rsid w:val="00BF528C"/>
    <w:rsid w:val="00BF5336"/>
    <w:rsid w:val="00BF5BBC"/>
    <w:rsid w:val="00BF6A04"/>
    <w:rsid w:val="00BF6A30"/>
    <w:rsid w:val="00BF6D89"/>
    <w:rsid w:val="00BF706B"/>
    <w:rsid w:val="00BF741F"/>
    <w:rsid w:val="00BF77B4"/>
    <w:rsid w:val="00C0085E"/>
    <w:rsid w:val="00C008F6"/>
    <w:rsid w:val="00C00A19"/>
    <w:rsid w:val="00C014E1"/>
    <w:rsid w:val="00C01833"/>
    <w:rsid w:val="00C02B65"/>
    <w:rsid w:val="00C0367E"/>
    <w:rsid w:val="00C043E7"/>
    <w:rsid w:val="00C04B0C"/>
    <w:rsid w:val="00C05859"/>
    <w:rsid w:val="00C05DE1"/>
    <w:rsid w:val="00C06481"/>
    <w:rsid w:val="00C064F7"/>
    <w:rsid w:val="00C0656A"/>
    <w:rsid w:val="00C06D64"/>
    <w:rsid w:val="00C076D2"/>
    <w:rsid w:val="00C07B54"/>
    <w:rsid w:val="00C10A95"/>
    <w:rsid w:val="00C11698"/>
    <w:rsid w:val="00C1212D"/>
    <w:rsid w:val="00C1250A"/>
    <w:rsid w:val="00C12765"/>
    <w:rsid w:val="00C13056"/>
    <w:rsid w:val="00C131EB"/>
    <w:rsid w:val="00C132F2"/>
    <w:rsid w:val="00C13F6D"/>
    <w:rsid w:val="00C15077"/>
    <w:rsid w:val="00C150F9"/>
    <w:rsid w:val="00C153D2"/>
    <w:rsid w:val="00C156E4"/>
    <w:rsid w:val="00C158EE"/>
    <w:rsid w:val="00C16067"/>
    <w:rsid w:val="00C165BD"/>
    <w:rsid w:val="00C17217"/>
    <w:rsid w:val="00C1745C"/>
    <w:rsid w:val="00C176AD"/>
    <w:rsid w:val="00C17FDF"/>
    <w:rsid w:val="00C20160"/>
    <w:rsid w:val="00C2027A"/>
    <w:rsid w:val="00C203B7"/>
    <w:rsid w:val="00C20C34"/>
    <w:rsid w:val="00C20C39"/>
    <w:rsid w:val="00C20DDB"/>
    <w:rsid w:val="00C21418"/>
    <w:rsid w:val="00C21468"/>
    <w:rsid w:val="00C21D3B"/>
    <w:rsid w:val="00C221B5"/>
    <w:rsid w:val="00C22899"/>
    <w:rsid w:val="00C22ADA"/>
    <w:rsid w:val="00C233B5"/>
    <w:rsid w:val="00C2343E"/>
    <w:rsid w:val="00C242F1"/>
    <w:rsid w:val="00C25074"/>
    <w:rsid w:val="00C260B1"/>
    <w:rsid w:val="00C27213"/>
    <w:rsid w:val="00C30611"/>
    <w:rsid w:val="00C30C01"/>
    <w:rsid w:val="00C326CE"/>
    <w:rsid w:val="00C339F0"/>
    <w:rsid w:val="00C344FA"/>
    <w:rsid w:val="00C345DB"/>
    <w:rsid w:val="00C3524F"/>
    <w:rsid w:val="00C35C26"/>
    <w:rsid w:val="00C35DB8"/>
    <w:rsid w:val="00C37EE4"/>
    <w:rsid w:val="00C401D9"/>
    <w:rsid w:val="00C4101C"/>
    <w:rsid w:val="00C4156C"/>
    <w:rsid w:val="00C420DC"/>
    <w:rsid w:val="00C42AE9"/>
    <w:rsid w:val="00C43BF9"/>
    <w:rsid w:val="00C43FD0"/>
    <w:rsid w:val="00C442A2"/>
    <w:rsid w:val="00C4433B"/>
    <w:rsid w:val="00C44772"/>
    <w:rsid w:val="00C451BB"/>
    <w:rsid w:val="00C4566A"/>
    <w:rsid w:val="00C4645F"/>
    <w:rsid w:val="00C505B3"/>
    <w:rsid w:val="00C50D83"/>
    <w:rsid w:val="00C50D84"/>
    <w:rsid w:val="00C51F20"/>
    <w:rsid w:val="00C52B34"/>
    <w:rsid w:val="00C5315D"/>
    <w:rsid w:val="00C54DC5"/>
    <w:rsid w:val="00C554E6"/>
    <w:rsid w:val="00C56DDF"/>
    <w:rsid w:val="00C57AAD"/>
    <w:rsid w:val="00C57B60"/>
    <w:rsid w:val="00C57DD5"/>
    <w:rsid w:val="00C6021F"/>
    <w:rsid w:val="00C606D2"/>
    <w:rsid w:val="00C60D50"/>
    <w:rsid w:val="00C61282"/>
    <w:rsid w:val="00C61464"/>
    <w:rsid w:val="00C62313"/>
    <w:rsid w:val="00C62DE9"/>
    <w:rsid w:val="00C62E4D"/>
    <w:rsid w:val="00C6391F"/>
    <w:rsid w:val="00C63F68"/>
    <w:rsid w:val="00C640CC"/>
    <w:rsid w:val="00C6481F"/>
    <w:rsid w:val="00C64DE0"/>
    <w:rsid w:val="00C66483"/>
    <w:rsid w:val="00C6671E"/>
    <w:rsid w:val="00C667F5"/>
    <w:rsid w:val="00C66E14"/>
    <w:rsid w:val="00C702B4"/>
    <w:rsid w:val="00C707DB"/>
    <w:rsid w:val="00C70A2F"/>
    <w:rsid w:val="00C7184A"/>
    <w:rsid w:val="00C71A82"/>
    <w:rsid w:val="00C72661"/>
    <w:rsid w:val="00C72805"/>
    <w:rsid w:val="00C72A9E"/>
    <w:rsid w:val="00C73453"/>
    <w:rsid w:val="00C738BD"/>
    <w:rsid w:val="00C7404E"/>
    <w:rsid w:val="00C7529B"/>
    <w:rsid w:val="00C753B2"/>
    <w:rsid w:val="00C75FA6"/>
    <w:rsid w:val="00C760D1"/>
    <w:rsid w:val="00C76CCB"/>
    <w:rsid w:val="00C76F44"/>
    <w:rsid w:val="00C7764D"/>
    <w:rsid w:val="00C801A2"/>
    <w:rsid w:val="00C802B7"/>
    <w:rsid w:val="00C80B76"/>
    <w:rsid w:val="00C817C4"/>
    <w:rsid w:val="00C81C21"/>
    <w:rsid w:val="00C826E7"/>
    <w:rsid w:val="00C8289D"/>
    <w:rsid w:val="00C82B46"/>
    <w:rsid w:val="00C82B63"/>
    <w:rsid w:val="00C82F39"/>
    <w:rsid w:val="00C82FED"/>
    <w:rsid w:val="00C83201"/>
    <w:rsid w:val="00C83953"/>
    <w:rsid w:val="00C83CD8"/>
    <w:rsid w:val="00C847B0"/>
    <w:rsid w:val="00C853D8"/>
    <w:rsid w:val="00C8674A"/>
    <w:rsid w:val="00C9093D"/>
    <w:rsid w:val="00C90A02"/>
    <w:rsid w:val="00C90BEE"/>
    <w:rsid w:val="00C92B8B"/>
    <w:rsid w:val="00C92C56"/>
    <w:rsid w:val="00C93008"/>
    <w:rsid w:val="00C93670"/>
    <w:rsid w:val="00C93713"/>
    <w:rsid w:val="00C94398"/>
    <w:rsid w:val="00C9440F"/>
    <w:rsid w:val="00C973F1"/>
    <w:rsid w:val="00C97644"/>
    <w:rsid w:val="00C977D9"/>
    <w:rsid w:val="00C97A4B"/>
    <w:rsid w:val="00CA1877"/>
    <w:rsid w:val="00CA2122"/>
    <w:rsid w:val="00CA2971"/>
    <w:rsid w:val="00CA2DB8"/>
    <w:rsid w:val="00CA310E"/>
    <w:rsid w:val="00CA3130"/>
    <w:rsid w:val="00CA4879"/>
    <w:rsid w:val="00CA5007"/>
    <w:rsid w:val="00CA5C48"/>
    <w:rsid w:val="00CA6009"/>
    <w:rsid w:val="00CA6076"/>
    <w:rsid w:val="00CA6D58"/>
    <w:rsid w:val="00CA7007"/>
    <w:rsid w:val="00CA71E1"/>
    <w:rsid w:val="00CA761F"/>
    <w:rsid w:val="00CA7D5F"/>
    <w:rsid w:val="00CA7D62"/>
    <w:rsid w:val="00CB23FC"/>
    <w:rsid w:val="00CB271F"/>
    <w:rsid w:val="00CB297B"/>
    <w:rsid w:val="00CB2BB1"/>
    <w:rsid w:val="00CB3264"/>
    <w:rsid w:val="00CB39E2"/>
    <w:rsid w:val="00CB43EF"/>
    <w:rsid w:val="00CB46D2"/>
    <w:rsid w:val="00CB5300"/>
    <w:rsid w:val="00CB5E08"/>
    <w:rsid w:val="00CB789B"/>
    <w:rsid w:val="00CB7944"/>
    <w:rsid w:val="00CC0185"/>
    <w:rsid w:val="00CC0E9A"/>
    <w:rsid w:val="00CC1888"/>
    <w:rsid w:val="00CC1B8F"/>
    <w:rsid w:val="00CC2550"/>
    <w:rsid w:val="00CC2C7D"/>
    <w:rsid w:val="00CC3CB2"/>
    <w:rsid w:val="00CC47D1"/>
    <w:rsid w:val="00CC481E"/>
    <w:rsid w:val="00CC4960"/>
    <w:rsid w:val="00CC4E9D"/>
    <w:rsid w:val="00CC52F5"/>
    <w:rsid w:val="00CC6769"/>
    <w:rsid w:val="00CC7EEC"/>
    <w:rsid w:val="00CD263B"/>
    <w:rsid w:val="00CD2804"/>
    <w:rsid w:val="00CD2B8B"/>
    <w:rsid w:val="00CD2C0E"/>
    <w:rsid w:val="00CD3686"/>
    <w:rsid w:val="00CD377E"/>
    <w:rsid w:val="00CD396E"/>
    <w:rsid w:val="00CD3D98"/>
    <w:rsid w:val="00CD4250"/>
    <w:rsid w:val="00CD55D9"/>
    <w:rsid w:val="00CD595D"/>
    <w:rsid w:val="00CD5BC3"/>
    <w:rsid w:val="00CD67E5"/>
    <w:rsid w:val="00CD6C08"/>
    <w:rsid w:val="00CD7517"/>
    <w:rsid w:val="00CE0F8A"/>
    <w:rsid w:val="00CE0FAF"/>
    <w:rsid w:val="00CE1586"/>
    <w:rsid w:val="00CE1750"/>
    <w:rsid w:val="00CE2A82"/>
    <w:rsid w:val="00CE2B9B"/>
    <w:rsid w:val="00CE2BB0"/>
    <w:rsid w:val="00CE3405"/>
    <w:rsid w:val="00CE35A8"/>
    <w:rsid w:val="00CE390B"/>
    <w:rsid w:val="00CE3A8C"/>
    <w:rsid w:val="00CE3EAA"/>
    <w:rsid w:val="00CE42B8"/>
    <w:rsid w:val="00CE4F0F"/>
    <w:rsid w:val="00CE51D0"/>
    <w:rsid w:val="00CE5B5B"/>
    <w:rsid w:val="00CE67ED"/>
    <w:rsid w:val="00CE6E28"/>
    <w:rsid w:val="00CE76B6"/>
    <w:rsid w:val="00CE7BED"/>
    <w:rsid w:val="00CF0AEC"/>
    <w:rsid w:val="00CF112C"/>
    <w:rsid w:val="00CF1C5C"/>
    <w:rsid w:val="00CF2169"/>
    <w:rsid w:val="00CF255E"/>
    <w:rsid w:val="00CF2919"/>
    <w:rsid w:val="00CF29E2"/>
    <w:rsid w:val="00CF2A06"/>
    <w:rsid w:val="00CF2B72"/>
    <w:rsid w:val="00CF2BBD"/>
    <w:rsid w:val="00CF3CAB"/>
    <w:rsid w:val="00CF4474"/>
    <w:rsid w:val="00CF4527"/>
    <w:rsid w:val="00CF4817"/>
    <w:rsid w:val="00CF5365"/>
    <w:rsid w:val="00CF5E97"/>
    <w:rsid w:val="00CF6117"/>
    <w:rsid w:val="00CF63A7"/>
    <w:rsid w:val="00CF6C63"/>
    <w:rsid w:val="00CF717A"/>
    <w:rsid w:val="00CF75FB"/>
    <w:rsid w:val="00CF798A"/>
    <w:rsid w:val="00CF79A0"/>
    <w:rsid w:val="00CF7EAA"/>
    <w:rsid w:val="00D00C95"/>
    <w:rsid w:val="00D018E9"/>
    <w:rsid w:val="00D01E3C"/>
    <w:rsid w:val="00D02407"/>
    <w:rsid w:val="00D024C9"/>
    <w:rsid w:val="00D02618"/>
    <w:rsid w:val="00D02C1F"/>
    <w:rsid w:val="00D0374C"/>
    <w:rsid w:val="00D04106"/>
    <w:rsid w:val="00D041D9"/>
    <w:rsid w:val="00D04464"/>
    <w:rsid w:val="00D0480B"/>
    <w:rsid w:val="00D05271"/>
    <w:rsid w:val="00D065DF"/>
    <w:rsid w:val="00D06A45"/>
    <w:rsid w:val="00D072C9"/>
    <w:rsid w:val="00D076C0"/>
    <w:rsid w:val="00D07A34"/>
    <w:rsid w:val="00D07B96"/>
    <w:rsid w:val="00D07C91"/>
    <w:rsid w:val="00D10089"/>
    <w:rsid w:val="00D105D9"/>
    <w:rsid w:val="00D10DD3"/>
    <w:rsid w:val="00D112E1"/>
    <w:rsid w:val="00D11A4B"/>
    <w:rsid w:val="00D12585"/>
    <w:rsid w:val="00D14DCF"/>
    <w:rsid w:val="00D15233"/>
    <w:rsid w:val="00D15488"/>
    <w:rsid w:val="00D154AB"/>
    <w:rsid w:val="00D158E3"/>
    <w:rsid w:val="00D163BF"/>
    <w:rsid w:val="00D16750"/>
    <w:rsid w:val="00D171AC"/>
    <w:rsid w:val="00D17CEF"/>
    <w:rsid w:val="00D200DB"/>
    <w:rsid w:val="00D21094"/>
    <w:rsid w:val="00D2160A"/>
    <w:rsid w:val="00D224DA"/>
    <w:rsid w:val="00D22646"/>
    <w:rsid w:val="00D2285B"/>
    <w:rsid w:val="00D22C37"/>
    <w:rsid w:val="00D22FE7"/>
    <w:rsid w:val="00D2380C"/>
    <w:rsid w:val="00D23B98"/>
    <w:rsid w:val="00D24022"/>
    <w:rsid w:val="00D24B2B"/>
    <w:rsid w:val="00D25015"/>
    <w:rsid w:val="00D250BC"/>
    <w:rsid w:val="00D26C70"/>
    <w:rsid w:val="00D27CA7"/>
    <w:rsid w:val="00D304ED"/>
    <w:rsid w:val="00D312D0"/>
    <w:rsid w:val="00D3130D"/>
    <w:rsid w:val="00D315A1"/>
    <w:rsid w:val="00D321DC"/>
    <w:rsid w:val="00D32EC9"/>
    <w:rsid w:val="00D33A4F"/>
    <w:rsid w:val="00D33B07"/>
    <w:rsid w:val="00D33C4E"/>
    <w:rsid w:val="00D3467C"/>
    <w:rsid w:val="00D346FC"/>
    <w:rsid w:val="00D34E42"/>
    <w:rsid w:val="00D34E8F"/>
    <w:rsid w:val="00D35387"/>
    <w:rsid w:val="00D35B12"/>
    <w:rsid w:val="00D35B60"/>
    <w:rsid w:val="00D35C86"/>
    <w:rsid w:val="00D365EB"/>
    <w:rsid w:val="00D36F93"/>
    <w:rsid w:val="00D3782A"/>
    <w:rsid w:val="00D3791F"/>
    <w:rsid w:val="00D37AE1"/>
    <w:rsid w:val="00D403C8"/>
    <w:rsid w:val="00D41A0F"/>
    <w:rsid w:val="00D43338"/>
    <w:rsid w:val="00D437CA"/>
    <w:rsid w:val="00D44374"/>
    <w:rsid w:val="00D44B68"/>
    <w:rsid w:val="00D44FC6"/>
    <w:rsid w:val="00D455FC"/>
    <w:rsid w:val="00D45B3D"/>
    <w:rsid w:val="00D45E63"/>
    <w:rsid w:val="00D45E7C"/>
    <w:rsid w:val="00D46633"/>
    <w:rsid w:val="00D4672A"/>
    <w:rsid w:val="00D46A46"/>
    <w:rsid w:val="00D46DFC"/>
    <w:rsid w:val="00D470AF"/>
    <w:rsid w:val="00D47A49"/>
    <w:rsid w:val="00D508A8"/>
    <w:rsid w:val="00D50E38"/>
    <w:rsid w:val="00D51583"/>
    <w:rsid w:val="00D516EC"/>
    <w:rsid w:val="00D5444E"/>
    <w:rsid w:val="00D55167"/>
    <w:rsid w:val="00D5623C"/>
    <w:rsid w:val="00D56C07"/>
    <w:rsid w:val="00D5771C"/>
    <w:rsid w:val="00D5771D"/>
    <w:rsid w:val="00D60069"/>
    <w:rsid w:val="00D60C14"/>
    <w:rsid w:val="00D6234C"/>
    <w:rsid w:val="00D623F1"/>
    <w:rsid w:val="00D62C51"/>
    <w:rsid w:val="00D632BE"/>
    <w:rsid w:val="00D635FC"/>
    <w:rsid w:val="00D63DB1"/>
    <w:rsid w:val="00D6442E"/>
    <w:rsid w:val="00D646D3"/>
    <w:rsid w:val="00D64712"/>
    <w:rsid w:val="00D6633C"/>
    <w:rsid w:val="00D66C4E"/>
    <w:rsid w:val="00D67192"/>
    <w:rsid w:val="00D678D9"/>
    <w:rsid w:val="00D67C61"/>
    <w:rsid w:val="00D67DB9"/>
    <w:rsid w:val="00D704A4"/>
    <w:rsid w:val="00D70568"/>
    <w:rsid w:val="00D70EFF"/>
    <w:rsid w:val="00D7102F"/>
    <w:rsid w:val="00D71153"/>
    <w:rsid w:val="00D71C85"/>
    <w:rsid w:val="00D727FB"/>
    <w:rsid w:val="00D733D9"/>
    <w:rsid w:val="00D740EA"/>
    <w:rsid w:val="00D74128"/>
    <w:rsid w:val="00D7467A"/>
    <w:rsid w:val="00D74E55"/>
    <w:rsid w:val="00D75E3A"/>
    <w:rsid w:val="00D763C2"/>
    <w:rsid w:val="00D7767E"/>
    <w:rsid w:val="00D80833"/>
    <w:rsid w:val="00D82986"/>
    <w:rsid w:val="00D830E5"/>
    <w:rsid w:val="00D83633"/>
    <w:rsid w:val="00D851F4"/>
    <w:rsid w:val="00D8571E"/>
    <w:rsid w:val="00D8597D"/>
    <w:rsid w:val="00D85C65"/>
    <w:rsid w:val="00D86AC4"/>
    <w:rsid w:val="00D87C82"/>
    <w:rsid w:val="00D87E4A"/>
    <w:rsid w:val="00D87F3E"/>
    <w:rsid w:val="00D9057B"/>
    <w:rsid w:val="00D90D12"/>
    <w:rsid w:val="00D90F03"/>
    <w:rsid w:val="00D91090"/>
    <w:rsid w:val="00D910BC"/>
    <w:rsid w:val="00D92A8E"/>
    <w:rsid w:val="00D92B86"/>
    <w:rsid w:val="00D92BB4"/>
    <w:rsid w:val="00D92FF3"/>
    <w:rsid w:val="00D9315B"/>
    <w:rsid w:val="00D933C4"/>
    <w:rsid w:val="00D93800"/>
    <w:rsid w:val="00D93C59"/>
    <w:rsid w:val="00D94BDD"/>
    <w:rsid w:val="00D95615"/>
    <w:rsid w:val="00D960F1"/>
    <w:rsid w:val="00D96C0A"/>
    <w:rsid w:val="00D97AF0"/>
    <w:rsid w:val="00DA06E1"/>
    <w:rsid w:val="00DA11FE"/>
    <w:rsid w:val="00DA1668"/>
    <w:rsid w:val="00DA1671"/>
    <w:rsid w:val="00DA2134"/>
    <w:rsid w:val="00DA2648"/>
    <w:rsid w:val="00DA33A6"/>
    <w:rsid w:val="00DA33D3"/>
    <w:rsid w:val="00DA3499"/>
    <w:rsid w:val="00DA3CB3"/>
    <w:rsid w:val="00DA4397"/>
    <w:rsid w:val="00DA49DD"/>
    <w:rsid w:val="00DA4F92"/>
    <w:rsid w:val="00DA523E"/>
    <w:rsid w:val="00DB0847"/>
    <w:rsid w:val="00DB0859"/>
    <w:rsid w:val="00DB0AE3"/>
    <w:rsid w:val="00DB0F4F"/>
    <w:rsid w:val="00DB1C04"/>
    <w:rsid w:val="00DB21F2"/>
    <w:rsid w:val="00DB22EE"/>
    <w:rsid w:val="00DB3269"/>
    <w:rsid w:val="00DB35B3"/>
    <w:rsid w:val="00DB38B2"/>
    <w:rsid w:val="00DB5B13"/>
    <w:rsid w:val="00DB5B82"/>
    <w:rsid w:val="00DB5C86"/>
    <w:rsid w:val="00DB63D3"/>
    <w:rsid w:val="00DB7E39"/>
    <w:rsid w:val="00DB7EE8"/>
    <w:rsid w:val="00DC0165"/>
    <w:rsid w:val="00DC23E3"/>
    <w:rsid w:val="00DC2DDF"/>
    <w:rsid w:val="00DC3527"/>
    <w:rsid w:val="00DC41CF"/>
    <w:rsid w:val="00DC48FA"/>
    <w:rsid w:val="00DC50E3"/>
    <w:rsid w:val="00DC5249"/>
    <w:rsid w:val="00DC564B"/>
    <w:rsid w:val="00DC61AF"/>
    <w:rsid w:val="00DC623F"/>
    <w:rsid w:val="00DC72D8"/>
    <w:rsid w:val="00DC73F9"/>
    <w:rsid w:val="00DC7B5F"/>
    <w:rsid w:val="00DD00F8"/>
    <w:rsid w:val="00DD022A"/>
    <w:rsid w:val="00DD1275"/>
    <w:rsid w:val="00DD252C"/>
    <w:rsid w:val="00DD2593"/>
    <w:rsid w:val="00DD27BF"/>
    <w:rsid w:val="00DD30D7"/>
    <w:rsid w:val="00DD3183"/>
    <w:rsid w:val="00DD38AC"/>
    <w:rsid w:val="00DD4B46"/>
    <w:rsid w:val="00DD59CB"/>
    <w:rsid w:val="00DD644F"/>
    <w:rsid w:val="00DD74CF"/>
    <w:rsid w:val="00DE0245"/>
    <w:rsid w:val="00DE22D7"/>
    <w:rsid w:val="00DE350E"/>
    <w:rsid w:val="00DE3634"/>
    <w:rsid w:val="00DE3668"/>
    <w:rsid w:val="00DE39CA"/>
    <w:rsid w:val="00DE433D"/>
    <w:rsid w:val="00DE477D"/>
    <w:rsid w:val="00DE4D46"/>
    <w:rsid w:val="00DE5000"/>
    <w:rsid w:val="00DE5EE9"/>
    <w:rsid w:val="00DE7DFE"/>
    <w:rsid w:val="00DE7E5F"/>
    <w:rsid w:val="00DF0E72"/>
    <w:rsid w:val="00DF1BB4"/>
    <w:rsid w:val="00DF2EE4"/>
    <w:rsid w:val="00DF535A"/>
    <w:rsid w:val="00DF6079"/>
    <w:rsid w:val="00DF6A8F"/>
    <w:rsid w:val="00DF6E04"/>
    <w:rsid w:val="00DF70AA"/>
    <w:rsid w:val="00DF71E3"/>
    <w:rsid w:val="00E00859"/>
    <w:rsid w:val="00E0139E"/>
    <w:rsid w:val="00E01CA9"/>
    <w:rsid w:val="00E02257"/>
    <w:rsid w:val="00E02737"/>
    <w:rsid w:val="00E027ED"/>
    <w:rsid w:val="00E0644B"/>
    <w:rsid w:val="00E06713"/>
    <w:rsid w:val="00E079CC"/>
    <w:rsid w:val="00E112D8"/>
    <w:rsid w:val="00E11C32"/>
    <w:rsid w:val="00E1238A"/>
    <w:rsid w:val="00E1271A"/>
    <w:rsid w:val="00E12FEF"/>
    <w:rsid w:val="00E132E8"/>
    <w:rsid w:val="00E137B2"/>
    <w:rsid w:val="00E13E37"/>
    <w:rsid w:val="00E13F56"/>
    <w:rsid w:val="00E14306"/>
    <w:rsid w:val="00E15347"/>
    <w:rsid w:val="00E15931"/>
    <w:rsid w:val="00E15AE5"/>
    <w:rsid w:val="00E15AF7"/>
    <w:rsid w:val="00E15E84"/>
    <w:rsid w:val="00E15FB0"/>
    <w:rsid w:val="00E17914"/>
    <w:rsid w:val="00E17C82"/>
    <w:rsid w:val="00E2010D"/>
    <w:rsid w:val="00E225CA"/>
    <w:rsid w:val="00E229D6"/>
    <w:rsid w:val="00E23890"/>
    <w:rsid w:val="00E24DA6"/>
    <w:rsid w:val="00E24E33"/>
    <w:rsid w:val="00E2532F"/>
    <w:rsid w:val="00E2541A"/>
    <w:rsid w:val="00E25D0F"/>
    <w:rsid w:val="00E260E9"/>
    <w:rsid w:val="00E26C42"/>
    <w:rsid w:val="00E27669"/>
    <w:rsid w:val="00E3098A"/>
    <w:rsid w:val="00E310CD"/>
    <w:rsid w:val="00E32FA7"/>
    <w:rsid w:val="00E333BE"/>
    <w:rsid w:val="00E33481"/>
    <w:rsid w:val="00E33BBF"/>
    <w:rsid w:val="00E33C23"/>
    <w:rsid w:val="00E34161"/>
    <w:rsid w:val="00E34E24"/>
    <w:rsid w:val="00E3709A"/>
    <w:rsid w:val="00E37197"/>
    <w:rsid w:val="00E376D8"/>
    <w:rsid w:val="00E37B4D"/>
    <w:rsid w:val="00E37D0F"/>
    <w:rsid w:val="00E37E43"/>
    <w:rsid w:val="00E37FCF"/>
    <w:rsid w:val="00E406D7"/>
    <w:rsid w:val="00E40848"/>
    <w:rsid w:val="00E40F6D"/>
    <w:rsid w:val="00E41FA2"/>
    <w:rsid w:val="00E421EA"/>
    <w:rsid w:val="00E43A57"/>
    <w:rsid w:val="00E4414E"/>
    <w:rsid w:val="00E44805"/>
    <w:rsid w:val="00E452E2"/>
    <w:rsid w:val="00E467F3"/>
    <w:rsid w:val="00E46808"/>
    <w:rsid w:val="00E46935"/>
    <w:rsid w:val="00E46B00"/>
    <w:rsid w:val="00E46FF0"/>
    <w:rsid w:val="00E50633"/>
    <w:rsid w:val="00E515C1"/>
    <w:rsid w:val="00E52108"/>
    <w:rsid w:val="00E527E3"/>
    <w:rsid w:val="00E52D84"/>
    <w:rsid w:val="00E53683"/>
    <w:rsid w:val="00E53852"/>
    <w:rsid w:val="00E53943"/>
    <w:rsid w:val="00E53A41"/>
    <w:rsid w:val="00E54247"/>
    <w:rsid w:val="00E54C10"/>
    <w:rsid w:val="00E57530"/>
    <w:rsid w:val="00E576BC"/>
    <w:rsid w:val="00E5771C"/>
    <w:rsid w:val="00E60044"/>
    <w:rsid w:val="00E60F03"/>
    <w:rsid w:val="00E61C15"/>
    <w:rsid w:val="00E62186"/>
    <w:rsid w:val="00E62AE4"/>
    <w:rsid w:val="00E62D78"/>
    <w:rsid w:val="00E632F3"/>
    <w:rsid w:val="00E6398E"/>
    <w:rsid w:val="00E63A55"/>
    <w:rsid w:val="00E64614"/>
    <w:rsid w:val="00E64991"/>
    <w:rsid w:val="00E659DA"/>
    <w:rsid w:val="00E67736"/>
    <w:rsid w:val="00E67B86"/>
    <w:rsid w:val="00E70136"/>
    <w:rsid w:val="00E7106D"/>
    <w:rsid w:val="00E7186F"/>
    <w:rsid w:val="00E71C1D"/>
    <w:rsid w:val="00E72045"/>
    <w:rsid w:val="00E7261F"/>
    <w:rsid w:val="00E72E34"/>
    <w:rsid w:val="00E72EDF"/>
    <w:rsid w:val="00E73F90"/>
    <w:rsid w:val="00E7477F"/>
    <w:rsid w:val="00E754D2"/>
    <w:rsid w:val="00E7594F"/>
    <w:rsid w:val="00E759BB"/>
    <w:rsid w:val="00E75E80"/>
    <w:rsid w:val="00E75FEA"/>
    <w:rsid w:val="00E77884"/>
    <w:rsid w:val="00E80E4A"/>
    <w:rsid w:val="00E82835"/>
    <w:rsid w:val="00E82B9F"/>
    <w:rsid w:val="00E83C26"/>
    <w:rsid w:val="00E83D21"/>
    <w:rsid w:val="00E83E10"/>
    <w:rsid w:val="00E8555B"/>
    <w:rsid w:val="00E8619B"/>
    <w:rsid w:val="00E86743"/>
    <w:rsid w:val="00E87576"/>
    <w:rsid w:val="00E87616"/>
    <w:rsid w:val="00E878C7"/>
    <w:rsid w:val="00E904EC"/>
    <w:rsid w:val="00E90EC5"/>
    <w:rsid w:val="00E90F0B"/>
    <w:rsid w:val="00E913EE"/>
    <w:rsid w:val="00E92146"/>
    <w:rsid w:val="00E9267F"/>
    <w:rsid w:val="00E92893"/>
    <w:rsid w:val="00E92F64"/>
    <w:rsid w:val="00E938BA"/>
    <w:rsid w:val="00E94939"/>
    <w:rsid w:val="00E950B6"/>
    <w:rsid w:val="00E95FA4"/>
    <w:rsid w:val="00E96E6F"/>
    <w:rsid w:val="00E97657"/>
    <w:rsid w:val="00E97D9A"/>
    <w:rsid w:val="00EA016B"/>
    <w:rsid w:val="00EA0245"/>
    <w:rsid w:val="00EA0446"/>
    <w:rsid w:val="00EA0AF7"/>
    <w:rsid w:val="00EA0ECB"/>
    <w:rsid w:val="00EA0FEE"/>
    <w:rsid w:val="00EA1F2E"/>
    <w:rsid w:val="00EA281E"/>
    <w:rsid w:val="00EA3D6E"/>
    <w:rsid w:val="00EA50CB"/>
    <w:rsid w:val="00EA64DE"/>
    <w:rsid w:val="00EA6F35"/>
    <w:rsid w:val="00EA7021"/>
    <w:rsid w:val="00EA7F6E"/>
    <w:rsid w:val="00EB0483"/>
    <w:rsid w:val="00EB0865"/>
    <w:rsid w:val="00EB124F"/>
    <w:rsid w:val="00EB12FF"/>
    <w:rsid w:val="00EB1B4F"/>
    <w:rsid w:val="00EB28A2"/>
    <w:rsid w:val="00EB28AB"/>
    <w:rsid w:val="00EB2C0F"/>
    <w:rsid w:val="00EB2CCB"/>
    <w:rsid w:val="00EB2E8D"/>
    <w:rsid w:val="00EB4229"/>
    <w:rsid w:val="00EB46ED"/>
    <w:rsid w:val="00EB4F4A"/>
    <w:rsid w:val="00EB53E6"/>
    <w:rsid w:val="00EB55CE"/>
    <w:rsid w:val="00EB5DA5"/>
    <w:rsid w:val="00EB6E06"/>
    <w:rsid w:val="00EB7069"/>
    <w:rsid w:val="00EB71C8"/>
    <w:rsid w:val="00EC016A"/>
    <w:rsid w:val="00EC01BE"/>
    <w:rsid w:val="00EC1220"/>
    <w:rsid w:val="00EC185D"/>
    <w:rsid w:val="00EC1C0B"/>
    <w:rsid w:val="00EC1EDC"/>
    <w:rsid w:val="00EC1EFA"/>
    <w:rsid w:val="00EC3919"/>
    <w:rsid w:val="00EC3A8F"/>
    <w:rsid w:val="00EC3EE7"/>
    <w:rsid w:val="00EC41C7"/>
    <w:rsid w:val="00EC4BEE"/>
    <w:rsid w:val="00EC501F"/>
    <w:rsid w:val="00EC5615"/>
    <w:rsid w:val="00EC5DFA"/>
    <w:rsid w:val="00EC63B9"/>
    <w:rsid w:val="00EC6560"/>
    <w:rsid w:val="00EC7B7B"/>
    <w:rsid w:val="00EC7D04"/>
    <w:rsid w:val="00ED05D6"/>
    <w:rsid w:val="00ED0AF2"/>
    <w:rsid w:val="00ED17CF"/>
    <w:rsid w:val="00ED1C0A"/>
    <w:rsid w:val="00ED1EFA"/>
    <w:rsid w:val="00ED1FB1"/>
    <w:rsid w:val="00ED2059"/>
    <w:rsid w:val="00ED2748"/>
    <w:rsid w:val="00ED3442"/>
    <w:rsid w:val="00ED3654"/>
    <w:rsid w:val="00ED369F"/>
    <w:rsid w:val="00ED3942"/>
    <w:rsid w:val="00ED3A62"/>
    <w:rsid w:val="00ED3C0F"/>
    <w:rsid w:val="00ED482F"/>
    <w:rsid w:val="00ED5139"/>
    <w:rsid w:val="00ED64C1"/>
    <w:rsid w:val="00ED6BC1"/>
    <w:rsid w:val="00ED77BE"/>
    <w:rsid w:val="00ED7BD7"/>
    <w:rsid w:val="00EE09FF"/>
    <w:rsid w:val="00EE1B78"/>
    <w:rsid w:val="00EE226A"/>
    <w:rsid w:val="00EE3230"/>
    <w:rsid w:val="00EE4058"/>
    <w:rsid w:val="00EE4193"/>
    <w:rsid w:val="00EE57F1"/>
    <w:rsid w:val="00EE5E1C"/>
    <w:rsid w:val="00EE7333"/>
    <w:rsid w:val="00EE77CD"/>
    <w:rsid w:val="00EF0140"/>
    <w:rsid w:val="00EF04C6"/>
    <w:rsid w:val="00EF0B47"/>
    <w:rsid w:val="00EF0CDB"/>
    <w:rsid w:val="00EF1675"/>
    <w:rsid w:val="00EF1791"/>
    <w:rsid w:val="00EF1B9A"/>
    <w:rsid w:val="00EF3AC4"/>
    <w:rsid w:val="00EF546F"/>
    <w:rsid w:val="00EF5721"/>
    <w:rsid w:val="00EF62E4"/>
    <w:rsid w:val="00EF66A4"/>
    <w:rsid w:val="00EF684D"/>
    <w:rsid w:val="00EF6899"/>
    <w:rsid w:val="00EF6996"/>
    <w:rsid w:val="00EF74EF"/>
    <w:rsid w:val="00EF7E61"/>
    <w:rsid w:val="00F002B0"/>
    <w:rsid w:val="00F0046B"/>
    <w:rsid w:val="00F008DA"/>
    <w:rsid w:val="00F00E19"/>
    <w:rsid w:val="00F00FCE"/>
    <w:rsid w:val="00F01019"/>
    <w:rsid w:val="00F01D92"/>
    <w:rsid w:val="00F0256C"/>
    <w:rsid w:val="00F0272B"/>
    <w:rsid w:val="00F0332C"/>
    <w:rsid w:val="00F041F2"/>
    <w:rsid w:val="00F04E1E"/>
    <w:rsid w:val="00F05884"/>
    <w:rsid w:val="00F0604B"/>
    <w:rsid w:val="00F06CB3"/>
    <w:rsid w:val="00F07327"/>
    <w:rsid w:val="00F07851"/>
    <w:rsid w:val="00F07F20"/>
    <w:rsid w:val="00F10382"/>
    <w:rsid w:val="00F103B3"/>
    <w:rsid w:val="00F104D7"/>
    <w:rsid w:val="00F10D11"/>
    <w:rsid w:val="00F111AC"/>
    <w:rsid w:val="00F11C92"/>
    <w:rsid w:val="00F12176"/>
    <w:rsid w:val="00F121E4"/>
    <w:rsid w:val="00F125BE"/>
    <w:rsid w:val="00F12904"/>
    <w:rsid w:val="00F129F6"/>
    <w:rsid w:val="00F13133"/>
    <w:rsid w:val="00F1359A"/>
    <w:rsid w:val="00F14ADA"/>
    <w:rsid w:val="00F15F31"/>
    <w:rsid w:val="00F16614"/>
    <w:rsid w:val="00F16630"/>
    <w:rsid w:val="00F16CB9"/>
    <w:rsid w:val="00F1772A"/>
    <w:rsid w:val="00F177EA"/>
    <w:rsid w:val="00F17E31"/>
    <w:rsid w:val="00F208AA"/>
    <w:rsid w:val="00F21BE7"/>
    <w:rsid w:val="00F21FDF"/>
    <w:rsid w:val="00F220C8"/>
    <w:rsid w:val="00F22BCE"/>
    <w:rsid w:val="00F22D73"/>
    <w:rsid w:val="00F2369B"/>
    <w:rsid w:val="00F24729"/>
    <w:rsid w:val="00F2497A"/>
    <w:rsid w:val="00F24BB1"/>
    <w:rsid w:val="00F24CC3"/>
    <w:rsid w:val="00F251AF"/>
    <w:rsid w:val="00F25E5A"/>
    <w:rsid w:val="00F2690E"/>
    <w:rsid w:val="00F274AA"/>
    <w:rsid w:val="00F277AB"/>
    <w:rsid w:val="00F3041A"/>
    <w:rsid w:val="00F30B0B"/>
    <w:rsid w:val="00F30FA1"/>
    <w:rsid w:val="00F31173"/>
    <w:rsid w:val="00F315CF"/>
    <w:rsid w:val="00F31859"/>
    <w:rsid w:val="00F3239A"/>
    <w:rsid w:val="00F3272B"/>
    <w:rsid w:val="00F35377"/>
    <w:rsid w:val="00F357EB"/>
    <w:rsid w:val="00F35AD3"/>
    <w:rsid w:val="00F36172"/>
    <w:rsid w:val="00F36176"/>
    <w:rsid w:val="00F3704C"/>
    <w:rsid w:val="00F371E7"/>
    <w:rsid w:val="00F375DD"/>
    <w:rsid w:val="00F37C97"/>
    <w:rsid w:val="00F37CD5"/>
    <w:rsid w:val="00F37E9D"/>
    <w:rsid w:val="00F40CBD"/>
    <w:rsid w:val="00F41952"/>
    <w:rsid w:val="00F41A82"/>
    <w:rsid w:val="00F41E14"/>
    <w:rsid w:val="00F42FDE"/>
    <w:rsid w:val="00F43C23"/>
    <w:rsid w:val="00F43FA7"/>
    <w:rsid w:val="00F440E1"/>
    <w:rsid w:val="00F443CA"/>
    <w:rsid w:val="00F4498C"/>
    <w:rsid w:val="00F449D0"/>
    <w:rsid w:val="00F451C5"/>
    <w:rsid w:val="00F45226"/>
    <w:rsid w:val="00F4672C"/>
    <w:rsid w:val="00F46B11"/>
    <w:rsid w:val="00F46E21"/>
    <w:rsid w:val="00F4711E"/>
    <w:rsid w:val="00F472E6"/>
    <w:rsid w:val="00F506A6"/>
    <w:rsid w:val="00F50C6F"/>
    <w:rsid w:val="00F5188C"/>
    <w:rsid w:val="00F5233A"/>
    <w:rsid w:val="00F52802"/>
    <w:rsid w:val="00F52D06"/>
    <w:rsid w:val="00F54084"/>
    <w:rsid w:val="00F5484F"/>
    <w:rsid w:val="00F54ED2"/>
    <w:rsid w:val="00F55F7E"/>
    <w:rsid w:val="00F562E9"/>
    <w:rsid w:val="00F5640F"/>
    <w:rsid w:val="00F56C0B"/>
    <w:rsid w:val="00F6084E"/>
    <w:rsid w:val="00F61253"/>
    <w:rsid w:val="00F61ACD"/>
    <w:rsid w:val="00F62887"/>
    <w:rsid w:val="00F62FF7"/>
    <w:rsid w:val="00F63A1E"/>
    <w:rsid w:val="00F63E40"/>
    <w:rsid w:val="00F63EEF"/>
    <w:rsid w:val="00F6419A"/>
    <w:rsid w:val="00F64C71"/>
    <w:rsid w:val="00F64F76"/>
    <w:rsid w:val="00F66992"/>
    <w:rsid w:val="00F670B9"/>
    <w:rsid w:val="00F6762C"/>
    <w:rsid w:val="00F678E0"/>
    <w:rsid w:val="00F67C3F"/>
    <w:rsid w:val="00F67E61"/>
    <w:rsid w:val="00F70A0D"/>
    <w:rsid w:val="00F70DAD"/>
    <w:rsid w:val="00F71ABF"/>
    <w:rsid w:val="00F71BF9"/>
    <w:rsid w:val="00F72448"/>
    <w:rsid w:val="00F72657"/>
    <w:rsid w:val="00F72C10"/>
    <w:rsid w:val="00F73468"/>
    <w:rsid w:val="00F7346B"/>
    <w:rsid w:val="00F73C71"/>
    <w:rsid w:val="00F745EA"/>
    <w:rsid w:val="00F76AE6"/>
    <w:rsid w:val="00F77791"/>
    <w:rsid w:val="00F77C7C"/>
    <w:rsid w:val="00F80174"/>
    <w:rsid w:val="00F802B4"/>
    <w:rsid w:val="00F80458"/>
    <w:rsid w:val="00F80509"/>
    <w:rsid w:val="00F80D1F"/>
    <w:rsid w:val="00F81F64"/>
    <w:rsid w:val="00F82DFE"/>
    <w:rsid w:val="00F83150"/>
    <w:rsid w:val="00F834CD"/>
    <w:rsid w:val="00F83997"/>
    <w:rsid w:val="00F83B88"/>
    <w:rsid w:val="00F83DEE"/>
    <w:rsid w:val="00F848F1"/>
    <w:rsid w:val="00F8509A"/>
    <w:rsid w:val="00F85201"/>
    <w:rsid w:val="00F869B7"/>
    <w:rsid w:val="00F86FEB"/>
    <w:rsid w:val="00F87558"/>
    <w:rsid w:val="00F87596"/>
    <w:rsid w:val="00F9092F"/>
    <w:rsid w:val="00F90D87"/>
    <w:rsid w:val="00F90DCC"/>
    <w:rsid w:val="00F92CE2"/>
    <w:rsid w:val="00F93033"/>
    <w:rsid w:val="00F93AF1"/>
    <w:rsid w:val="00F93F5A"/>
    <w:rsid w:val="00F94374"/>
    <w:rsid w:val="00F943AC"/>
    <w:rsid w:val="00F95028"/>
    <w:rsid w:val="00F956E6"/>
    <w:rsid w:val="00F96F4E"/>
    <w:rsid w:val="00F97360"/>
    <w:rsid w:val="00FA010A"/>
    <w:rsid w:val="00FA1AD0"/>
    <w:rsid w:val="00FA1E70"/>
    <w:rsid w:val="00FA2713"/>
    <w:rsid w:val="00FA31C2"/>
    <w:rsid w:val="00FA396A"/>
    <w:rsid w:val="00FA3FDF"/>
    <w:rsid w:val="00FA4B54"/>
    <w:rsid w:val="00FA51DD"/>
    <w:rsid w:val="00FA6080"/>
    <w:rsid w:val="00FA650F"/>
    <w:rsid w:val="00FA6792"/>
    <w:rsid w:val="00FA679D"/>
    <w:rsid w:val="00FA6F77"/>
    <w:rsid w:val="00FA734C"/>
    <w:rsid w:val="00FA7ADD"/>
    <w:rsid w:val="00FA7E18"/>
    <w:rsid w:val="00FB0BE9"/>
    <w:rsid w:val="00FB3532"/>
    <w:rsid w:val="00FB4937"/>
    <w:rsid w:val="00FB4C61"/>
    <w:rsid w:val="00FB5A30"/>
    <w:rsid w:val="00FB5ADA"/>
    <w:rsid w:val="00FB6487"/>
    <w:rsid w:val="00FB65BC"/>
    <w:rsid w:val="00FB7B41"/>
    <w:rsid w:val="00FB7ED9"/>
    <w:rsid w:val="00FC07B5"/>
    <w:rsid w:val="00FC13B3"/>
    <w:rsid w:val="00FC2CAA"/>
    <w:rsid w:val="00FC2F57"/>
    <w:rsid w:val="00FC36E8"/>
    <w:rsid w:val="00FC4CB4"/>
    <w:rsid w:val="00FC4E58"/>
    <w:rsid w:val="00FC5544"/>
    <w:rsid w:val="00FC593D"/>
    <w:rsid w:val="00FC6E5A"/>
    <w:rsid w:val="00FC717E"/>
    <w:rsid w:val="00FC7896"/>
    <w:rsid w:val="00FD0822"/>
    <w:rsid w:val="00FD1CC4"/>
    <w:rsid w:val="00FD2570"/>
    <w:rsid w:val="00FD2864"/>
    <w:rsid w:val="00FD2AAD"/>
    <w:rsid w:val="00FD35FE"/>
    <w:rsid w:val="00FD371D"/>
    <w:rsid w:val="00FD5ECB"/>
    <w:rsid w:val="00FD6221"/>
    <w:rsid w:val="00FD62DF"/>
    <w:rsid w:val="00FD6D2A"/>
    <w:rsid w:val="00FE078D"/>
    <w:rsid w:val="00FE0BE7"/>
    <w:rsid w:val="00FE1119"/>
    <w:rsid w:val="00FE1C3B"/>
    <w:rsid w:val="00FE223D"/>
    <w:rsid w:val="00FE29B8"/>
    <w:rsid w:val="00FE2CE5"/>
    <w:rsid w:val="00FE33E9"/>
    <w:rsid w:val="00FE4B4E"/>
    <w:rsid w:val="00FE50E9"/>
    <w:rsid w:val="00FE5239"/>
    <w:rsid w:val="00FE608D"/>
    <w:rsid w:val="00FE6A55"/>
    <w:rsid w:val="00FE7661"/>
    <w:rsid w:val="00FE7CD7"/>
    <w:rsid w:val="00FF039C"/>
    <w:rsid w:val="00FF1ABE"/>
    <w:rsid w:val="00FF1B96"/>
    <w:rsid w:val="00FF1E30"/>
    <w:rsid w:val="00FF2E4D"/>
    <w:rsid w:val="00FF4C29"/>
    <w:rsid w:val="00FF4D41"/>
    <w:rsid w:val="00FF6292"/>
    <w:rsid w:val="00FF6721"/>
    <w:rsid w:val="00FF69A8"/>
    <w:rsid w:val="00FF6AE7"/>
    <w:rsid w:val="00FF728F"/>
    <w:rsid w:val="00FF75C9"/>
    <w:rsid w:val="00FF7B50"/>
    <w:rsid w:val="73E2795B"/>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6712D58"/>
  <w15:docId w15:val="{1408C6B1-6044-43BC-9A6F-8AC659A0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uiPriority="9" w:qFormat="1"/>
    <w:lsdException w:name="heading 3" w:uiPriority="10" w:qFormat="1"/>
    <w:lsdException w:name="heading 4" w:uiPriority="11" w:qFormat="1"/>
    <w:lsdException w:name="heading 5" w:uiPriority="12"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40" w:unhideWhenUsed="1"/>
    <w:lsdException w:name="table of authorities" w:semiHidden="1" w:uiPriority="39" w:unhideWhenUsed="1"/>
    <w:lsdException w:name="macro" w:semiHidden="1" w:uiPriority="0" w:unhideWhenUsed="1"/>
    <w:lsdException w:name="toa heading" w:semiHidden="1" w:uiPriority="39" w:unhideWhenUsed="1"/>
    <w:lsdException w:name="List" w:semiHidden="1" w:unhideWhenUsed="1"/>
    <w:lsdException w:name="List Bullet" w:semiHidden="1" w:uiPriority="24" w:unhideWhenUsed="1" w:qFormat="1"/>
    <w:lsdException w:name="List Number" w:semiHidden="1" w:uiPriority="2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4" w:unhideWhenUsed="1" w:qFormat="1"/>
    <w:lsdException w:name="List Bullet 3" w:semiHidden="1" w:uiPriority="24" w:unhideWhenUsed="1" w:qFormat="1"/>
    <w:lsdException w:name="List Bullet 4" w:semiHidden="1" w:uiPriority="24" w:unhideWhenUsed="1"/>
    <w:lsdException w:name="List Bullet 5" w:semiHidden="1" w:uiPriority="24" w:unhideWhenUsed="1"/>
    <w:lsdException w:name="List Number 2" w:semiHidden="1" w:uiPriority="24" w:unhideWhenUsed="1"/>
    <w:lsdException w:name="List Number 3" w:semiHidden="1" w:uiPriority="24" w:unhideWhenUsed="1"/>
    <w:lsdException w:name="List Number 4" w:semiHidden="1" w:uiPriority="24" w:unhideWhenUsed="1"/>
    <w:lsdException w:name="List Number 5" w:semiHidden="1" w:uiPriority="24" w:unhideWhenUsed="1"/>
    <w:lsdException w:name="Title" w:uiPriority="0" w:qFormat="1"/>
    <w:lsdException w:name="Closing" w:semiHidden="1" w:unhideWhenUsed="1"/>
    <w:lsdException w:name="Signature" w:semiHidden="1" w:uiPriority="3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9"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358"/>
    <w:pPr>
      <w:spacing w:after="160" w:line="259" w:lineRule="auto"/>
    </w:pPr>
    <w:rPr>
      <w:rFonts w:asciiTheme="minorHAnsi" w:eastAsiaTheme="minorHAnsi" w:hAnsiTheme="minorHAnsi" w:cstheme="minorBidi"/>
      <w:sz w:val="22"/>
      <w:szCs w:val="22"/>
      <w:lang w:val="en-GB"/>
    </w:rPr>
  </w:style>
  <w:style w:type="paragraph" w:styleId="Heading1">
    <w:name w:val="heading 1"/>
    <w:basedOn w:val="Normal"/>
    <w:next w:val="Heading2"/>
    <w:link w:val="Heading1Char"/>
    <w:uiPriority w:val="4"/>
    <w:qFormat/>
    <w:rsid w:val="006D5358"/>
    <w:pPr>
      <w:keepNext/>
      <w:keepLines/>
      <w:numPr>
        <w:numId w:val="10"/>
      </w:numPr>
      <w:spacing w:before="480" w:after="0"/>
      <w:outlineLvl w:val="0"/>
    </w:pPr>
    <w:rPr>
      <w:rFonts w:ascii="Cambria" w:eastAsia="Times New Roman" w:hAnsi="Cambria"/>
      <w:b/>
      <w:bCs/>
      <w:sz w:val="28"/>
      <w:szCs w:val="28"/>
    </w:rPr>
  </w:style>
  <w:style w:type="paragraph" w:styleId="Heading2">
    <w:name w:val="heading 2"/>
    <w:basedOn w:val="Normal"/>
    <w:link w:val="Heading2Char"/>
    <w:uiPriority w:val="9"/>
    <w:qFormat/>
    <w:rsid w:val="002F7D7E"/>
    <w:pPr>
      <w:keepNext/>
      <w:keepLines/>
      <w:numPr>
        <w:ilvl w:val="1"/>
        <w:numId w:val="10"/>
      </w:numPr>
      <w:spacing w:before="200" w:after="0"/>
      <w:outlineLvl w:val="1"/>
    </w:pPr>
    <w:rPr>
      <w:rFonts w:ascii="Cambria" w:eastAsia="Times New Roman" w:hAnsi="Cambria"/>
      <w:b/>
      <w:bCs/>
      <w:sz w:val="26"/>
      <w:szCs w:val="26"/>
    </w:rPr>
  </w:style>
  <w:style w:type="paragraph" w:styleId="Heading3">
    <w:name w:val="heading 3"/>
    <w:basedOn w:val="Normal"/>
    <w:link w:val="Heading3Char"/>
    <w:uiPriority w:val="10"/>
    <w:qFormat/>
    <w:rsid w:val="002F7D7E"/>
    <w:pPr>
      <w:keepNext/>
      <w:keepLines/>
      <w:numPr>
        <w:ilvl w:val="2"/>
        <w:numId w:val="10"/>
      </w:numPr>
      <w:spacing w:before="200" w:after="0"/>
      <w:outlineLvl w:val="2"/>
    </w:pPr>
    <w:rPr>
      <w:rFonts w:ascii="Cambria" w:eastAsia="Times New Roman" w:hAnsi="Cambria"/>
      <w:b/>
      <w:bCs/>
    </w:rPr>
  </w:style>
  <w:style w:type="paragraph" w:styleId="Heading4">
    <w:name w:val="heading 4"/>
    <w:basedOn w:val="Normal"/>
    <w:link w:val="Heading4Char"/>
    <w:uiPriority w:val="11"/>
    <w:unhideWhenUsed/>
    <w:qFormat/>
    <w:rsid w:val="002F7D7E"/>
    <w:pPr>
      <w:keepNext/>
      <w:keepLines/>
      <w:numPr>
        <w:ilvl w:val="3"/>
        <w:numId w:val="10"/>
      </w:numPr>
      <w:spacing w:before="200" w:after="0"/>
      <w:outlineLvl w:val="3"/>
    </w:pPr>
    <w:rPr>
      <w:rFonts w:ascii="Cambria" w:eastAsia="Times New Roman" w:hAnsi="Cambria"/>
      <w:b/>
      <w:bCs/>
      <w:i/>
      <w:iCs/>
    </w:rPr>
  </w:style>
  <w:style w:type="paragraph" w:styleId="Heading5">
    <w:name w:val="heading 5"/>
    <w:basedOn w:val="Normal"/>
    <w:link w:val="Heading5Char"/>
    <w:uiPriority w:val="12"/>
    <w:unhideWhenUsed/>
    <w:qFormat/>
    <w:rsid w:val="002F7D7E"/>
    <w:pPr>
      <w:keepNext/>
      <w:keepLines/>
      <w:numPr>
        <w:ilvl w:val="4"/>
        <w:numId w:val="10"/>
      </w:numPr>
      <w:spacing w:before="200" w:after="0"/>
      <w:outlineLvl w:val="4"/>
    </w:pPr>
    <w:rPr>
      <w:rFonts w:ascii="Cambria" w:eastAsia="Times New Roman" w:hAnsi="Cambria"/>
    </w:rPr>
  </w:style>
  <w:style w:type="paragraph" w:styleId="Heading6">
    <w:name w:val="heading 6"/>
    <w:basedOn w:val="Normal"/>
    <w:link w:val="Heading6Char"/>
    <w:uiPriority w:val="9"/>
    <w:unhideWhenUsed/>
    <w:qFormat/>
    <w:rsid w:val="002F7D7E"/>
    <w:pPr>
      <w:keepNext/>
      <w:keepLines/>
      <w:numPr>
        <w:ilvl w:val="5"/>
        <w:numId w:val="10"/>
      </w:numPr>
      <w:spacing w:before="200" w:after="0"/>
      <w:outlineLvl w:val="5"/>
    </w:pPr>
    <w:rPr>
      <w:rFonts w:ascii="Cambria" w:eastAsia="Times New Roman" w:hAnsi="Cambria"/>
      <w:i/>
      <w:iCs/>
    </w:rPr>
  </w:style>
  <w:style w:type="paragraph" w:styleId="Heading7">
    <w:name w:val="heading 7"/>
    <w:basedOn w:val="Normal"/>
    <w:link w:val="Heading7Char"/>
    <w:uiPriority w:val="9"/>
    <w:unhideWhenUsed/>
    <w:qFormat/>
    <w:rsid w:val="002F7D7E"/>
    <w:pPr>
      <w:keepNext/>
      <w:keepLines/>
      <w:numPr>
        <w:ilvl w:val="6"/>
        <w:numId w:val="10"/>
      </w:numPr>
      <w:spacing w:before="200" w:after="0"/>
      <w:outlineLvl w:val="6"/>
    </w:pPr>
    <w:rPr>
      <w:rFonts w:ascii="Cambria" w:eastAsia="Times New Roman" w:hAnsi="Cambria"/>
      <w:i/>
      <w:iCs/>
    </w:rPr>
  </w:style>
  <w:style w:type="paragraph" w:styleId="Heading8">
    <w:name w:val="heading 8"/>
    <w:basedOn w:val="Normal"/>
    <w:link w:val="Heading8Char"/>
    <w:uiPriority w:val="9"/>
    <w:qFormat/>
    <w:rsid w:val="002F7D7E"/>
    <w:pPr>
      <w:keepNext/>
      <w:keepLines/>
      <w:numPr>
        <w:ilvl w:val="7"/>
        <w:numId w:val="10"/>
      </w:numPr>
      <w:spacing w:before="200" w:after="0"/>
      <w:outlineLvl w:val="7"/>
    </w:pPr>
    <w:rPr>
      <w:rFonts w:ascii="Cambria" w:eastAsia="Times New Roman" w:hAnsi="Cambria"/>
      <w:sz w:val="20"/>
      <w:szCs w:val="20"/>
    </w:rPr>
  </w:style>
  <w:style w:type="paragraph" w:styleId="Heading9">
    <w:name w:val="heading 9"/>
    <w:basedOn w:val="Normal"/>
    <w:link w:val="Heading9Char"/>
    <w:uiPriority w:val="9"/>
    <w:qFormat/>
    <w:rsid w:val="002F7D7E"/>
    <w:pPr>
      <w:keepNext/>
      <w:keepLines/>
      <w:numPr>
        <w:ilvl w:val="8"/>
        <w:numId w:val="10"/>
      </w:numPr>
      <w:spacing w:before="200" w:after="0"/>
      <w:outlineLvl w:val="8"/>
    </w:pPr>
    <w:rPr>
      <w:rFonts w:ascii="Cambria" w:eastAsia="Times New Roman" w:hAnsi="Cambria"/>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F846C0"/>
    <w:pPr>
      <w:spacing w:after="120"/>
    </w:pPr>
    <w:rPr>
      <w:rFonts w:ascii="Arial" w:eastAsia="Arial Unicode MS" w:hAnsi="Arial" w:cs="Arial"/>
      <w:color w:val="000000"/>
      <w:sz w:val="24"/>
      <w:szCs w:val="24"/>
    </w:rPr>
  </w:style>
  <w:style w:type="character" w:customStyle="1" w:styleId="AbstractChar">
    <w:name w:val="Abstract Char"/>
    <w:link w:val="Abstract"/>
    <w:rsid w:val="00F846C0"/>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F846C0"/>
    <w:pPr>
      <w:numPr>
        <w:numId w:val="11"/>
      </w:numPr>
      <w:spacing w:before="240" w:after="240"/>
    </w:pPr>
    <w:rPr>
      <w:b/>
    </w:rPr>
  </w:style>
  <w:style w:type="paragraph" w:customStyle="1" w:styleId="AuthoringGroup">
    <w:name w:val="Authoring Group"/>
    <w:link w:val="AuthoringGroupChar"/>
    <w:rsid w:val="00F846C0"/>
    <w:pPr>
      <w:spacing w:after="120"/>
    </w:pPr>
    <w:rPr>
      <w:rFonts w:ascii="Arial" w:eastAsia="Arial Unicode MS" w:hAnsi="Arial" w:cs="Arial"/>
      <w:color w:val="000000"/>
      <w:sz w:val="24"/>
      <w:szCs w:val="22"/>
    </w:rPr>
  </w:style>
  <w:style w:type="character" w:customStyle="1" w:styleId="AuthoringGroupChar">
    <w:name w:val="Authoring Group Char"/>
    <w:link w:val="AuthoringGroup"/>
    <w:rsid w:val="00F846C0"/>
    <w:rPr>
      <w:rFonts w:ascii="Arial" w:eastAsia="Arial Unicode MS" w:hAnsi="Arial" w:cs="Arial"/>
      <w:color w:val="000000"/>
      <w:sz w:val="24"/>
      <w:lang w:val="en-US" w:eastAsia="en-US"/>
    </w:rPr>
  </w:style>
  <w:style w:type="paragraph" w:customStyle="1" w:styleId="Background">
    <w:name w:val="Background"/>
    <w:aliases w:val="(A) Background"/>
    <w:basedOn w:val="Normal"/>
    <w:rsid w:val="00F846C0"/>
    <w:pPr>
      <w:numPr>
        <w:numId w:val="1"/>
      </w:numPr>
      <w:spacing w:before="120" w:after="120" w:line="300" w:lineRule="atLeast"/>
      <w:jc w:val="both"/>
    </w:pPr>
    <w:rPr>
      <w:rFonts w:eastAsia="Arial Unicode MS"/>
      <w:szCs w:val="20"/>
    </w:rPr>
  </w:style>
  <w:style w:type="paragraph" w:customStyle="1" w:styleId="BulletList1">
    <w:name w:val="Bullet List 1"/>
    <w:aliases w:val="Bullet1"/>
    <w:basedOn w:val="Normal"/>
    <w:rsid w:val="00F846C0"/>
    <w:pPr>
      <w:numPr>
        <w:numId w:val="2"/>
      </w:numPr>
      <w:spacing w:after="240" w:line="300" w:lineRule="atLeast"/>
      <w:jc w:val="both"/>
    </w:pPr>
    <w:rPr>
      <w:rFonts w:eastAsia="Arial Unicode MS"/>
      <w:szCs w:val="20"/>
    </w:rPr>
  </w:style>
  <w:style w:type="paragraph" w:customStyle="1" w:styleId="BulletList2">
    <w:name w:val="Bullet List 2"/>
    <w:aliases w:val="Bullet2"/>
    <w:basedOn w:val="Normal"/>
    <w:rsid w:val="006D5358"/>
    <w:pPr>
      <w:numPr>
        <w:numId w:val="3"/>
      </w:numPr>
      <w:spacing w:after="120" w:line="240" w:lineRule="auto"/>
      <w:jc w:val="both"/>
    </w:pPr>
    <w:rPr>
      <w:rFonts w:eastAsia="Arial Unicode MS"/>
      <w:szCs w:val="20"/>
    </w:rPr>
  </w:style>
  <w:style w:type="paragraph" w:customStyle="1" w:styleId="BulletList3">
    <w:name w:val="Bullet List 3"/>
    <w:aliases w:val="Bullet3"/>
    <w:basedOn w:val="Normal"/>
    <w:rsid w:val="006D5358"/>
    <w:pPr>
      <w:numPr>
        <w:numId w:val="4"/>
      </w:numPr>
      <w:spacing w:after="240" w:line="240" w:lineRule="auto"/>
      <w:jc w:val="both"/>
    </w:pPr>
    <w:rPr>
      <w:rFonts w:eastAsia="Arial Unicode MS"/>
      <w:szCs w:val="20"/>
    </w:rPr>
  </w:style>
  <w:style w:type="paragraph" w:customStyle="1" w:styleId="TitleClause">
    <w:name w:val="Title Clause"/>
    <w:basedOn w:val="Normal"/>
    <w:qFormat/>
    <w:rsid w:val="00F846C0"/>
    <w:pPr>
      <w:keepNext/>
      <w:numPr>
        <w:numId w:val="37"/>
      </w:numPr>
      <w:spacing w:before="240" w:after="240" w:line="300" w:lineRule="atLeast"/>
      <w:jc w:val="both"/>
      <w:outlineLvl w:val="0"/>
    </w:pPr>
    <w:rPr>
      <w:rFonts w:eastAsia="Arial Unicode MS"/>
      <w:b/>
      <w:kern w:val="28"/>
      <w:szCs w:val="20"/>
    </w:rPr>
  </w:style>
  <w:style w:type="paragraph" w:customStyle="1" w:styleId="ClauseNoTitle">
    <w:name w:val="Clause No Title"/>
    <w:basedOn w:val="TitleClause"/>
    <w:rsid w:val="00F846C0"/>
    <w:rPr>
      <w:b w:val="0"/>
      <w:smallCaps/>
    </w:rPr>
  </w:style>
  <w:style w:type="paragraph" w:customStyle="1" w:styleId="ClosingPara">
    <w:name w:val="Closing Para"/>
    <w:basedOn w:val="Normal"/>
    <w:rsid w:val="00F846C0"/>
    <w:pPr>
      <w:spacing w:before="120" w:after="240" w:line="300" w:lineRule="atLeast"/>
      <w:jc w:val="both"/>
    </w:pPr>
    <w:rPr>
      <w:rFonts w:eastAsia="Arial Unicode MS"/>
      <w:szCs w:val="20"/>
    </w:rPr>
  </w:style>
  <w:style w:type="paragraph" w:customStyle="1" w:styleId="ClosingSignOff">
    <w:name w:val="Closing SignOff"/>
    <w:basedOn w:val="Normal"/>
    <w:rsid w:val="00F846C0"/>
    <w:pPr>
      <w:spacing w:after="120" w:line="300" w:lineRule="atLeast"/>
      <w:jc w:val="both"/>
    </w:pPr>
    <w:rPr>
      <w:rFonts w:eastAsia="Arial Unicode MS"/>
      <w:szCs w:val="20"/>
    </w:rPr>
  </w:style>
  <w:style w:type="paragraph" w:customStyle="1" w:styleId="CoversheetTitle">
    <w:name w:val="Coversheet Title"/>
    <w:basedOn w:val="Normal"/>
    <w:autoRedefine/>
    <w:qFormat/>
    <w:rsid w:val="00ED5139"/>
    <w:pPr>
      <w:spacing w:before="480" w:after="480" w:line="300" w:lineRule="atLeast"/>
      <w:jc w:val="center"/>
    </w:pPr>
    <w:rPr>
      <w:rFonts w:ascii="Arial" w:eastAsia="Arial Unicode MS" w:hAnsi="Arial" w:cs="Arial"/>
      <w:b/>
      <w:smallCaps/>
      <w:sz w:val="36"/>
      <w:szCs w:val="36"/>
    </w:rPr>
  </w:style>
  <w:style w:type="paragraph" w:customStyle="1" w:styleId="CoverSheetHeading">
    <w:name w:val="Cover Sheet Heading"/>
    <w:aliases w:val="Coversheet Title2"/>
    <w:basedOn w:val="CoversheetTitle"/>
    <w:rsid w:val="00F846C0"/>
  </w:style>
  <w:style w:type="paragraph" w:customStyle="1" w:styleId="CoverSheetSubjectText">
    <w:name w:val="Cover Sheet Subject Text"/>
    <w:basedOn w:val="Normal"/>
    <w:rsid w:val="006D5358"/>
    <w:pPr>
      <w:spacing w:after="0" w:line="300" w:lineRule="atLeast"/>
      <w:jc w:val="center"/>
    </w:pPr>
    <w:rPr>
      <w:rFonts w:eastAsia="Arial Unicode MS"/>
      <w:szCs w:val="20"/>
    </w:rPr>
  </w:style>
  <w:style w:type="paragraph" w:customStyle="1" w:styleId="CoverSheetSubjectTitle">
    <w:name w:val="Cover Sheet Subject Title"/>
    <w:basedOn w:val="Normal"/>
    <w:rsid w:val="006D5358"/>
    <w:pPr>
      <w:spacing w:after="0" w:line="300" w:lineRule="atLeast"/>
      <w:jc w:val="center"/>
    </w:pPr>
    <w:rPr>
      <w:rFonts w:eastAsia="Arial Unicode MS"/>
      <w:szCs w:val="20"/>
    </w:rPr>
  </w:style>
  <w:style w:type="paragraph" w:customStyle="1" w:styleId="DefinedTermPara">
    <w:name w:val="Defined Term Para"/>
    <w:basedOn w:val="Paragraph"/>
    <w:qFormat/>
    <w:rsid w:val="00F846C0"/>
    <w:pPr>
      <w:numPr>
        <w:numId w:val="24"/>
      </w:numPr>
    </w:pPr>
  </w:style>
  <w:style w:type="paragraph" w:customStyle="1" w:styleId="DescriptiveHeading">
    <w:name w:val="DescriptiveHeading"/>
    <w:next w:val="Paragraph"/>
    <w:link w:val="DescriptiveHeadingChar"/>
    <w:rsid w:val="00F846C0"/>
    <w:pPr>
      <w:spacing w:before="360" w:after="360"/>
      <w:outlineLvl w:val="0"/>
    </w:pPr>
    <w:rPr>
      <w:rFonts w:ascii="Arial" w:eastAsia="Arial Unicode MS" w:hAnsi="Arial" w:cs="Arial"/>
      <w:b/>
      <w:color w:val="000000"/>
      <w:sz w:val="22"/>
      <w:szCs w:val="22"/>
    </w:rPr>
  </w:style>
  <w:style w:type="character" w:customStyle="1" w:styleId="DescriptiveHeadingChar">
    <w:name w:val="DescriptiveHeading Char"/>
    <w:link w:val="DescriptiveHeading"/>
    <w:rsid w:val="00F846C0"/>
    <w:rPr>
      <w:rFonts w:ascii="Arial" w:eastAsia="Arial Unicode MS" w:hAnsi="Arial" w:cs="Arial"/>
      <w:b/>
      <w:color w:val="000000"/>
      <w:lang w:val="en-US" w:eastAsia="en-US"/>
    </w:rPr>
  </w:style>
  <w:style w:type="paragraph" w:customStyle="1" w:styleId="DraftingnoteSection1Para">
    <w:name w:val="Draftingnote Section1 Para"/>
    <w:basedOn w:val="Normal"/>
    <w:rsid w:val="00F846C0"/>
    <w:pPr>
      <w:spacing w:after="120" w:line="300" w:lineRule="atLeast"/>
      <w:jc w:val="both"/>
    </w:pPr>
    <w:rPr>
      <w:rFonts w:eastAsia="Arial Unicode MS"/>
      <w:szCs w:val="20"/>
    </w:rPr>
  </w:style>
  <w:style w:type="paragraph" w:customStyle="1" w:styleId="DraftingnoteSection1Title">
    <w:name w:val="Draftingnote Section1 Title"/>
    <w:basedOn w:val="Normal"/>
    <w:rsid w:val="00F846C0"/>
    <w:pPr>
      <w:spacing w:after="120" w:line="300" w:lineRule="atLeast"/>
      <w:jc w:val="both"/>
    </w:pPr>
    <w:rPr>
      <w:rFonts w:eastAsia="Arial Unicode MS"/>
      <w:b/>
      <w:sz w:val="36"/>
      <w:szCs w:val="20"/>
    </w:rPr>
  </w:style>
  <w:style w:type="paragraph" w:customStyle="1" w:styleId="DraftingnoteSection2Para">
    <w:name w:val="Draftingnote Section2 Para"/>
    <w:basedOn w:val="Normal"/>
    <w:rsid w:val="00F846C0"/>
    <w:pPr>
      <w:spacing w:after="120" w:line="300" w:lineRule="atLeast"/>
      <w:jc w:val="both"/>
    </w:pPr>
    <w:rPr>
      <w:rFonts w:eastAsia="Arial Unicode MS"/>
      <w:szCs w:val="20"/>
    </w:rPr>
  </w:style>
  <w:style w:type="paragraph" w:customStyle="1" w:styleId="DraftingnoteSection2Title">
    <w:name w:val="Draftingnote Section2 Title"/>
    <w:basedOn w:val="Normal"/>
    <w:rsid w:val="00F846C0"/>
    <w:pPr>
      <w:spacing w:after="120" w:line="300" w:lineRule="atLeast"/>
      <w:jc w:val="both"/>
    </w:pPr>
    <w:rPr>
      <w:rFonts w:eastAsia="Arial Unicode MS"/>
      <w:b/>
      <w:sz w:val="28"/>
      <w:szCs w:val="20"/>
    </w:rPr>
  </w:style>
  <w:style w:type="paragraph" w:customStyle="1" w:styleId="DraftingnoteSection3Para">
    <w:name w:val="Draftingnote Section3 Para"/>
    <w:basedOn w:val="Normal"/>
    <w:rsid w:val="00F846C0"/>
    <w:pPr>
      <w:spacing w:after="120" w:line="300" w:lineRule="atLeast"/>
      <w:jc w:val="both"/>
    </w:pPr>
    <w:rPr>
      <w:rFonts w:eastAsia="Arial Unicode MS"/>
      <w:szCs w:val="20"/>
    </w:rPr>
  </w:style>
  <w:style w:type="paragraph" w:customStyle="1" w:styleId="DraftingnoteSection3Title">
    <w:name w:val="Draftingnote Section3 Title"/>
    <w:basedOn w:val="Normal"/>
    <w:rsid w:val="00F846C0"/>
    <w:pPr>
      <w:spacing w:after="120" w:line="300" w:lineRule="atLeast"/>
      <w:jc w:val="both"/>
    </w:pPr>
    <w:rPr>
      <w:rFonts w:eastAsia="Arial Unicode MS"/>
      <w:b/>
      <w:i/>
      <w:sz w:val="28"/>
      <w:szCs w:val="20"/>
    </w:rPr>
  </w:style>
  <w:style w:type="paragraph" w:customStyle="1" w:styleId="DraftingnoteSection4Para">
    <w:name w:val="Draftingnote Section4 Para"/>
    <w:basedOn w:val="Normal"/>
    <w:rsid w:val="00F846C0"/>
    <w:pPr>
      <w:spacing w:after="120" w:line="300" w:lineRule="atLeast"/>
      <w:jc w:val="both"/>
    </w:pPr>
    <w:rPr>
      <w:rFonts w:eastAsia="Arial Unicode MS"/>
      <w:szCs w:val="20"/>
    </w:rPr>
  </w:style>
  <w:style w:type="paragraph" w:customStyle="1" w:styleId="DraftingnoteSection4Title">
    <w:name w:val="Draftingnote Section4 Title"/>
    <w:basedOn w:val="Normal"/>
    <w:rsid w:val="00F846C0"/>
    <w:pPr>
      <w:spacing w:after="120" w:line="300" w:lineRule="atLeast"/>
      <w:jc w:val="both"/>
    </w:pPr>
    <w:rPr>
      <w:rFonts w:eastAsia="Arial Unicode MS"/>
      <w:b/>
      <w:i/>
      <w:sz w:val="28"/>
      <w:szCs w:val="20"/>
    </w:rPr>
  </w:style>
  <w:style w:type="paragraph" w:customStyle="1" w:styleId="DraftingnoteTitle">
    <w:name w:val="Draftingnote Title"/>
    <w:basedOn w:val="Normal"/>
    <w:rsid w:val="00F846C0"/>
    <w:pPr>
      <w:spacing w:after="120" w:line="300" w:lineRule="atLeast"/>
      <w:jc w:val="both"/>
    </w:pPr>
    <w:rPr>
      <w:rFonts w:eastAsia="Arial Unicode MS"/>
      <w:b/>
      <w:sz w:val="28"/>
      <w:szCs w:val="20"/>
    </w:rPr>
  </w:style>
  <w:style w:type="paragraph" w:customStyle="1" w:styleId="FulltextBridgehead">
    <w:name w:val="Fulltext Bridgehead"/>
    <w:basedOn w:val="Normal"/>
    <w:rsid w:val="00F846C0"/>
    <w:pPr>
      <w:spacing w:after="120" w:line="300" w:lineRule="atLeast"/>
      <w:jc w:val="both"/>
    </w:pPr>
    <w:rPr>
      <w:rFonts w:eastAsia="Arial Unicode MS"/>
      <w:b/>
      <w:sz w:val="48"/>
      <w:szCs w:val="20"/>
    </w:rPr>
  </w:style>
  <w:style w:type="paragraph" w:customStyle="1" w:styleId="FulltextSection1Para">
    <w:name w:val="Fulltext Section1 Para"/>
    <w:basedOn w:val="Normal"/>
    <w:rsid w:val="00F846C0"/>
    <w:pPr>
      <w:spacing w:after="120" w:line="300" w:lineRule="atLeast"/>
      <w:jc w:val="both"/>
    </w:pPr>
    <w:rPr>
      <w:rFonts w:eastAsia="Arial Unicode MS"/>
      <w:szCs w:val="20"/>
    </w:rPr>
  </w:style>
  <w:style w:type="paragraph" w:customStyle="1" w:styleId="FulltextSection1Title">
    <w:name w:val="Fulltext Section1 Title"/>
    <w:basedOn w:val="Normal"/>
    <w:rsid w:val="00F846C0"/>
    <w:pPr>
      <w:spacing w:after="120" w:line="300" w:lineRule="atLeast"/>
      <w:jc w:val="both"/>
    </w:pPr>
    <w:rPr>
      <w:rFonts w:eastAsia="Arial Unicode MS"/>
      <w:b/>
      <w:sz w:val="36"/>
      <w:szCs w:val="20"/>
    </w:rPr>
  </w:style>
  <w:style w:type="paragraph" w:customStyle="1" w:styleId="FulltextSection2Para">
    <w:name w:val="Fulltext Section2 Para"/>
    <w:basedOn w:val="Normal"/>
    <w:rsid w:val="00F846C0"/>
    <w:pPr>
      <w:spacing w:after="120" w:line="300" w:lineRule="atLeast"/>
      <w:jc w:val="both"/>
    </w:pPr>
    <w:rPr>
      <w:rFonts w:eastAsia="Arial Unicode MS"/>
      <w:szCs w:val="20"/>
    </w:rPr>
  </w:style>
  <w:style w:type="paragraph" w:customStyle="1" w:styleId="FulltextSection2Title">
    <w:name w:val="Fulltext Section2 Title"/>
    <w:basedOn w:val="Normal"/>
    <w:rsid w:val="00F846C0"/>
    <w:pPr>
      <w:spacing w:after="120" w:line="300" w:lineRule="atLeast"/>
      <w:jc w:val="both"/>
    </w:pPr>
    <w:rPr>
      <w:rFonts w:eastAsia="Arial Unicode MS"/>
      <w:b/>
      <w:sz w:val="28"/>
      <w:szCs w:val="20"/>
    </w:rPr>
  </w:style>
  <w:style w:type="paragraph" w:customStyle="1" w:styleId="FulltextSection3Para">
    <w:name w:val="Fulltext Section3 Para"/>
    <w:basedOn w:val="Normal"/>
    <w:rsid w:val="00F846C0"/>
    <w:pPr>
      <w:spacing w:after="120" w:line="300" w:lineRule="atLeast"/>
      <w:jc w:val="both"/>
    </w:pPr>
    <w:rPr>
      <w:rFonts w:eastAsia="Arial Unicode MS"/>
      <w:szCs w:val="20"/>
    </w:rPr>
  </w:style>
  <w:style w:type="paragraph" w:customStyle="1" w:styleId="FulltextSection3Title">
    <w:name w:val="Fulltext Section3 Title"/>
    <w:basedOn w:val="Normal"/>
    <w:rsid w:val="00F846C0"/>
    <w:pPr>
      <w:spacing w:after="120" w:line="300" w:lineRule="atLeast"/>
      <w:jc w:val="both"/>
    </w:pPr>
    <w:rPr>
      <w:rFonts w:eastAsia="Arial Unicode MS"/>
      <w:b/>
      <w:i/>
      <w:sz w:val="28"/>
      <w:szCs w:val="20"/>
    </w:rPr>
  </w:style>
  <w:style w:type="paragraph" w:customStyle="1" w:styleId="FulltextSection4Para">
    <w:name w:val="Fulltext Section4 Para"/>
    <w:basedOn w:val="Normal"/>
    <w:rsid w:val="00F846C0"/>
    <w:pPr>
      <w:spacing w:after="120" w:line="300" w:lineRule="atLeast"/>
      <w:jc w:val="both"/>
    </w:pPr>
    <w:rPr>
      <w:rFonts w:eastAsia="Arial Unicode MS"/>
      <w:szCs w:val="20"/>
    </w:rPr>
  </w:style>
  <w:style w:type="paragraph" w:customStyle="1" w:styleId="FulltextSection4Title">
    <w:name w:val="Fulltext Section4 Title"/>
    <w:basedOn w:val="Normal"/>
    <w:rsid w:val="00F846C0"/>
    <w:pPr>
      <w:spacing w:after="120" w:line="300" w:lineRule="atLeast"/>
      <w:jc w:val="both"/>
    </w:pPr>
    <w:rPr>
      <w:rFonts w:eastAsia="Arial Unicode MS"/>
      <w:b/>
      <w:i/>
      <w:sz w:val="28"/>
      <w:szCs w:val="20"/>
    </w:rPr>
  </w:style>
  <w:style w:type="paragraph" w:customStyle="1" w:styleId="GlossItemGlossdefPara">
    <w:name w:val="GlossItem Glossdef Para"/>
    <w:basedOn w:val="Normal"/>
    <w:rsid w:val="00F846C0"/>
    <w:pPr>
      <w:spacing w:after="120" w:line="300" w:lineRule="atLeast"/>
      <w:jc w:val="both"/>
    </w:pPr>
    <w:rPr>
      <w:rFonts w:eastAsia="Arial Unicode MS"/>
      <w:szCs w:val="20"/>
    </w:rPr>
  </w:style>
  <w:style w:type="paragraph" w:customStyle="1" w:styleId="GlossItemGlossterm">
    <w:name w:val="GlossItem Glossterm"/>
    <w:basedOn w:val="Normal"/>
    <w:rsid w:val="00F846C0"/>
    <w:pPr>
      <w:spacing w:after="120" w:line="300" w:lineRule="atLeast"/>
      <w:jc w:val="both"/>
    </w:pPr>
    <w:rPr>
      <w:rFonts w:eastAsia="Arial Unicode MS"/>
      <w:b/>
      <w:sz w:val="48"/>
      <w:szCs w:val="20"/>
    </w:rPr>
  </w:style>
  <w:style w:type="paragraph" w:customStyle="1" w:styleId="HeadingAddressLine">
    <w:name w:val="Heading Address Line"/>
    <w:basedOn w:val="Normal"/>
    <w:rsid w:val="00F846C0"/>
    <w:pPr>
      <w:spacing w:after="120" w:line="300" w:lineRule="atLeast"/>
      <w:jc w:val="both"/>
    </w:pPr>
    <w:rPr>
      <w:rFonts w:eastAsia="Arial Unicode MS"/>
      <w:szCs w:val="20"/>
    </w:rPr>
  </w:style>
  <w:style w:type="paragraph" w:customStyle="1" w:styleId="HeadingDate">
    <w:name w:val="Heading Date"/>
    <w:basedOn w:val="Normal"/>
    <w:rsid w:val="00F846C0"/>
    <w:pPr>
      <w:spacing w:after="120" w:line="300" w:lineRule="atLeast"/>
      <w:jc w:val="both"/>
    </w:pPr>
    <w:rPr>
      <w:rFonts w:eastAsia="Arial Unicode MS"/>
      <w:szCs w:val="20"/>
    </w:rPr>
  </w:style>
  <w:style w:type="paragraph" w:customStyle="1" w:styleId="HeadingLetterheadBasedOnAttribute">
    <w:name w:val="Heading Letterhead Based On Attribute"/>
    <w:basedOn w:val="Normal"/>
    <w:rsid w:val="00F846C0"/>
    <w:pPr>
      <w:spacing w:after="120" w:line="300" w:lineRule="atLeast"/>
      <w:jc w:val="both"/>
    </w:pPr>
    <w:rPr>
      <w:rFonts w:eastAsia="Arial Unicode MS"/>
      <w:szCs w:val="20"/>
    </w:rPr>
  </w:style>
  <w:style w:type="paragraph" w:customStyle="1" w:styleId="HeadingSalutation">
    <w:name w:val="Heading Salutation"/>
    <w:basedOn w:val="Normal"/>
    <w:rsid w:val="00F846C0"/>
    <w:pPr>
      <w:spacing w:after="120" w:line="300" w:lineRule="atLeast"/>
      <w:jc w:val="both"/>
    </w:pPr>
    <w:rPr>
      <w:rFonts w:eastAsia="Arial Unicode MS"/>
      <w:szCs w:val="20"/>
    </w:rPr>
  </w:style>
  <w:style w:type="paragraph" w:customStyle="1" w:styleId="IgnoredSpacing">
    <w:name w:val="Ignored Spacing"/>
    <w:link w:val="IgnoredSpacingChar"/>
    <w:rsid w:val="00F846C0"/>
    <w:pPr>
      <w:spacing w:after="120"/>
    </w:pPr>
    <w:rPr>
      <w:rFonts w:ascii="Arial" w:eastAsia="Arial Unicode MS" w:hAnsi="Arial" w:cs="Arial"/>
      <w:color w:val="000000"/>
      <w:sz w:val="24"/>
      <w:szCs w:val="24"/>
    </w:rPr>
  </w:style>
  <w:style w:type="character" w:customStyle="1" w:styleId="IgnoredSpacingChar">
    <w:name w:val="Ignored Spacing Char"/>
    <w:link w:val="IgnoredSpacing"/>
    <w:rsid w:val="00F846C0"/>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F846C0"/>
    <w:pPr>
      <w:spacing w:after="120"/>
    </w:pPr>
    <w:rPr>
      <w:rFonts w:ascii="Arial" w:eastAsia="Arial Unicode MS" w:hAnsi="Arial" w:cs="Arial"/>
      <w:color w:val="000000"/>
      <w:sz w:val="24"/>
      <w:szCs w:val="22"/>
    </w:rPr>
  </w:style>
  <w:style w:type="character" w:customStyle="1" w:styleId="InternalAuthorChar">
    <w:name w:val="Internal Author Char"/>
    <w:link w:val="InternalAuthor"/>
    <w:rsid w:val="00F846C0"/>
    <w:rPr>
      <w:rFonts w:ascii="Arial" w:eastAsia="Arial Unicode MS" w:hAnsi="Arial" w:cs="Arial"/>
      <w:color w:val="000000"/>
      <w:sz w:val="24"/>
      <w:lang w:val="en-US" w:eastAsia="en-US"/>
    </w:rPr>
  </w:style>
  <w:style w:type="paragraph" w:customStyle="1" w:styleId="MaintenanceEditor">
    <w:name w:val="Maintenance Editor"/>
    <w:link w:val="MaintenanceEditorChar"/>
    <w:rsid w:val="00F846C0"/>
    <w:pPr>
      <w:spacing w:after="120"/>
    </w:pPr>
    <w:rPr>
      <w:rFonts w:ascii="Arial" w:eastAsia="Arial Unicode MS" w:hAnsi="Arial" w:cs="Arial"/>
      <w:color w:val="000000"/>
      <w:sz w:val="24"/>
      <w:szCs w:val="22"/>
    </w:rPr>
  </w:style>
  <w:style w:type="character" w:customStyle="1" w:styleId="MaintenanceEditorChar">
    <w:name w:val="Maintenance Editor Char"/>
    <w:link w:val="MaintenanceEditor"/>
    <w:rsid w:val="00F846C0"/>
    <w:rPr>
      <w:rFonts w:ascii="Arial" w:eastAsia="Arial Unicode MS" w:hAnsi="Arial" w:cs="Arial"/>
      <w:color w:val="000000"/>
      <w:sz w:val="24"/>
      <w:lang w:val="en-US" w:eastAsia="en-US"/>
    </w:rPr>
  </w:style>
  <w:style w:type="paragraph" w:customStyle="1" w:styleId="ParaClause">
    <w:name w:val="Para Clause"/>
    <w:basedOn w:val="Normal"/>
    <w:rsid w:val="00F846C0"/>
    <w:pPr>
      <w:spacing w:before="120" w:after="120" w:line="300" w:lineRule="atLeast"/>
      <w:ind w:left="720"/>
      <w:jc w:val="both"/>
    </w:pPr>
    <w:rPr>
      <w:rFonts w:eastAsia="Arial Unicode MS"/>
      <w:szCs w:val="20"/>
    </w:rPr>
  </w:style>
  <w:style w:type="paragraph" w:customStyle="1" w:styleId="Parasubclause1">
    <w:name w:val="Para subclause 1"/>
    <w:aliases w:val="BIWS Heading 2"/>
    <w:basedOn w:val="Normal"/>
    <w:rsid w:val="00F846C0"/>
    <w:pPr>
      <w:spacing w:before="240" w:after="120" w:line="300" w:lineRule="atLeast"/>
      <w:ind w:left="720"/>
      <w:jc w:val="both"/>
    </w:pPr>
    <w:rPr>
      <w:rFonts w:eastAsia="Arial Unicode MS"/>
      <w:szCs w:val="20"/>
    </w:rPr>
  </w:style>
  <w:style w:type="paragraph" w:customStyle="1" w:styleId="Untitledsubclause1">
    <w:name w:val="Untitled subclause 1"/>
    <w:basedOn w:val="Normal"/>
    <w:qFormat/>
    <w:rsid w:val="00F846C0"/>
    <w:pPr>
      <w:numPr>
        <w:ilvl w:val="1"/>
        <w:numId w:val="37"/>
      </w:numPr>
      <w:spacing w:before="280" w:after="120" w:line="300" w:lineRule="atLeast"/>
      <w:jc w:val="both"/>
      <w:outlineLvl w:val="1"/>
    </w:pPr>
    <w:rPr>
      <w:rFonts w:eastAsia="Arial Unicode MS"/>
      <w:szCs w:val="20"/>
    </w:rPr>
  </w:style>
  <w:style w:type="paragraph" w:customStyle="1" w:styleId="Parasubclause2">
    <w:name w:val="Para subclause 2"/>
    <w:aliases w:val="BIWS Heading 3"/>
    <w:basedOn w:val="Normal"/>
    <w:rsid w:val="00F846C0"/>
    <w:pPr>
      <w:spacing w:after="240" w:line="300" w:lineRule="atLeast"/>
      <w:ind w:left="1559"/>
      <w:jc w:val="both"/>
    </w:pPr>
    <w:rPr>
      <w:rFonts w:eastAsia="Arial Unicode MS"/>
      <w:szCs w:val="20"/>
    </w:rPr>
  </w:style>
  <w:style w:type="paragraph" w:customStyle="1" w:styleId="Untitledsubclause2">
    <w:name w:val="Untitled subclause 2"/>
    <w:basedOn w:val="Normal"/>
    <w:qFormat/>
    <w:rsid w:val="00985063"/>
    <w:pPr>
      <w:numPr>
        <w:ilvl w:val="2"/>
        <w:numId w:val="23"/>
      </w:numPr>
      <w:spacing w:after="120" w:line="300" w:lineRule="atLeast"/>
      <w:jc w:val="both"/>
      <w:outlineLvl w:val="2"/>
    </w:pPr>
    <w:rPr>
      <w:rFonts w:eastAsia="Arial Unicode MS"/>
      <w:szCs w:val="20"/>
    </w:rPr>
  </w:style>
  <w:style w:type="paragraph" w:customStyle="1" w:styleId="Parasubclause3">
    <w:name w:val="Para subclause 3"/>
    <w:aliases w:val="BIWS Heading 4"/>
    <w:basedOn w:val="Normal"/>
    <w:next w:val="Untitledsubclause2"/>
    <w:rsid w:val="00F846C0"/>
    <w:pPr>
      <w:spacing w:after="120" w:line="300" w:lineRule="atLeast"/>
      <w:ind w:left="2268"/>
      <w:jc w:val="both"/>
    </w:pPr>
    <w:rPr>
      <w:rFonts w:eastAsia="Arial Unicode MS"/>
      <w:szCs w:val="20"/>
    </w:rPr>
  </w:style>
  <w:style w:type="paragraph" w:customStyle="1" w:styleId="Untitledsubclause3">
    <w:name w:val="Untitled subclause 3"/>
    <w:basedOn w:val="Normal"/>
    <w:qFormat/>
    <w:rsid w:val="00F846C0"/>
    <w:pPr>
      <w:numPr>
        <w:ilvl w:val="3"/>
        <w:numId w:val="37"/>
      </w:numPr>
      <w:tabs>
        <w:tab w:val="left" w:pos="2261"/>
      </w:tabs>
      <w:spacing w:after="120" w:line="300" w:lineRule="atLeast"/>
      <w:jc w:val="both"/>
      <w:outlineLvl w:val="3"/>
    </w:pPr>
    <w:rPr>
      <w:rFonts w:eastAsia="Arial Unicode MS"/>
      <w:szCs w:val="20"/>
    </w:rPr>
  </w:style>
  <w:style w:type="paragraph" w:customStyle="1" w:styleId="Parasubclause4">
    <w:name w:val="Para subclause 4"/>
    <w:aliases w:val="BIWS Heading 5"/>
    <w:basedOn w:val="Parasubclause3"/>
    <w:rsid w:val="00F846C0"/>
    <w:pPr>
      <w:spacing w:after="240"/>
      <w:ind w:left="3028"/>
    </w:pPr>
  </w:style>
  <w:style w:type="paragraph" w:customStyle="1" w:styleId="Untitledsubclause4">
    <w:name w:val="Untitled subclause 4"/>
    <w:basedOn w:val="Normal"/>
    <w:qFormat/>
    <w:rsid w:val="00F846C0"/>
    <w:pPr>
      <w:numPr>
        <w:ilvl w:val="4"/>
        <w:numId w:val="37"/>
      </w:numPr>
      <w:spacing w:after="120" w:line="300" w:lineRule="atLeast"/>
      <w:jc w:val="both"/>
      <w:outlineLvl w:val="4"/>
    </w:pPr>
    <w:rPr>
      <w:rFonts w:eastAsia="Arial Unicode MS"/>
      <w:szCs w:val="20"/>
    </w:rPr>
  </w:style>
  <w:style w:type="paragraph" w:customStyle="1" w:styleId="Para">
    <w:name w:val="Para"/>
    <w:aliases w:val="PLC Style - Normal"/>
    <w:basedOn w:val="Normal"/>
    <w:rsid w:val="00F846C0"/>
    <w:pPr>
      <w:spacing w:after="120" w:line="300" w:lineRule="atLeast"/>
      <w:jc w:val="both"/>
    </w:pPr>
    <w:rPr>
      <w:rFonts w:eastAsia="Arial Unicode MS"/>
      <w:szCs w:val="20"/>
    </w:rPr>
  </w:style>
  <w:style w:type="paragraph" w:customStyle="1" w:styleId="Parties">
    <w:name w:val="Parties"/>
    <w:aliases w:val="(1) Parties"/>
    <w:basedOn w:val="Normal"/>
    <w:qFormat/>
    <w:rsid w:val="002F7D7E"/>
    <w:pPr>
      <w:numPr>
        <w:numId w:val="5"/>
      </w:numPr>
      <w:spacing w:before="120" w:after="120" w:line="300" w:lineRule="atLeast"/>
      <w:jc w:val="both"/>
    </w:pPr>
    <w:rPr>
      <w:rFonts w:eastAsia="Arial Unicode MS"/>
      <w:szCs w:val="20"/>
    </w:rPr>
  </w:style>
  <w:style w:type="paragraph" w:customStyle="1" w:styleId="ResourceHistoryAuthor">
    <w:name w:val="Resource History Author"/>
    <w:link w:val="ResourceHistoryAuthorChar"/>
    <w:rsid w:val="00F846C0"/>
    <w:pPr>
      <w:spacing w:after="120"/>
    </w:pPr>
    <w:rPr>
      <w:rFonts w:ascii="Arial" w:eastAsia="Arial Unicode MS" w:hAnsi="Arial" w:cs="Arial"/>
      <w:color w:val="000000"/>
      <w:sz w:val="24"/>
      <w:szCs w:val="24"/>
    </w:rPr>
  </w:style>
  <w:style w:type="character" w:customStyle="1" w:styleId="ResourceHistoryAuthorChar">
    <w:name w:val="Resource History Author Char"/>
    <w:link w:val="ResourceHistoryAuthor"/>
    <w:rsid w:val="00F846C0"/>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F846C0"/>
    <w:pPr>
      <w:spacing w:after="120"/>
    </w:pPr>
    <w:rPr>
      <w:rFonts w:ascii="Arial" w:eastAsia="Arial Unicode MS" w:hAnsi="Arial" w:cs="Arial"/>
      <w:color w:val="000000"/>
      <w:sz w:val="24"/>
      <w:szCs w:val="24"/>
    </w:rPr>
  </w:style>
  <w:style w:type="character" w:customStyle="1" w:styleId="ResourceHistoryDateChar">
    <w:name w:val="Resource History Date Char"/>
    <w:link w:val="ResourceHistoryDate"/>
    <w:rsid w:val="00F846C0"/>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F846C0"/>
    <w:pPr>
      <w:spacing w:after="120"/>
    </w:pPr>
    <w:rPr>
      <w:rFonts w:ascii="Verdana" w:hAnsi="Verdana" w:cs="Verdana"/>
      <w:color w:val="000000"/>
      <w:sz w:val="18"/>
      <w:szCs w:val="24"/>
    </w:rPr>
  </w:style>
  <w:style w:type="character" w:customStyle="1" w:styleId="ResourceHistoryDescChar">
    <w:name w:val="Resource History Desc Char"/>
    <w:link w:val="ResourceHistoryDesc"/>
    <w:rsid w:val="00F846C0"/>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F846C0"/>
    <w:pPr>
      <w:spacing w:after="120"/>
    </w:pPr>
    <w:rPr>
      <w:rFonts w:ascii="Arial" w:eastAsia="Arial Unicode MS" w:hAnsi="Arial" w:cs="Arial"/>
      <w:b/>
      <w:bCs/>
      <w:color w:val="000000"/>
      <w:sz w:val="24"/>
      <w:szCs w:val="22"/>
    </w:rPr>
  </w:style>
  <w:style w:type="character" w:customStyle="1" w:styleId="ResourceHistoryTitleChar">
    <w:name w:val="Resource History Title Char"/>
    <w:link w:val="ResourceHistoryTitle"/>
    <w:rsid w:val="00F846C0"/>
    <w:rPr>
      <w:rFonts w:ascii="Arial" w:eastAsia="Arial Unicode MS" w:hAnsi="Arial" w:cs="Arial"/>
      <w:b/>
      <w:bCs/>
      <w:color w:val="000000"/>
      <w:sz w:val="24"/>
      <w:lang w:val="en-US" w:eastAsia="en-US"/>
    </w:rPr>
  </w:style>
  <w:style w:type="paragraph" w:customStyle="1" w:styleId="ResourceType">
    <w:name w:val="Resource Type"/>
    <w:link w:val="ResourceTypeChar"/>
    <w:rsid w:val="00F846C0"/>
    <w:pPr>
      <w:spacing w:after="120"/>
    </w:pPr>
    <w:rPr>
      <w:rFonts w:ascii="Arial" w:eastAsia="Arial Unicode MS" w:hAnsi="Arial" w:cs="Arial"/>
      <w:color w:val="000000"/>
      <w:sz w:val="24"/>
      <w:szCs w:val="24"/>
    </w:rPr>
  </w:style>
  <w:style w:type="character" w:customStyle="1" w:styleId="ResourceTypeChar">
    <w:name w:val="Resource Type Char"/>
    <w:link w:val="ResourceType"/>
    <w:rsid w:val="00F846C0"/>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F846C0"/>
    <w:pPr>
      <w:numPr>
        <w:numId w:val="6"/>
      </w:numPr>
      <w:spacing w:before="240" w:after="360" w:line="300" w:lineRule="atLeast"/>
      <w:jc w:val="both"/>
    </w:pPr>
    <w:rPr>
      <w:rFonts w:eastAsia="Arial Unicode MS"/>
      <w:b/>
      <w:kern w:val="28"/>
      <w:szCs w:val="20"/>
    </w:rPr>
  </w:style>
  <w:style w:type="paragraph" w:customStyle="1" w:styleId="ScheduleHeading">
    <w:name w:val="Schedule Heading"/>
    <w:aliases w:val="Sch   main head"/>
    <w:basedOn w:val="Normal"/>
    <w:next w:val="Normal"/>
    <w:autoRedefine/>
    <w:rsid w:val="00F846C0"/>
    <w:pPr>
      <w:keepNext/>
      <w:pageBreakBefore/>
      <w:numPr>
        <w:numId w:val="7"/>
      </w:numPr>
      <w:spacing w:before="240" w:after="360" w:line="300" w:lineRule="atLeast"/>
      <w:jc w:val="center"/>
      <w:outlineLvl w:val="0"/>
    </w:pPr>
    <w:rPr>
      <w:rFonts w:eastAsia="Arial Unicode MS"/>
      <w:b/>
      <w:kern w:val="28"/>
      <w:szCs w:val="20"/>
    </w:rPr>
  </w:style>
  <w:style w:type="paragraph" w:customStyle="1" w:styleId="SectionHeading">
    <w:name w:val="Section Heading"/>
    <w:aliases w:val="1stIntroHeadings"/>
    <w:basedOn w:val="Normal"/>
    <w:next w:val="Normal"/>
    <w:rsid w:val="00F846C0"/>
    <w:pPr>
      <w:tabs>
        <w:tab w:val="left" w:pos="709"/>
      </w:tabs>
      <w:spacing w:before="120" w:after="120" w:line="300" w:lineRule="atLeast"/>
      <w:jc w:val="both"/>
    </w:pPr>
    <w:rPr>
      <w:rFonts w:eastAsia="Arial Unicode MS"/>
      <w:b/>
      <w:smallCaps/>
      <w:sz w:val="24"/>
      <w:szCs w:val="20"/>
    </w:rPr>
  </w:style>
  <w:style w:type="paragraph" w:customStyle="1" w:styleId="Shortquestion">
    <w:name w:val="Shortquestion"/>
    <w:basedOn w:val="Normal"/>
    <w:rsid w:val="00F846C0"/>
    <w:pPr>
      <w:spacing w:after="120" w:line="300" w:lineRule="atLeast"/>
      <w:jc w:val="both"/>
    </w:pPr>
    <w:rPr>
      <w:rFonts w:eastAsia="Arial Unicode MS"/>
      <w:szCs w:val="20"/>
    </w:rPr>
  </w:style>
  <w:style w:type="paragraph" w:customStyle="1" w:styleId="SpeedreadPara">
    <w:name w:val="Speedread Para"/>
    <w:basedOn w:val="Normal"/>
    <w:rsid w:val="00F846C0"/>
    <w:pPr>
      <w:spacing w:after="120" w:line="300" w:lineRule="atLeast"/>
      <w:jc w:val="both"/>
    </w:pPr>
    <w:rPr>
      <w:rFonts w:eastAsia="Arial Unicode MS"/>
      <w:szCs w:val="20"/>
    </w:rPr>
  </w:style>
  <w:style w:type="paragraph" w:customStyle="1" w:styleId="SpeedreadSection1Para">
    <w:name w:val="Speedread Section1 Para"/>
    <w:basedOn w:val="Normal"/>
    <w:rsid w:val="00F846C0"/>
    <w:pPr>
      <w:spacing w:after="120" w:line="300" w:lineRule="atLeast"/>
      <w:jc w:val="both"/>
    </w:pPr>
    <w:rPr>
      <w:rFonts w:eastAsia="Arial Unicode MS"/>
      <w:szCs w:val="20"/>
    </w:rPr>
  </w:style>
  <w:style w:type="paragraph" w:customStyle="1" w:styleId="SpeedreadSection1Text">
    <w:name w:val="Speedread Section1 Text"/>
    <w:basedOn w:val="Normal"/>
    <w:rsid w:val="00F846C0"/>
    <w:pPr>
      <w:spacing w:after="120" w:line="300" w:lineRule="atLeast"/>
      <w:jc w:val="both"/>
    </w:pPr>
    <w:rPr>
      <w:rFonts w:eastAsia="Arial Unicode MS"/>
      <w:szCs w:val="20"/>
    </w:rPr>
  </w:style>
  <w:style w:type="paragraph" w:customStyle="1" w:styleId="SpeedreadText">
    <w:name w:val="Speedread Text"/>
    <w:basedOn w:val="Normal"/>
    <w:rsid w:val="00F846C0"/>
    <w:pPr>
      <w:spacing w:after="120" w:line="300" w:lineRule="atLeast"/>
      <w:jc w:val="both"/>
    </w:pPr>
    <w:rPr>
      <w:rFonts w:eastAsia="Arial Unicode MS"/>
      <w:szCs w:val="20"/>
    </w:rPr>
  </w:style>
  <w:style w:type="paragraph" w:customStyle="1" w:styleId="SpeedreadTitle">
    <w:name w:val="Speedread Title"/>
    <w:basedOn w:val="Normal"/>
    <w:rsid w:val="00F846C0"/>
    <w:pPr>
      <w:spacing w:after="120" w:line="300" w:lineRule="atLeast"/>
      <w:jc w:val="both"/>
    </w:pPr>
    <w:rPr>
      <w:rFonts w:eastAsia="Arial Unicode MS"/>
      <w:b/>
      <w:sz w:val="36"/>
      <w:szCs w:val="20"/>
    </w:rPr>
  </w:style>
  <w:style w:type="paragraph" w:customStyle="1" w:styleId="TemplateType">
    <w:name w:val="Template Type"/>
    <w:link w:val="TemplateTypeChar"/>
    <w:rsid w:val="00F846C0"/>
    <w:pPr>
      <w:spacing w:after="120"/>
    </w:pPr>
    <w:rPr>
      <w:rFonts w:ascii="Arial" w:eastAsia="Arial Unicode MS" w:hAnsi="Arial" w:cs="Arial"/>
      <w:color w:val="000000"/>
      <w:sz w:val="24"/>
      <w:szCs w:val="24"/>
    </w:rPr>
  </w:style>
  <w:style w:type="character" w:customStyle="1" w:styleId="TemplateTypeChar">
    <w:name w:val="Template Type Char"/>
    <w:link w:val="TemplateType"/>
    <w:rsid w:val="00F846C0"/>
    <w:rPr>
      <w:rFonts w:ascii="Arial" w:eastAsia="Arial Unicode MS" w:hAnsi="Arial" w:cs="Arial"/>
      <w:color w:val="000000"/>
      <w:sz w:val="24"/>
      <w:szCs w:val="24"/>
      <w:lang w:val="en-US" w:eastAsia="en-US"/>
    </w:rPr>
  </w:style>
  <w:style w:type="paragraph" w:styleId="Title">
    <w:name w:val="Title"/>
    <w:basedOn w:val="Normal"/>
    <w:link w:val="TitleChar"/>
    <w:qFormat/>
    <w:rsid w:val="002F7D7E"/>
    <w:pPr>
      <w:spacing w:after="120" w:line="240" w:lineRule="auto"/>
    </w:pPr>
    <w:rPr>
      <w:rFonts w:ascii="Arial" w:eastAsia="Arial Unicode MS" w:hAnsi="Arial" w:cs="Arial"/>
      <w:color w:val="000000"/>
      <w:sz w:val="24"/>
    </w:rPr>
  </w:style>
  <w:style w:type="character" w:customStyle="1" w:styleId="TitleChar">
    <w:name w:val="Title Char"/>
    <w:link w:val="Title"/>
    <w:rsid w:val="00411336"/>
    <w:rPr>
      <w:rFonts w:ascii="Arial" w:eastAsia="Arial Unicode MS" w:hAnsi="Arial" w:cs="Arial"/>
      <w:color w:val="000000"/>
      <w:sz w:val="24"/>
      <w:szCs w:val="22"/>
    </w:rPr>
  </w:style>
  <w:style w:type="paragraph" w:styleId="Footer">
    <w:name w:val="footer"/>
    <w:basedOn w:val="Normal"/>
    <w:link w:val="FooterChar"/>
    <w:uiPriority w:val="99"/>
    <w:rsid w:val="006D5358"/>
    <w:pPr>
      <w:tabs>
        <w:tab w:val="center" w:pos="4153"/>
        <w:tab w:val="right" w:pos="8306"/>
      </w:tabs>
      <w:spacing w:after="240" w:line="300" w:lineRule="atLeast"/>
      <w:jc w:val="both"/>
    </w:pPr>
    <w:rPr>
      <w:rFonts w:ascii="Times New Roman" w:eastAsia="Times New Roman" w:hAnsi="Times New Roman"/>
      <w:szCs w:val="20"/>
    </w:rPr>
  </w:style>
  <w:style w:type="character" w:customStyle="1" w:styleId="FooterChar">
    <w:name w:val="Footer Char"/>
    <w:link w:val="Footer"/>
    <w:uiPriority w:val="99"/>
    <w:rsid w:val="00411336"/>
    <w:rPr>
      <w:rFonts w:ascii="Times New Roman" w:hAnsi="Times New Roman" w:cstheme="minorBidi"/>
      <w:sz w:val="22"/>
    </w:rPr>
  </w:style>
  <w:style w:type="character" w:styleId="Hyperlink">
    <w:name w:val="Hyperlink"/>
    <w:uiPriority w:val="99"/>
    <w:rsid w:val="006D5358"/>
    <w:rPr>
      <w:rFonts w:ascii="Arial" w:eastAsia="Arial" w:hAnsi="Arial" w:cs="Arial"/>
      <w:i/>
      <w:color w:val="000000"/>
      <w:u w:val="single"/>
    </w:rPr>
  </w:style>
  <w:style w:type="paragraph" w:customStyle="1" w:styleId="Bullet4">
    <w:name w:val="Bullet4"/>
    <w:basedOn w:val="Normal"/>
    <w:rsid w:val="006D5358"/>
    <w:pPr>
      <w:numPr>
        <w:numId w:val="8"/>
      </w:numPr>
      <w:spacing w:after="240" w:line="240" w:lineRule="auto"/>
      <w:jc w:val="both"/>
    </w:pPr>
    <w:rPr>
      <w:rFonts w:ascii="Times New Roman" w:eastAsia="Times New Roman" w:hAnsi="Times New Roman"/>
      <w:szCs w:val="20"/>
    </w:rPr>
  </w:style>
  <w:style w:type="paragraph" w:customStyle="1" w:styleId="Paragraph">
    <w:name w:val="Paragraph"/>
    <w:basedOn w:val="Normal"/>
    <w:link w:val="ParagraphChar"/>
    <w:qFormat/>
    <w:rsid w:val="00F846C0"/>
    <w:pPr>
      <w:spacing w:after="120" w:line="300" w:lineRule="atLeast"/>
      <w:jc w:val="both"/>
    </w:pPr>
    <w:rPr>
      <w:rFonts w:eastAsia="Arial Unicode MS"/>
      <w:szCs w:val="20"/>
    </w:rPr>
  </w:style>
  <w:style w:type="paragraph" w:customStyle="1" w:styleId="IgnoredTemplateText">
    <w:name w:val="Ignored Template Text"/>
    <w:link w:val="IgnoredTemplateTextChar"/>
    <w:rsid w:val="00F846C0"/>
    <w:pPr>
      <w:pBdr>
        <w:top w:val="single" w:sz="4" w:space="1" w:color="auto"/>
        <w:left w:val="single" w:sz="4" w:space="4" w:color="auto"/>
        <w:bottom w:val="single" w:sz="4" w:space="1" w:color="auto"/>
        <w:right w:val="single" w:sz="4" w:space="4" w:color="auto"/>
      </w:pBdr>
      <w:shd w:val="pct15" w:color="auto" w:fill="FBD4B4"/>
      <w:spacing w:after="120"/>
    </w:pPr>
    <w:rPr>
      <w:rFonts w:ascii="Arial" w:eastAsia="Arial Unicode MS" w:hAnsi="Arial" w:cs="Arial"/>
      <w:b/>
      <w:i/>
      <w:color w:val="000000"/>
      <w:sz w:val="22"/>
      <w:szCs w:val="18"/>
    </w:rPr>
  </w:style>
  <w:style w:type="character" w:customStyle="1" w:styleId="IgnoredTemplateTextChar">
    <w:name w:val="Ignored Template Text Char"/>
    <w:link w:val="IgnoredTemplateText"/>
    <w:rsid w:val="00F846C0"/>
    <w:rPr>
      <w:rFonts w:ascii="Arial" w:eastAsia="Arial Unicode MS" w:hAnsi="Arial" w:cs="Arial"/>
      <w:b/>
      <w:i/>
      <w:color w:val="000000"/>
      <w:szCs w:val="18"/>
      <w:shd w:val="pct15" w:color="auto" w:fill="FBD4B4"/>
      <w:lang w:val="en-US" w:eastAsia="en-US"/>
    </w:rPr>
  </w:style>
  <w:style w:type="paragraph" w:customStyle="1" w:styleId="InternalTOC">
    <w:name w:val="Internal TOC"/>
    <w:rsid w:val="00F846C0"/>
    <w:pPr>
      <w:spacing w:after="120"/>
    </w:pPr>
    <w:rPr>
      <w:rFonts w:ascii="Arial" w:eastAsia="Arial Unicode MS" w:hAnsi="Arial" w:cs="Arial"/>
      <w:color w:val="000000"/>
      <w:sz w:val="22"/>
      <w:szCs w:val="22"/>
    </w:rPr>
  </w:style>
  <w:style w:type="paragraph" w:customStyle="1" w:styleId="HeadingLevel1">
    <w:name w:val="Heading Level 1"/>
    <w:basedOn w:val="Normal"/>
    <w:next w:val="Paragraph"/>
    <w:rsid w:val="00F846C0"/>
    <w:pPr>
      <w:keepNext/>
      <w:spacing w:after="120" w:line="300" w:lineRule="atLeast"/>
      <w:jc w:val="both"/>
      <w:outlineLvl w:val="1"/>
    </w:pPr>
    <w:rPr>
      <w:rFonts w:eastAsia="Arial Unicode MS"/>
      <w:b/>
      <w:sz w:val="36"/>
      <w:szCs w:val="20"/>
    </w:rPr>
  </w:style>
  <w:style w:type="paragraph" w:customStyle="1" w:styleId="HeadingLevel2">
    <w:name w:val="Heading Level 2"/>
    <w:basedOn w:val="Normal"/>
    <w:next w:val="Paragraph"/>
    <w:rsid w:val="00F846C0"/>
    <w:pPr>
      <w:keepNext/>
      <w:spacing w:after="120" w:line="300" w:lineRule="atLeast"/>
      <w:jc w:val="both"/>
      <w:outlineLvl w:val="2"/>
    </w:pPr>
    <w:rPr>
      <w:rFonts w:eastAsia="Arial Unicode MS"/>
      <w:b/>
      <w:sz w:val="28"/>
      <w:szCs w:val="20"/>
    </w:rPr>
  </w:style>
  <w:style w:type="paragraph" w:customStyle="1" w:styleId="HeadingLevel3">
    <w:name w:val="Heading Level 3"/>
    <w:basedOn w:val="Normal"/>
    <w:next w:val="Paragraph"/>
    <w:rsid w:val="00F846C0"/>
    <w:pPr>
      <w:keepNext/>
      <w:spacing w:after="120" w:line="300" w:lineRule="atLeast"/>
      <w:jc w:val="both"/>
      <w:outlineLvl w:val="3"/>
    </w:pPr>
    <w:rPr>
      <w:rFonts w:eastAsia="Arial Unicode MS"/>
      <w:b/>
      <w:i/>
      <w:sz w:val="28"/>
      <w:szCs w:val="20"/>
    </w:rPr>
  </w:style>
  <w:style w:type="paragraph" w:styleId="Header">
    <w:name w:val="header"/>
    <w:basedOn w:val="Normal"/>
    <w:link w:val="HeaderChar"/>
    <w:uiPriority w:val="99"/>
    <w:rsid w:val="002F7D7E"/>
    <w:pPr>
      <w:tabs>
        <w:tab w:val="center" w:pos="4513"/>
        <w:tab w:val="right" w:pos="9026"/>
      </w:tabs>
      <w:spacing w:after="0" w:line="240" w:lineRule="auto"/>
    </w:pPr>
  </w:style>
  <w:style w:type="character" w:customStyle="1" w:styleId="HeaderChar">
    <w:name w:val="Header Char"/>
    <w:link w:val="Header"/>
    <w:uiPriority w:val="99"/>
    <w:rsid w:val="00411336"/>
    <w:rPr>
      <w:rFonts w:asciiTheme="minorHAnsi" w:eastAsiaTheme="minorHAnsi" w:hAnsiTheme="minorHAnsi" w:cstheme="minorBidi"/>
      <w:sz w:val="22"/>
      <w:szCs w:val="22"/>
    </w:rPr>
  </w:style>
  <w:style w:type="character" w:styleId="PlaceholderText">
    <w:name w:val="Placeholder Text"/>
    <w:uiPriority w:val="99"/>
    <w:rsid w:val="006D5358"/>
    <w:rPr>
      <w:rFonts w:ascii="Arial" w:eastAsia="Arial" w:hAnsi="Arial" w:cs="Arial"/>
      <w:color w:val="000000"/>
    </w:rPr>
  </w:style>
  <w:style w:type="paragraph" w:styleId="BalloonText">
    <w:name w:val="Balloon Text"/>
    <w:basedOn w:val="Normal"/>
    <w:link w:val="BalloonTextChar"/>
    <w:uiPriority w:val="99"/>
    <w:semiHidden/>
    <w:rsid w:val="002F7D7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11336"/>
    <w:rPr>
      <w:rFonts w:ascii="Tahoma" w:eastAsiaTheme="minorHAnsi" w:hAnsi="Tahoma" w:cs="Tahoma"/>
      <w:sz w:val="16"/>
      <w:szCs w:val="16"/>
    </w:rPr>
  </w:style>
  <w:style w:type="paragraph" w:customStyle="1" w:styleId="PinPointRef">
    <w:name w:val="PinPoint Ref"/>
    <w:link w:val="PinPointRefChar"/>
    <w:qFormat/>
    <w:rsid w:val="00F846C0"/>
    <w:rPr>
      <w:rFonts w:ascii="Times New Roman" w:hAnsi="Times New Roman"/>
      <w:b/>
      <w:vanish/>
      <w:color w:val="000000"/>
      <w:sz w:val="18"/>
    </w:rPr>
  </w:style>
  <w:style w:type="character" w:customStyle="1" w:styleId="PinPointRefChar">
    <w:name w:val="PinPoint Ref Char"/>
    <w:link w:val="PinPointRef"/>
    <w:rsid w:val="00F846C0"/>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F846C0"/>
    <w:pPr>
      <w:spacing w:before="120"/>
      <w:ind w:left="720"/>
    </w:pPr>
    <w:rPr>
      <w:rFonts w:ascii="Arial" w:eastAsia="Arial Unicode MS" w:hAnsi="Arial" w:cs="Arial"/>
      <w:color w:val="000000"/>
      <w:sz w:val="18"/>
    </w:rPr>
  </w:style>
  <w:style w:type="character" w:customStyle="1" w:styleId="BlockQuoteChar">
    <w:name w:val="Block Quote Char"/>
    <w:link w:val="BlockQuote"/>
    <w:rsid w:val="00F846C0"/>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F846C0"/>
    <w:pPr>
      <w:spacing w:after="120"/>
      <w:ind w:left="357"/>
      <w:jc w:val="both"/>
    </w:pPr>
    <w:rPr>
      <w:rFonts w:ascii="Arial" w:eastAsia="Arial Unicode MS" w:hAnsi="Arial" w:cs="Arial"/>
      <w:color w:val="000000"/>
      <w:sz w:val="22"/>
      <w:szCs w:val="24"/>
    </w:rPr>
  </w:style>
  <w:style w:type="paragraph" w:customStyle="1" w:styleId="ListParagraphLevel2">
    <w:name w:val="List Paragraph Level 2"/>
    <w:link w:val="ListParagraphLevel2Char"/>
    <w:qFormat/>
    <w:rsid w:val="00F846C0"/>
    <w:pPr>
      <w:spacing w:after="120"/>
      <w:ind w:left="1077"/>
      <w:jc w:val="both"/>
    </w:pPr>
    <w:rPr>
      <w:rFonts w:ascii="Arial" w:eastAsia="Arial Unicode MS" w:hAnsi="Arial" w:cs="Arial"/>
      <w:color w:val="000000"/>
      <w:sz w:val="22"/>
      <w:szCs w:val="24"/>
    </w:rPr>
  </w:style>
  <w:style w:type="character" w:customStyle="1" w:styleId="ListParagraphLevel1Char">
    <w:name w:val="List Paragraph Level 1 Char"/>
    <w:link w:val="ListParagraphLevel1"/>
    <w:rsid w:val="00F846C0"/>
    <w:rPr>
      <w:rFonts w:ascii="Arial" w:eastAsia="Arial Unicode MS" w:hAnsi="Arial" w:cs="Arial"/>
      <w:color w:val="000000"/>
      <w:szCs w:val="24"/>
      <w:lang w:val="en-US" w:eastAsia="en-US"/>
    </w:rPr>
  </w:style>
  <w:style w:type="character" w:customStyle="1" w:styleId="ListParagraphLevel2Char">
    <w:name w:val="List Paragraph Level 2 Char"/>
    <w:link w:val="ListParagraphLevel2"/>
    <w:rsid w:val="00F846C0"/>
    <w:rPr>
      <w:rFonts w:ascii="Arial" w:eastAsia="Arial Unicode MS" w:hAnsi="Arial" w:cs="Arial"/>
      <w:color w:val="000000"/>
      <w:szCs w:val="24"/>
      <w:lang w:val="en-US" w:eastAsia="en-US"/>
    </w:rPr>
  </w:style>
  <w:style w:type="paragraph" w:customStyle="1" w:styleId="IntroDefault">
    <w:name w:val="Intro Default"/>
    <w:basedOn w:val="Paragraph"/>
    <w:qFormat/>
    <w:rsid w:val="00F846C0"/>
  </w:style>
  <w:style w:type="paragraph" w:customStyle="1" w:styleId="IntroCustom">
    <w:name w:val="Intro Custom"/>
    <w:basedOn w:val="Paragraph"/>
    <w:qFormat/>
    <w:rsid w:val="00F846C0"/>
  </w:style>
  <w:style w:type="paragraph" w:customStyle="1" w:styleId="PrecedentType">
    <w:name w:val="Precedent Type"/>
    <w:basedOn w:val="IgnoredSpacing"/>
    <w:qFormat/>
    <w:rsid w:val="00F846C0"/>
  </w:style>
  <w:style w:type="paragraph" w:customStyle="1" w:styleId="Operative">
    <w:name w:val="Operative"/>
    <w:basedOn w:val="IgnoredSpacing"/>
    <w:qFormat/>
    <w:rsid w:val="00F846C0"/>
    <w:rPr>
      <w:vanish/>
    </w:rPr>
  </w:style>
  <w:style w:type="paragraph" w:customStyle="1" w:styleId="SpeedreadBulletList1">
    <w:name w:val="Speedread Bullet List 1"/>
    <w:basedOn w:val="BulletList1"/>
    <w:qFormat/>
    <w:rsid w:val="00F846C0"/>
  </w:style>
  <w:style w:type="paragraph" w:customStyle="1" w:styleId="PartiesTitle">
    <w:name w:val="Parties Title"/>
    <w:basedOn w:val="Paragraph"/>
    <w:qFormat/>
    <w:rsid w:val="00F846C0"/>
    <w:rPr>
      <w:b/>
    </w:rPr>
  </w:style>
  <w:style w:type="table" w:styleId="TableGrid">
    <w:name w:val="Table Grid"/>
    <w:basedOn w:val="TableNormal"/>
    <w:uiPriority w:val="59"/>
    <w:rsid w:val="00411336"/>
    <w:pPr>
      <w:spacing w:after="160" w:line="259" w:lineRule="auto"/>
    </w:pPr>
    <w:rPr>
      <w:rFonts w:ascii="Times New Roman" w:hAnsi="Times New Roman"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985063"/>
    <w:pPr>
      <w:numPr>
        <w:numId w:val="9"/>
      </w:numPr>
      <w:shd w:val="clear" w:color="auto" w:fill="D9D9D9"/>
      <w:spacing w:after="120"/>
      <w:ind w:left="357" w:hanging="357"/>
      <w:outlineLvl w:val="0"/>
    </w:pPr>
    <w:rPr>
      <w:rFonts w:ascii="Arial" w:eastAsia="Arial Unicode MS" w:hAnsi="Arial" w:cs="Arial"/>
      <w:color w:val="000000"/>
      <w:sz w:val="22"/>
      <w:szCs w:val="22"/>
    </w:rPr>
  </w:style>
  <w:style w:type="paragraph" w:customStyle="1" w:styleId="BulletList1Pattern">
    <w:name w:val="Bullet List 1 + Pattern"/>
    <w:basedOn w:val="BulletList1"/>
    <w:qFormat/>
    <w:rsid w:val="00F846C0"/>
    <w:pPr>
      <w:shd w:val="clear" w:color="auto" w:fill="D9D9D9"/>
      <w:spacing w:after="120" w:line="240" w:lineRule="auto"/>
      <w:ind w:left="714" w:hanging="357"/>
    </w:pPr>
  </w:style>
  <w:style w:type="character" w:customStyle="1" w:styleId="QuestionParagraphChar">
    <w:name w:val="Question Paragraph Char"/>
    <w:link w:val="QuestionParagraph"/>
    <w:rsid w:val="00F846C0"/>
    <w:rPr>
      <w:rFonts w:ascii="Arial" w:eastAsia="Arial Unicode MS" w:hAnsi="Arial" w:cs="Arial"/>
      <w:color w:val="000000"/>
      <w:sz w:val="22"/>
      <w:szCs w:val="22"/>
      <w:shd w:val="clear" w:color="auto" w:fill="D9D9D9"/>
    </w:rPr>
  </w:style>
  <w:style w:type="paragraph" w:customStyle="1" w:styleId="BulletList2Pattern">
    <w:name w:val="Bullet List 2 + Pattern"/>
    <w:basedOn w:val="BulletList2"/>
    <w:qFormat/>
    <w:rsid w:val="00985063"/>
    <w:pPr>
      <w:shd w:val="clear" w:color="auto" w:fill="D9D9D9"/>
    </w:pPr>
  </w:style>
  <w:style w:type="paragraph" w:customStyle="1" w:styleId="TestimoniumContract">
    <w:name w:val="Testimonium Contract"/>
    <w:basedOn w:val="Paragraph"/>
    <w:qFormat/>
    <w:rsid w:val="00F846C0"/>
  </w:style>
  <w:style w:type="paragraph" w:customStyle="1" w:styleId="TestimoniumDeed">
    <w:name w:val="Testimonium Deed"/>
    <w:basedOn w:val="Paragraph"/>
    <w:qFormat/>
    <w:rsid w:val="00F846C0"/>
  </w:style>
  <w:style w:type="paragraph" w:customStyle="1" w:styleId="Titlesubclause2">
    <w:name w:val="Title subclause2"/>
    <w:basedOn w:val="Untitledsubclause2"/>
    <w:qFormat/>
    <w:rsid w:val="00F846C0"/>
    <w:rPr>
      <w:b/>
    </w:rPr>
  </w:style>
  <w:style w:type="paragraph" w:customStyle="1" w:styleId="Titlesubclause3">
    <w:name w:val="Title subclause3"/>
    <w:basedOn w:val="Untitledsubclause3"/>
    <w:qFormat/>
    <w:rsid w:val="00F846C0"/>
    <w:rPr>
      <w:b/>
    </w:rPr>
  </w:style>
  <w:style w:type="paragraph" w:customStyle="1" w:styleId="Titlesubclause4">
    <w:name w:val="Title subclause4"/>
    <w:basedOn w:val="Untitledsubclause4"/>
    <w:qFormat/>
    <w:rsid w:val="00F846C0"/>
    <w:rPr>
      <w:b/>
    </w:rPr>
  </w:style>
  <w:style w:type="paragraph" w:customStyle="1" w:styleId="UntitledClause">
    <w:name w:val="Untitled Clause"/>
    <w:basedOn w:val="TitleClause"/>
    <w:qFormat/>
    <w:rsid w:val="00F846C0"/>
    <w:pPr>
      <w:spacing w:before="120"/>
    </w:pPr>
    <w:rPr>
      <w:b w:val="0"/>
    </w:rPr>
  </w:style>
  <w:style w:type="paragraph" w:customStyle="1" w:styleId="Titlesubclause1">
    <w:name w:val="Title subclause1"/>
    <w:basedOn w:val="Untitledsubclause1"/>
    <w:qFormat/>
    <w:rsid w:val="00F846C0"/>
    <w:pPr>
      <w:spacing w:before="120"/>
    </w:pPr>
    <w:rPr>
      <w:b/>
    </w:rPr>
  </w:style>
  <w:style w:type="paragraph" w:customStyle="1" w:styleId="Schedule0">
    <w:name w:val="Schedule"/>
    <w:qFormat/>
    <w:rsid w:val="00985063"/>
    <w:pPr>
      <w:numPr>
        <w:numId w:val="26"/>
      </w:numPr>
      <w:spacing w:before="240" w:after="240" w:line="240" w:lineRule="atLeast"/>
    </w:pPr>
    <w:rPr>
      <w:rFonts w:ascii="Arial" w:eastAsia="Arial Unicode MS" w:hAnsi="Arial" w:cs="Arial"/>
      <w:b/>
      <w:color w:val="000000"/>
      <w:sz w:val="22"/>
      <w:szCs w:val="22"/>
    </w:rPr>
  </w:style>
  <w:style w:type="character" w:customStyle="1" w:styleId="Heading1Char">
    <w:name w:val="Heading 1 Char"/>
    <w:link w:val="Heading1"/>
    <w:uiPriority w:val="9"/>
    <w:rsid w:val="00411336"/>
    <w:rPr>
      <w:rFonts w:ascii="Cambria" w:hAnsi="Cambria" w:cstheme="minorBidi"/>
      <w:b/>
      <w:bCs/>
      <w:sz w:val="28"/>
      <w:szCs w:val="28"/>
      <w:lang w:val="en-GB"/>
    </w:rPr>
  </w:style>
  <w:style w:type="character" w:customStyle="1" w:styleId="Heading2Char">
    <w:name w:val="Heading 2 Char"/>
    <w:link w:val="Heading2"/>
    <w:uiPriority w:val="9"/>
    <w:rsid w:val="00411336"/>
    <w:rPr>
      <w:rFonts w:ascii="Cambria" w:hAnsi="Cambria" w:cstheme="minorBidi"/>
      <w:b/>
      <w:bCs/>
      <w:sz w:val="26"/>
      <w:szCs w:val="26"/>
    </w:rPr>
  </w:style>
  <w:style w:type="character" w:customStyle="1" w:styleId="Heading3Char">
    <w:name w:val="Heading 3 Char"/>
    <w:link w:val="Heading3"/>
    <w:uiPriority w:val="9"/>
    <w:rsid w:val="00411336"/>
    <w:rPr>
      <w:rFonts w:ascii="Cambria" w:hAnsi="Cambria" w:cstheme="minorBidi"/>
      <w:b/>
      <w:bCs/>
      <w:sz w:val="22"/>
      <w:szCs w:val="22"/>
    </w:rPr>
  </w:style>
  <w:style w:type="character" w:customStyle="1" w:styleId="Heading4Char">
    <w:name w:val="Heading 4 Char"/>
    <w:link w:val="Heading4"/>
    <w:uiPriority w:val="9"/>
    <w:rsid w:val="00411336"/>
    <w:rPr>
      <w:rFonts w:ascii="Cambria" w:hAnsi="Cambria" w:cstheme="minorBidi"/>
      <w:b/>
      <w:bCs/>
      <w:i/>
      <w:iCs/>
      <w:sz w:val="22"/>
      <w:szCs w:val="22"/>
    </w:rPr>
  </w:style>
  <w:style w:type="character" w:customStyle="1" w:styleId="Heading5Char">
    <w:name w:val="Heading 5 Char"/>
    <w:link w:val="Heading5"/>
    <w:uiPriority w:val="9"/>
    <w:rsid w:val="00411336"/>
    <w:rPr>
      <w:rFonts w:ascii="Cambria" w:hAnsi="Cambria" w:cstheme="minorBidi"/>
      <w:sz w:val="22"/>
      <w:szCs w:val="22"/>
    </w:rPr>
  </w:style>
  <w:style w:type="character" w:customStyle="1" w:styleId="Heading6Char">
    <w:name w:val="Heading 6 Char"/>
    <w:link w:val="Heading6"/>
    <w:uiPriority w:val="9"/>
    <w:rsid w:val="00411336"/>
    <w:rPr>
      <w:rFonts w:ascii="Cambria" w:hAnsi="Cambria" w:cstheme="minorBidi"/>
      <w:i/>
      <w:iCs/>
      <w:sz w:val="22"/>
      <w:szCs w:val="22"/>
    </w:rPr>
  </w:style>
  <w:style w:type="character" w:customStyle="1" w:styleId="Heading7Char">
    <w:name w:val="Heading 7 Char"/>
    <w:link w:val="Heading7"/>
    <w:uiPriority w:val="9"/>
    <w:rsid w:val="00411336"/>
    <w:rPr>
      <w:rFonts w:ascii="Cambria" w:hAnsi="Cambria" w:cstheme="minorBidi"/>
      <w:i/>
      <w:iCs/>
      <w:sz w:val="22"/>
      <w:szCs w:val="22"/>
    </w:rPr>
  </w:style>
  <w:style w:type="character" w:customStyle="1" w:styleId="Heading8Char">
    <w:name w:val="Heading 8 Char"/>
    <w:link w:val="Heading8"/>
    <w:uiPriority w:val="9"/>
    <w:rsid w:val="00411336"/>
    <w:rPr>
      <w:rFonts w:ascii="Cambria" w:hAnsi="Cambria" w:cstheme="minorBidi"/>
    </w:rPr>
  </w:style>
  <w:style w:type="character" w:customStyle="1" w:styleId="Heading9Char">
    <w:name w:val="Heading 9 Char"/>
    <w:link w:val="Heading9"/>
    <w:uiPriority w:val="9"/>
    <w:rsid w:val="00411336"/>
    <w:rPr>
      <w:rFonts w:ascii="Cambria" w:hAnsi="Cambria" w:cstheme="minorBidi"/>
      <w:i/>
      <w:iCs/>
    </w:rPr>
  </w:style>
  <w:style w:type="paragraph" w:customStyle="1" w:styleId="ScheduleTitle">
    <w:name w:val="Schedule Title"/>
    <w:basedOn w:val="Normal"/>
    <w:next w:val="Schedule1"/>
    <w:qFormat/>
    <w:rsid w:val="002F7D7E"/>
    <w:pPr>
      <w:spacing w:after="120" w:line="300" w:lineRule="atLeast"/>
      <w:jc w:val="both"/>
    </w:pPr>
    <w:rPr>
      <w:rFonts w:eastAsia="Arial Unicode MS"/>
      <w:b/>
      <w:szCs w:val="20"/>
    </w:rPr>
  </w:style>
  <w:style w:type="paragraph" w:customStyle="1" w:styleId="Part">
    <w:name w:val="Part"/>
    <w:basedOn w:val="Paragraph"/>
    <w:qFormat/>
    <w:rsid w:val="00F846C0"/>
    <w:pPr>
      <w:numPr>
        <w:ilvl w:val="1"/>
        <w:numId w:val="22"/>
      </w:numPr>
      <w:spacing w:before="240" w:after="240"/>
      <w:jc w:val="left"/>
    </w:pPr>
    <w:rPr>
      <w:b/>
    </w:rPr>
  </w:style>
  <w:style w:type="paragraph" w:customStyle="1" w:styleId="AnnexTitle">
    <w:name w:val="Annex Title"/>
    <w:basedOn w:val="Paragraph"/>
    <w:next w:val="Paragraph"/>
    <w:qFormat/>
    <w:rsid w:val="00F846C0"/>
    <w:pPr>
      <w:spacing w:before="240" w:after="240"/>
    </w:pPr>
    <w:rPr>
      <w:b/>
    </w:rPr>
  </w:style>
  <w:style w:type="paragraph" w:customStyle="1" w:styleId="PartTitle">
    <w:name w:val="Part Title"/>
    <w:basedOn w:val="Paragraph"/>
    <w:qFormat/>
    <w:rsid w:val="00F846C0"/>
    <w:rPr>
      <w:b/>
    </w:rPr>
  </w:style>
  <w:style w:type="paragraph" w:customStyle="1" w:styleId="Testimonium">
    <w:name w:val="Testimonium"/>
    <w:basedOn w:val="Paragraph"/>
    <w:qFormat/>
    <w:rsid w:val="00F846C0"/>
  </w:style>
  <w:style w:type="character" w:customStyle="1" w:styleId="apple-converted-space">
    <w:name w:val="apple-converted-space"/>
    <w:rsid w:val="00F846C0"/>
    <w:rPr>
      <w:rFonts w:ascii="Arial" w:eastAsia="Arial" w:hAnsi="Arial" w:cs="Arial"/>
      <w:color w:val="000000"/>
    </w:rPr>
  </w:style>
  <w:style w:type="character" w:styleId="Emphasis">
    <w:name w:val="Emphasis"/>
    <w:uiPriority w:val="20"/>
    <w:qFormat/>
    <w:rsid w:val="006D5358"/>
    <w:rPr>
      <w:rFonts w:ascii="Arial" w:eastAsia="Arial" w:hAnsi="Arial" w:cs="Arial"/>
      <w:i/>
      <w:iCs/>
      <w:color w:val="000000"/>
    </w:rPr>
  </w:style>
  <w:style w:type="paragraph" w:customStyle="1" w:styleId="NoNumTitle-Clause">
    <w:name w:val="No Num Title - Clause"/>
    <w:basedOn w:val="TitleClause"/>
    <w:qFormat/>
    <w:rsid w:val="00F846C0"/>
    <w:pPr>
      <w:numPr>
        <w:numId w:val="0"/>
      </w:numPr>
      <w:ind w:left="720"/>
    </w:pPr>
  </w:style>
  <w:style w:type="paragraph" w:customStyle="1" w:styleId="NoNumTitlesubclause1">
    <w:name w:val="No Num Title subclause1"/>
    <w:basedOn w:val="Titlesubclause1"/>
    <w:qFormat/>
    <w:rsid w:val="00F846C0"/>
    <w:pPr>
      <w:numPr>
        <w:ilvl w:val="0"/>
        <w:numId w:val="0"/>
      </w:numPr>
      <w:ind w:left="720"/>
    </w:pPr>
  </w:style>
  <w:style w:type="paragraph" w:customStyle="1" w:styleId="AddressLine">
    <w:name w:val="Address Line"/>
    <w:basedOn w:val="Paragraph"/>
    <w:qFormat/>
    <w:rsid w:val="00F846C0"/>
  </w:style>
  <w:style w:type="paragraph" w:styleId="Date">
    <w:name w:val="Date"/>
    <w:basedOn w:val="Normal"/>
    <w:next w:val="Normal"/>
    <w:link w:val="DateChar"/>
    <w:qFormat/>
    <w:rsid w:val="002F7D7E"/>
    <w:pPr>
      <w:spacing w:after="120" w:line="300" w:lineRule="atLeast"/>
      <w:jc w:val="both"/>
    </w:pPr>
    <w:rPr>
      <w:rFonts w:eastAsia="Arial Unicode MS"/>
      <w:szCs w:val="20"/>
    </w:rPr>
  </w:style>
  <w:style w:type="paragraph" w:customStyle="1" w:styleId="SalutationPara">
    <w:name w:val="Salutation Para"/>
    <w:basedOn w:val="Paragraph"/>
    <w:next w:val="Paragraph"/>
    <w:qFormat/>
    <w:rsid w:val="00F846C0"/>
    <w:pPr>
      <w:spacing w:before="240"/>
    </w:pPr>
  </w:style>
  <w:style w:type="character" w:styleId="FollowedHyperlink">
    <w:name w:val="FollowedHyperlink"/>
    <w:uiPriority w:val="99"/>
    <w:semiHidden/>
    <w:rsid w:val="002F7D7E"/>
    <w:rPr>
      <w:rFonts w:ascii="Arial" w:eastAsia="Arial" w:hAnsi="Arial" w:cs="Arial"/>
      <w:i/>
      <w:color w:val="000000"/>
      <w:u w:val="single"/>
    </w:rPr>
  </w:style>
  <w:style w:type="character" w:customStyle="1" w:styleId="DefTerm">
    <w:name w:val="DefTerm"/>
    <w:uiPriority w:val="1"/>
    <w:qFormat/>
    <w:rsid w:val="00F846C0"/>
    <w:rPr>
      <w:rFonts w:ascii="Arial" w:eastAsia="Arial" w:hAnsi="Arial" w:cs="Arial"/>
      <w:b/>
      <w:color w:val="000000"/>
    </w:rPr>
  </w:style>
  <w:style w:type="table" w:customStyle="1" w:styleId="ShadedTable">
    <w:name w:val="Shaded Table"/>
    <w:basedOn w:val="TableNormal"/>
    <w:uiPriority w:val="99"/>
    <w:rsid w:val="00F846C0"/>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sid w:val="00F846C0"/>
    <w:rPr>
      <w:i/>
    </w:rPr>
  </w:style>
  <w:style w:type="paragraph" w:customStyle="1" w:styleId="LetterTitle">
    <w:name w:val="Letter Title"/>
    <w:basedOn w:val="Paragraph"/>
    <w:qFormat/>
    <w:rsid w:val="00F846C0"/>
    <w:rPr>
      <w:b/>
    </w:rPr>
  </w:style>
  <w:style w:type="paragraph" w:customStyle="1" w:styleId="LongQuestionPara">
    <w:name w:val="Long Question Para"/>
    <w:basedOn w:val="Paragraph"/>
    <w:link w:val="LongQuestionParaChar"/>
    <w:rsid w:val="00F846C0"/>
    <w:pPr>
      <w:numPr>
        <w:numId w:val="12"/>
      </w:numPr>
      <w:spacing w:before="240" w:after="240" w:line="240" w:lineRule="auto"/>
      <w:outlineLvl w:val="1"/>
    </w:pPr>
    <w:rPr>
      <w:sz w:val="20"/>
    </w:rPr>
  </w:style>
  <w:style w:type="character" w:customStyle="1" w:styleId="LongQuestionParaChar">
    <w:name w:val="Long Question Para Char"/>
    <w:link w:val="LongQuestionPara"/>
    <w:rsid w:val="00F846C0"/>
    <w:rPr>
      <w:rFonts w:asciiTheme="minorHAnsi" w:eastAsia="Arial Unicode MS" w:hAnsiTheme="minorHAnsi" w:cstheme="minorBidi"/>
    </w:rPr>
  </w:style>
  <w:style w:type="paragraph" w:customStyle="1" w:styleId="ShortQuestionPara">
    <w:name w:val="Short Question Para"/>
    <w:basedOn w:val="Paragraph"/>
    <w:link w:val="ShortQuestionParaChar"/>
    <w:rsid w:val="00F846C0"/>
    <w:pPr>
      <w:shd w:val="clear" w:color="auto" w:fill="D9D9D9"/>
      <w:tabs>
        <w:tab w:val="left" w:pos="270"/>
      </w:tabs>
      <w:spacing w:after="40" w:line="240" w:lineRule="auto"/>
      <w:outlineLvl w:val="1"/>
    </w:pPr>
    <w:rPr>
      <w:bCs/>
      <w:sz w:val="20"/>
    </w:rPr>
  </w:style>
  <w:style w:type="character" w:customStyle="1" w:styleId="ShortQuestionParaChar">
    <w:name w:val="Short Question Para Char"/>
    <w:link w:val="ShortQuestionPara"/>
    <w:rsid w:val="00F846C0"/>
    <w:rPr>
      <w:rFonts w:ascii="Arial" w:eastAsia="Arial Unicode MS" w:hAnsi="Arial" w:cs="Arial"/>
      <w:bCs/>
      <w:color w:val="000000"/>
      <w:sz w:val="20"/>
      <w:szCs w:val="20"/>
      <w:shd w:val="clear" w:color="auto" w:fill="D9D9D9"/>
      <w:lang w:val="en-US" w:eastAsia="en-US"/>
    </w:rPr>
  </w:style>
  <w:style w:type="character" w:customStyle="1" w:styleId="ParagraphChar">
    <w:name w:val="Paragraph Char"/>
    <w:link w:val="Paragraph"/>
    <w:rsid w:val="00F846C0"/>
    <w:rPr>
      <w:rFonts w:ascii="Arial" w:eastAsia="Arial Unicode MS" w:hAnsi="Arial" w:cs="Arial"/>
      <w:color w:val="000000"/>
      <w:szCs w:val="20"/>
      <w:lang w:eastAsia="en-US"/>
    </w:rPr>
  </w:style>
  <w:style w:type="paragraph" w:customStyle="1" w:styleId="811D3A974D454A258B71E3C4DE24C4F210">
    <w:name w:val="811D3A974D454A258B71E3C4DE24C4F210"/>
    <w:rsid w:val="005E01B9"/>
    <w:pPr>
      <w:spacing w:after="120"/>
    </w:pPr>
    <w:rPr>
      <w:rFonts w:ascii="Arial" w:eastAsia="Arial Unicode MS" w:hAnsi="Arial" w:cs="Arial"/>
      <w:color w:val="000000"/>
      <w:sz w:val="24"/>
      <w:szCs w:val="22"/>
    </w:rPr>
  </w:style>
  <w:style w:type="paragraph" w:customStyle="1" w:styleId="ListParagraphLevel3">
    <w:name w:val="List Paragraph Level 3"/>
    <w:qFormat/>
    <w:rsid w:val="00F846C0"/>
    <w:pPr>
      <w:spacing w:after="120"/>
      <w:ind w:left="2160"/>
    </w:pPr>
    <w:rPr>
      <w:rFonts w:ascii="Times New Roman" w:hAnsi="Times New Roman"/>
      <w:color w:val="000000"/>
      <w:sz w:val="24"/>
    </w:rPr>
  </w:style>
  <w:style w:type="paragraph" w:customStyle="1" w:styleId="DocumentTitle">
    <w:name w:val="Document Title"/>
    <w:basedOn w:val="Paragraph"/>
    <w:qFormat/>
    <w:rsid w:val="00F846C0"/>
    <w:pPr>
      <w:jc w:val="center"/>
    </w:pPr>
    <w:rPr>
      <w:sz w:val="28"/>
    </w:rPr>
  </w:style>
  <w:style w:type="paragraph" w:customStyle="1" w:styleId="Title-Clause">
    <w:name w:val="Title - Clause"/>
    <w:aliases w:val="BIWS Heading 1"/>
    <w:basedOn w:val="Normal"/>
    <w:rsid w:val="00F846C0"/>
    <w:pPr>
      <w:keepNext/>
      <w:tabs>
        <w:tab w:val="num" w:pos="720"/>
      </w:tabs>
      <w:spacing w:before="240" w:after="240" w:line="300" w:lineRule="atLeast"/>
      <w:ind w:left="720" w:hanging="720"/>
      <w:jc w:val="both"/>
      <w:outlineLvl w:val="0"/>
    </w:pPr>
    <w:rPr>
      <w:rFonts w:eastAsia="Arial Unicode MS"/>
      <w:b/>
      <w:kern w:val="28"/>
      <w:szCs w:val="20"/>
    </w:rPr>
  </w:style>
  <w:style w:type="paragraph" w:customStyle="1" w:styleId="Para-Clause-nonum">
    <w:name w:val="Para - Clause - no num"/>
    <w:aliases w:val="Body  clause"/>
    <w:basedOn w:val="Normal"/>
    <w:next w:val="Title-Clause"/>
    <w:rsid w:val="00F846C0"/>
    <w:pPr>
      <w:spacing w:before="120" w:after="120" w:line="300" w:lineRule="atLeast"/>
      <w:ind w:left="720"/>
      <w:jc w:val="both"/>
    </w:pPr>
    <w:rPr>
      <w:rFonts w:eastAsia="Arial Unicode MS"/>
      <w:szCs w:val="20"/>
    </w:rPr>
  </w:style>
  <w:style w:type="paragraph" w:customStyle="1" w:styleId="Para-Clause">
    <w:name w:val="Para - Clause"/>
    <w:basedOn w:val="Title-Clause"/>
    <w:qFormat/>
    <w:rsid w:val="00F846C0"/>
    <w:pPr>
      <w:spacing w:before="120"/>
    </w:pPr>
    <w:rPr>
      <w:b w:val="0"/>
    </w:rPr>
  </w:style>
  <w:style w:type="paragraph" w:customStyle="1" w:styleId="CoversheetParagraph">
    <w:name w:val="Coversheet Paragraph"/>
    <w:basedOn w:val="Normal"/>
    <w:autoRedefine/>
    <w:rsid w:val="006D5358"/>
    <w:pPr>
      <w:spacing w:after="0" w:line="300" w:lineRule="atLeast"/>
      <w:jc w:val="center"/>
    </w:pPr>
    <w:rPr>
      <w:rFonts w:ascii="Times New Roman" w:eastAsia="Times New Roman" w:hAnsi="Times New Roman"/>
      <w:szCs w:val="20"/>
    </w:rPr>
  </w:style>
  <w:style w:type="paragraph" w:customStyle="1" w:styleId="CoversheetIntro">
    <w:name w:val="Coversheet Intro"/>
    <w:basedOn w:val="CoversheetTitle"/>
    <w:qFormat/>
    <w:rsid w:val="00F846C0"/>
    <w:rPr>
      <w:smallCaps w:val="0"/>
      <w:sz w:val="22"/>
    </w:rPr>
  </w:style>
  <w:style w:type="paragraph" w:customStyle="1" w:styleId="CoversheetStaticText">
    <w:name w:val="Coversheet Static Text"/>
    <w:basedOn w:val="CoversheetIntro"/>
    <w:qFormat/>
    <w:rsid w:val="00F846C0"/>
    <w:rPr>
      <w:b w:val="0"/>
    </w:rPr>
  </w:style>
  <w:style w:type="paragraph" w:customStyle="1" w:styleId="CoversheetParty">
    <w:name w:val="Coversheet Party"/>
    <w:basedOn w:val="CoversheetIntro"/>
    <w:qFormat/>
    <w:rsid w:val="00F846C0"/>
  </w:style>
  <w:style w:type="paragraph" w:customStyle="1" w:styleId="NoNumUntitledClause">
    <w:name w:val="No Num Untitled Clause"/>
    <w:basedOn w:val="UntitledClause"/>
    <w:qFormat/>
    <w:rsid w:val="00F846C0"/>
    <w:pPr>
      <w:numPr>
        <w:numId w:val="0"/>
      </w:numPr>
      <w:ind w:left="720"/>
    </w:pPr>
  </w:style>
  <w:style w:type="paragraph" w:customStyle="1" w:styleId="BackgroundSubclause1">
    <w:name w:val="Background Subclause1"/>
    <w:basedOn w:val="Background"/>
    <w:qFormat/>
    <w:rsid w:val="00F846C0"/>
    <w:pPr>
      <w:numPr>
        <w:ilvl w:val="1"/>
      </w:numPr>
    </w:pPr>
  </w:style>
  <w:style w:type="paragraph" w:customStyle="1" w:styleId="BackgroundSubclause2">
    <w:name w:val="Background Subclause2"/>
    <w:basedOn w:val="Background"/>
    <w:qFormat/>
    <w:rsid w:val="00F846C0"/>
    <w:pPr>
      <w:numPr>
        <w:ilvl w:val="3"/>
      </w:numPr>
    </w:pPr>
  </w:style>
  <w:style w:type="paragraph" w:customStyle="1" w:styleId="HeadingLevel2CQA">
    <w:name w:val="Heading Level 2 CQA"/>
    <w:basedOn w:val="HeadingLevel2"/>
    <w:qFormat/>
    <w:rsid w:val="00F846C0"/>
  </w:style>
  <w:style w:type="paragraph" w:customStyle="1" w:styleId="ClauseBullet1">
    <w:name w:val="Clause Bullet 1"/>
    <w:basedOn w:val="ParaClause"/>
    <w:qFormat/>
    <w:rsid w:val="00985063"/>
    <w:pPr>
      <w:numPr>
        <w:numId w:val="13"/>
      </w:numPr>
      <w:outlineLvl w:val="0"/>
    </w:pPr>
  </w:style>
  <w:style w:type="paragraph" w:customStyle="1" w:styleId="ClauseBullet2">
    <w:name w:val="Clause Bullet 2"/>
    <w:basedOn w:val="ParaClause"/>
    <w:qFormat/>
    <w:rsid w:val="00985063"/>
    <w:pPr>
      <w:numPr>
        <w:numId w:val="14"/>
      </w:numPr>
      <w:outlineLvl w:val="1"/>
    </w:pPr>
  </w:style>
  <w:style w:type="paragraph" w:customStyle="1" w:styleId="subclause1Bullet1">
    <w:name w:val="subclause 1 Bullet 1"/>
    <w:basedOn w:val="Parasubclause1"/>
    <w:qFormat/>
    <w:rsid w:val="00985063"/>
    <w:pPr>
      <w:numPr>
        <w:numId w:val="15"/>
      </w:numPr>
    </w:pPr>
  </w:style>
  <w:style w:type="paragraph" w:customStyle="1" w:styleId="subclause2Bullet1">
    <w:name w:val="subclause 2 Bullet 1"/>
    <w:basedOn w:val="Parasubclause2"/>
    <w:qFormat/>
    <w:rsid w:val="00985063"/>
    <w:pPr>
      <w:numPr>
        <w:numId w:val="17"/>
      </w:numPr>
    </w:pPr>
  </w:style>
  <w:style w:type="paragraph" w:customStyle="1" w:styleId="subclause3Bullet1">
    <w:name w:val="subclause 3 Bullet 1"/>
    <w:basedOn w:val="Parasubclause3"/>
    <w:qFormat/>
    <w:rsid w:val="00985063"/>
    <w:pPr>
      <w:numPr>
        <w:numId w:val="16"/>
      </w:numPr>
    </w:pPr>
  </w:style>
  <w:style w:type="paragraph" w:customStyle="1" w:styleId="subclause1Bullet2">
    <w:name w:val="subclause 1 Bullet 2"/>
    <w:basedOn w:val="Parasubclause1"/>
    <w:qFormat/>
    <w:rsid w:val="00985063"/>
    <w:pPr>
      <w:numPr>
        <w:numId w:val="18"/>
      </w:numPr>
    </w:pPr>
  </w:style>
  <w:style w:type="paragraph" w:customStyle="1" w:styleId="subclause2Bullet2">
    <w:name w:val="subclause 2 Bullet 2"/>
    <w:basedOn w:val="Parasubclause2"/>
    <w:qFormat/>
    <w:rsid w:val="00985063"/>
    <w:pPr>
      <w:numPr>
        <w:numId w:val="19"/>
      </w:numPr>
    </w:pPr>
  </w:style>
  <w:style w:type="paragraph" w:customStyle="1" w:styleId="subclause3Bullet2">
    <w:name w:val="subclause 3 Bullet 2"/>
    <w:basedOn w:val="Parasubclause3"/>
    <w:qFormat/>
    <w:rsid w:val="00985063"/>
    <w:pPr>
      <w:numPr>
        <w:numId w:val="20"/>
      </w:numPr>
    </w:pPr>
  </w:style>
  <w:style w:type="paragraph" w:customStyle="1" w:styleId="DefinedTermBullet">
    <w:name w:val="Defined Term Bullet"/>
    <w:basedOn w:val="DefinedTermPara"/>
    <w:qFormat/>
    <w:rsid w:val="00F846C0"/>
    <w:pPr>
      <w:numPr>
        <w:numId w:val="21"/>
      </w:numPr>
    </w:pPr>
  </w:style>
  <w:style w:type="paragraph" w:customStyle="1" w:styleId="DefinedTermNumber">
    <w:name w:val="Defined Term Number"/>
    <w:basedOn w:val="DefinedTermPara"/>
    <w:qFormat/>
    <w:rsid w:val="00F846C0"/>
    <w:pPr>
      <w:numPr>
        <w:ilvl w:val="1"/>
      </w:numPr>
    </w:pPr>
  </w:style>
  <w:style w:type="paragraph" w:customStyle="1" w:styleId="AdditionalTitle">
    <w:name w:val="Additional Title"/>
    <w:basedOn w:val="Paragraph"/>
    <w:qFormat/>
    <w:rsid w:val="00F846C0"/>
    <w:pPr>
      <w:jc w:val="left"/>
    </w:pPr>
    <w:rPr>
      <w:b/>
      <w:sz w:val="24"/>
    </w:rPr>
  </w:style>
  <w:style w:type="character" w:customStyle="1" w:styleId="error">
    <w:name w:val="error"/>
    <w:rsid w:val="00F846C0"/>
    <w:rPr>
      <w:rFonts w:ascii="Arial" w:eastAsia="Arial" w:hAnsi="Arial" w:cs="Arial"/>
      <w:color w:val="000000"/>
    </w:rPr>
  </w:style>
  <w:style w:type="paragraph" w:customStyle="1" w:styleId="NoNumUntitledsubclause1">
    <w:name w:val="No Num Untitled subclause 1"/>
    <w:basedOn w:val="Untitledsubclause1"/>
    <w:qFormat/>
    <w:rsid w:val="00F846C0"/>
    <w:pPr>
      <w:numPr>
        <w:ilvl w:val="0"/>
        <w:numId w:val="0"/>
      </w:numPr>
      <w:ind w:left="720"/>
    </w:pPr>
  </w:style>
  <w:style w:type="paragraph" w:customStyle="1" w:styleId="BackgroundParaClause">
    <w:name w:val="Background Para Clause"/>
    <w:basedOn w:val="Background"/>
    <w:qFormat/>
    <w:rsid w:val="00F846C0"/>
    <w:pPr>
      <w:numPr>
        <w:numId w:val="0"/>
      </w:numPr>
    </w:pPr>
  </w:style>
  <w:style w:type="paragraph" w:customStyle="1" w:styleId="BackgroundParaSubclause1">
    <w:name w:val="Background Para Subclause1"/>
    <w:basedOn w:val="BackgroundSubclause1"/>
    <w:qFormat/>
    <w:rsid w:val="00F846C0"/>
    <w:pPr>
      <w:numPr>
        <w:ilvl w:val="0"/>
        <w:numId w:val="0"/>
      </w:numPr>
      <w:ind w:left="994"/>
    </w:pPr>
  </w:style>
  <w:style w:type="paragraph" w:customStyle="1" w:styleId="BackgroundParaSubclause2">
    <w:name w:val="Background Para Subclause2"/>
    <w:basedOn w:val="BackgroundSubclause2"/>
    <w:qFormat/>
    <w:rsid w:val="00F846C0"/>
    <w:pPr>
      <w:numPr>
        <w:ilvl w:val="0"/>
        <w:numId w:val="0"/>
      </w:numPr>
      <w:ind w:left="1701"/>
    </w:pPr>
  </w:style>
  <w:style w:type="paragraph" w:customStyle="1" w:styleId="ClauseBulletPara">
    <w:name w:val="Clause Bullet Para"/>
    <w:basedOn w:val="ClauseBullet1"/>
    <w:qFormat/>
    <w:rsid w:val="00F846C0"/>
    <w:pPr>
      <w:numPr>
        <w:numId w:val="0"/>
      </w:numPr>
      <w:ind w:left="1080"/>
    </w:pPr>
  </w:style>
  <w:style w:type="paragraph" w:customStyle="1" w:styleId="ClauseBullet2Para">
    <w:name w:val="Clause Bullet 2 Para"/>
    <w:basedOn w:val="ClauseBullet2"/>
    <w:qFormat/>
    <w:rsid w:val="00F846C0"/>
    <w:pPr>
      <w:numPr>
        <w:numId w:val="0"/>
      </w:numPr>
      <w:ind w:left="1440"/>
    </w:pPr>
  </w:style>
  <w:style w:type="paragraph" w:customStyle="1" w:styleId="ACTJurisdictionCheckList">
    <w:name w:val="ACTJurisdictionCheckList"/>
    <w:basedOn w:val="Normal"/>
    <w:rsid w:val="00F846C0"/>
    <w:pPr>
      <w:spacing w:after="120" w:line="300" w:lineRule="atLeast"/>
    </w:pPr>
    <w:rPr>
      <w:rFonts w:eastAsia="Arial Unicode MS"/>
      <w:b/>
      <w:sz w:val="28"/>
    </w:rPr>
  </w:style>
  <w:style w:type="paragraph" w:customStyle="1" w:styleId="JurisdictionDraftingnoteTitle">
    <w:name w:val="Jurisdiction Draftingnote Title"/>
    <w:basedOn w:val="DraftingnoteTitle"/>
    <w:qFormat/>
    <w:rsid w:val="00F846C0"/>
  </w:style>
  <w:style w:type="paragraph" w:customStyle="1" w:styleId="ScheduleTitleClause">
    <w:name w:val="Schedule Title Clause"/>
    <w:basedOn w:val="Normal"/>
    <w:rsid w:val="00F846C0"/>
    <w:pPr>
      <w:keepNext/>
      <w:numPr>
        <w:numId w:val="28"/>
      </w:numPr>
      <w:spacing w:before="240" w:after="240" w:line="300" w:lineRule="atLeast"/>
      <w:jc w:val="both"/>
      <w:outlineLvl w:val="0"/>
    </w:pPr>
    <w:rPr>
      <w:rFonts w:eastAsia="Arial Unicode MS"/>
      <w:b/>
      <w:kern w:val="28"/>
      <w:szCs w:val="20"/>
    </w:rPr>
  </w:style>
  <w:style w:type="paragraph" w:customStyle="1" w:styleId="ScheduleUntitledsubclause1">
    <w:name w:val="Schedule Untitled subclause 1"/>
    <w:basedOn w:val="Normal"/>
    <w:rsid w:val="00F846C0"/>
    <w:pPr>
      <w:numPr>
        <w:ilvl w:val="1"/>
        <w:numId w:val="28"/>
      </w:numPr>
      <w:spacing w:before="280" w:after="120" w:line="300" w:lineRule="atLeast"/>
      <w:jc w:val="both"/>
      <w:outlineLvl w:val="1"/>
    </w:pPr>
    <w:rPr>
      <w:rFonts w:eastAsia="Arial Unicode MS"/>
      <w:szCs w:val="20"/>
    </w:rPr>
  </w:style>
  <w:style w:type="paragraph" w:customStyle="1" w:styleId="ScheduleUntitledsubclause2">
    <w:name w:val="Schedule Untitled subclause 2"/>
    <w:basedOn w:val="Normal"/>
    <w:rsid w:val="00F846C0"/>
    <w:pPr>
      <w:numPr>
        <w:ilvl w:val="2"/>
        <w:numId w:val="28"/>
      </w:numPr>
      <w:spacing w:after="120" w:line="300" w:lineRule="atLeast"/>
      <w:jc w:val="both"/>
      <w:outlineLvl w:val="2"/>
    </w:pPr>
    <w:rPr>
      <w:rFonts w:eastAsia="Arial Unicode MS"/>
      <w:szCs w:val="20"/>
    </w:rPr>
  </w:style>
  <w:style w:type="paragraph" w:customStyle="1" w:styleId="ScheduleUntitledsubclause3">
    <w:name w:val="Schedule Untitled subclause 3"/>
    <w:basedOn w:val="Normal"/>
    <w:rsid w:val="00985063"/>
    <w:pPr>
      <w:tabs>
        <w:tab w:val="left" w:pos="2261"/>
        <w:tab w:val="num" w:pos="2419"/>
      </w:tabs>
      <w:spacing w:after="120" w:line="300" w:lineRule="atLeast"/>
      <w:ind w:left="2275" w:hanging="576"/>
      <w:jc w:val="both"/>
      <w:outlineLvl w:val="3"/>
    </w:pPr>
    <w:rPr>
      <w:rFonts w:eastAsia="Arial Unicode MS"/>
      <w:szCs w:val="20"/>
    </w:rPr>
  </w:style>
  <w:style w:type="paragraph" w:customStyle="1" w:styleId="ScheduleUntitledsubclause4">
    <w:name w:val="Schedule Untitled subclause 4"/>
    <w:basedOn w:val="Normal"/>
    <w:rsid w:val="00F846C0"/>
    <w:pPr>
      <w:spacing w:after="120" w:line="300" w:lineRule="atLeast"/>
      <w:jc w:val="both"/>
      <w:outlineLvl w:val="4"/>
    </w:pPr>
    <w:rPr>
      <w:rFonts w:eastAsia="Arial Unicode MS"/>
      <w:szCs w:val="20"/>
    </w:rPr>
  </w:style>
  <w:style w:type="paragraph" w:customStyle="1" w:styleId="BulletListPattern1">
    <w:name w:val="Bullet List Pattern 1"/>
    <w:basedOn w:val="BulletList1"/>
    <w:qFormat/>
    <w:rsid w:val="00F846C0"/>
    <w:pPr>
      <w:shd w:val="clear" w:color="auto" w:fill="D9D9D9"/>
      <w:spacing w:after="120" w:line="240" w:lineRule="auto"/>
      <w:ind w:left="714" w:hanging="357"/>
    </w:pPr>
  </w:style>
  <w:style w:type="paragraph" w:customStyle="1" w:styleId="BulletListPattern2">
    <w:name w:val="Bullet List Pattern 2"/>
    <w:basedOn w:val="BulletList2"/>
    <w:qFormat/>
    <w:rsid w:val="00985063"/>
    <w:pPr>
      <w:shd w:val="clear" w:color="auto" w:fill="D9D9D9"/>
    </w:pPr>
  </w:style>
  <w:style w:type="paragraph" w:customStyle="1" w:styleId="ScheduleUntitledClause">
    <w:name w:val="Schedule Untitled Clause"/>
    <w:basedOn w:val="ScheduleTitleClause"/>
    <w:qFormat/>
    <w:rsid w:val="00F846C0"/>
    <w:pPr>
      <w:spacing w:before="120"/>
    </w:pPr>
    <w:rPr>
      <w:b w:val="0"/>
    </w:rPr>
  </w:style>
  <w:style w:type="paragraph" w:customStyle="1" w:styleId="EmptyClausePara">
    <w:name w:val="Empty Clause Para"/>
    <w:basedOn w:val="IgnoredSpacing"/>
    <w:qFormat/>
    <w:rsid w:val="00F846C0"/>
  </w:style>
  <w:style w:type="paragraph" w:styleId="ListParagraph">
    <w:name w:val="List Paragraph"/>
    <w:basedOn w:val="Normal"/>
    <w:uiPriority w:val="34"/>
    <w:qFormat/>
    <w:rsid w:val="006D5358"/>
    <w:pPr>
      <w:ind w:left="720"/>
      <w:contextualSpacing/>
    </w:pPr>
  </w:style>
  <w:style w:type="paragraph" w:customStyle="1" w:styleId="ScheduleTitlesubclause1">
    <w:name w:val="Schedule Title subclause1"/>
    <w:basedOn w:val="ScheduleUntitledsubclause1"/>
    <w:qFormat/>
    <w:rsid w:val="00F846C0"/>
    <w:pPr>
      <w:spacing w:before="120"/>
    </w:pPr>
    <w:rPr>
      <w:b/>
    </w:rPr>
  </w:style>
  <w:style w:type="paragraph" w:customStyle="1" w:styleId="835FF0B0D5344FE4A8EE41F54AA7E17C16">
    <w:name w:val="835FF0B0D5344FE4A8EE41F54AA7E17C16"/>
    <w:rsid w:val="00F3029B"/>
    <w:pPr>
      <w:spacing w:after="120"/>
    </w:pPr>
    <w:rPr>
      <w:rFonts w:ascii="Arial" w:hAnsi="Arial"/>
      <w:color w:val="000000"/>
      <w:sz w:val="24"/>
      <w:szCs w:val="24"/>
    </w:rPr>
  </w:style>
  <w:style w:type="character" w:customStyle="1" w:styleId="UnresolvedMention1">
    <w:name w:val="Unresolved Mention1"/>
    <w:uiPriority w:val="99"/>
    <w:semiHidden/>
    <w:unhideWhenUsed/>
    <w:rsid w:val="0082475E"/>
    <w:rPr>
      <w:rFonts w:ascii="Arial" w:eastAsia="Arial" w:hAnsi="Arial" w:cs="Arial"/>
      <w:color w:val="000000"/>
      <w:shd w:val="clear" w:color="auto" w:fill="E6E6E6"/>
    </w:rPr>
  </w:style>
  <w:style w:type="paragraph" w:customStyle="1" w:styleId="SectorSpecificNoteTitle">
    <w:name w:val="Sector Specific Note Title"/>
    <w:basedOn w:val="JurisdictionDraftingnoteTitle"/>
    <w:qFormat/>
    <w:rsid w:val="00F846C0"/>
  </w:style>
  <w:style w:type="table" w:customStyle="1" w:styleId="ShadedTable1">
    <w:name w:val="Shaded Table1"/>
    <w:basedOn w:val="TableNormal"/>
    <w:uiPriority w:val="99"/>
    <w:rsid w:val="00F846C0"/>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IgnoredEmptysubclause">
    <w:name w:val="Ignored Empty subclause"/>
    <w:basedOn w:val="Normal"/>
    <w:link w:val="IgnoredEmptysubclauseChar"/>
    <w:qFormat/>
    <w:rsid w:val="00F846C0"/>
  </w:style>
  <w:style w:type="character" w:customStyle="1" w:styleId="IgnoredEmptysubclauseChar">
    <w:name w:val="Ignored Empty subclause Char"/>
    <w:link w:val="IgnoredEmptysubclause"/>
    <w:rsid w:val="00F846C0"/>
    <w:rPr>
      <w:rFonts w:ascii="Arial" w:eastAsia="Arial" w:hAnsi="Arial" w:cs="Arial"/>
      <w:color w:val="000000"/>
    </w:rPr>
  </w:style>
  <w:style w:type="numbering" w:customStyle="1" w:styleId="ScheduleListStyle">
    <w:name w:val="ScheduleListStyle"/>
    <w:pPr>
      <w:numPr>
        <w:numId w:val="25"/>
      </w:numPr>
    </w:pPr>
  </w:style>
  <w:style w:type="numbering" w:customStyle="1" w:styleId="ClauseListStyle">
    <w:name w:val="ClauseListStyle"/>
    <w:pPr>
      <w:numPr>
        <w:numId w:val="27"/>
      </w:numPr>
    </w:pPr>
  </w:style>
  <w:style w:type="paragraph" w:styleId="TOC1">
    <w:name w:val="toc 1"/>
    <w:basedOn w:val="Normal"/>
    <w:uiPriority w:val="39"/>
    <w:rsid w:val="002F7D7E"/>
    <w:pPr>
      <w:tabs>
        <w:tab w:val="left" w:pos="440"/>
        <w:tab w:val="right" w:leader="dot" w:pos="9350"/>
      </w:tabs>
      <w:spacing w:after="100" w:line="240" w:lineRule="auto"/>
    </w:pPr>
  </w:style>
  <w:style w:type="paragraph" w:styleId="FootnoteText">
    <w:name w:val="footnote text"/>
    <w:basedOn w:val="Normal"/>
    <w:link w:val="FootnoteTextChar"/>
    <w:uiPriority w:val="94"/>
    <w:rsid w:val="002F7D7E"/>
    <w:rPr>
      <w:sz w:val="20"/>
      <w:szCs w:val="20"/>
    </w:rPr>
  </w:style>
  <w:style w:type="character" w:customStyle="1" w:styleId="FootnoteTextChar">
    <w:name w:val="Footnote Text Char"/>
    <w:link w:val="FootnoteText"/>
    <w:uiPriority w:val="94"/>
    <w:rsid w:val="00411336"/>
    <w:rPr>
      <w:rFonts w:asciiTheme="minorHAnsi" w:eastAsiaTheme="minorHAnsi" w:hAnsiTheme="minorHAnsi" w:cstheme="minorBidi"/>
    </w:rPr>
  </w:style>
  <w:style w:type="character" w:styleId="FootnoteReference">
    <w:name w:val="footnote reference"/>
    <w:uiPriority w:val="99"/>
    <w:semiHidden/>
    <w:rsid w:val="002F7D7E"/>
    <w:rPr>
      <w:rFonts w:ascii="Arial" w:eastAsia="Arial" w:hAnsi="Arial" w:cs="Arial"/>
      <w:color w:val="000000"/>
      <w:vertAlign w:val="superscript"/>
    </w:rPr>
  </w:style>
  <w:style w:type="paragraph" w:customStyle="1" w:styleId="O-BodyTextJ">
    <w:name w:val="O-Body Text (J)"/>
    <w:aliases w:val="3Body,s13"/>
    <w:basedOn w:val="Normal"/>
    <w:uiPriority w:val="7"/>
    <w:qFormat/>
    <w:rsid w:val="006D5358"/>
    <w:pPr>
      <w:spacing w:after="240" w:line="300" w:lineRule="atLeast"/>
      <w:jc w:val="both"/>
    </w:pPr>
    <w:rPr>
      <w:rFonts w:eastAsia="Times New Roman"/>
      <w:sz w:val="21"/>
      <w:szCs w:val="21"/>
    </w:rPr>
  </w:style>
  <w:style w:type="paragraph" w:customStyle="1" w:styleId="Definition">
    <w:name w:val="Definition"/>
    <w:basedOn w:val="BodyText"/>
    <w:uiPriority w:val="39"/>
    <w:qFormat/>
    <w:rsid w:val="006D5358"/>
    <w:pPr>
      <w:numPr>
        <w:numId w:val="30"/>
      </w:numPr>
      <w:spacing w:after="240" w:line="288" w:lineRule="auto"/>
      <w:jc w:val="both"/>
    </w:pPr>
    <w:rPr>
      <w:rFonts w:eastAsia="Times New Roman"/>
      <w:sz w:val="20"/>
      <w:lang w:eastAsia="en-GB"/>
    </w:rPr>
  </w:style>
  <w:style w:type="paragraph" w:customStyle="1" w:styleId="Definition1">
    <w:name w:val="Definition 1"/>
    <w:basedOn w:val="Normal"/>
    <w:uiPriority w:val="39"/>
    <w:qFormat/>
    <w:rsid w:val="006D5358"/>
    <w:pPr>
      <w:numPr>
        <w:ilvl w:val="1"/>
        <w:numId w:val="30"/>
      </w:numPr>
      <w:tabs>
        <w:tab w:val="clear" w:pos="1440"/>
        <w:tab w:val="num" w:pos="720"/>
      </w:tabs>
      <w:spacing w:after="240" w:line="288" w:lineRule="auto"/>
      <w:ind w:left="720"/>
      <w:jc w:val="both"/>
    </w:pPr>
    <w:rPr>
      <w:rFonts w:eastAsia="Times New Roman"/>
      <w:sz w:val="20"/>
      <w:szCs w:val="20"/>
      <w:lang w:eastAsia="en-GB"/>
    </w:rPr>
  </w:style>
  <w:style w:type="paragraph" w:customStyle="1" w:styleId="Definition2">
    <w:name w:val="Definition 2"/>
    <w:basedOn w:val="Normal"/>
    <w:uiPriority w:val="39"/>
    <w:qFormat/>
    <w:rsid w:val="006D5358"/>
    <w:pPr>
      <w:numPr>
        <w:ilvl w:val="2"/>
        <w:numId w:val="30"/>
      </w:numPr>
      <w:tabs>
        <w:tab w:val="clear" w:pos="2160"/>
        <w:tab w:val="num" w:pos="1555"/>
      </w:tabs>
      <w:spacing w:after="240" w:line="288" w:lineRule="auto"/>
      <w:ind w:left="1555" w:hanging="561"/>
      <w:jc w:val="both"/>
    </w:pPr>
    <w:rPr>
      <w:rFonts w:eastAsia="Times New Roman"/>
      <w:sz w:val="20"/>
      <w:szCs w:val="20"/>
      <w:lang w:eastAsia="en-GB"/>
    </w:rPr>
  </w:style>
  <w:style w:type="paragraph" w:customStyle="1" w:styleId="Definition3">
    <w:name w:val="Definition 3"/>
    <w:basedOn w:val="Normal"/>
    <w:uiPriority w:val="39"/>
    <w:qFormat/>
    <w:rsid w:val="006D5358"/>
    <w:pPr>
      <w:numPr>
        <w:ilvl w:val="3"/>
        <w:numId w:val="30"/>
      </w:numPr>
      <w:tabs>
        <w:tab w:val="clear" w:pos="2880"/>
        <w:tab w:val="num" w:pos="2419"/>
      </w:tabs>
      <w:spacing w:after="240" w:line="288" w:lineRule="auto"/>
      <w:ind w:left="2275" w:hanging="576"/>
      <w:jc w:val="both"/>
    </w:pPr>
    <w:rPr>
      <w:rFonts w:eastAsia="Times New Roman"/>
      <w:sz w:val="20"/>
      <w:szCs w:val="20"/>
      <w:lang w:eastAsia="en-GB"/>
    </w:rPr>
  </w:style>
  <w:style w:type="paragraph" w:customStyle="1" w:styleId="Definition4">
    <w:name w:val="Definition 4"/>
    <w:basedOn w:val="Normal"/>
    <w:uiPriority w:val="39"/>
    <w:qFormat/>
    <w:rsid w:val="006D5358"/>
    <w:pPr>
      <w:numPr>
        <w:ilvl w:val="4"/>
        <w:numId w:val="30"/>
      </w:numPr>
      <w:tabs>
        <w:tab w:val="clear" w:pos="3600"/>
        <w:tab w:val="num" w:pos="0"/>
      </w:tabs>
      <w:spacing w:after="240" w:line="288" w:lineRule="auto"/>
      <w:ind w:left="2520" w:hanging="360"/>
      <w:jc w:val="both"/>
    </w:pPr>
    <w:rPr>
      <w:rFonts w:eastAsia="Times New Roman"/>
      <w:sz w:val="20"/>
      <w:szCs w:val="20"/>
      <w:lang w:eastAsia="en-GB"/>
    </w:rPr>
  </w:style>
  <w:style w:type="paragraph" w:customStyle="1" w:styleId="Definition5">
    <w:name w:val="Definition 5"/>
    <w:basedOn w:val="Normal"/>
    <w:uiPriority w:val="39"/>
    <w:qFormat/>
    <w:rsid w:val="006D5358"/>
    <w:pPr>
      <w:numPr>
        <w:ilvl w:val="5"/>
        <w:numId w:val="30"/>
      </w:numPr>
      <w:tabs>
        <w:tab w:val="clear" w:pos="4321"/>
        <w:tab w:val="num" w:pos="0"/>
        <w:tab w:val="num" w:pos="4320"/>
      </w:tabs>
      <w:spacing w:after="240" w:line="288" w:lineRule="auto"/>
      <w:ind w:left="2880" w:hanging="360"/>
      <w:jc w:val="both"/>
    </w:pPr>
    <w:rPr>
      <w:rFonts w:eastAsia="Times New Roman"/>
      <w:sz w:val="20"/>
      <w:szCs w:val="20"/>
      <w:lang w:eastAsia="en-GB"/>
    </w:rPr>
  </w:style>
  <w:style w:type="paragraph" w:customStyle="1" w:styleId="Definition6">
    <w:name w:val="Definition 6"/>
    <w:basedOn w:val="Normal"/>
    <w:uiPriority w:val="39"/>
    <w:unhideWhenUsed/>
    <w:qFormat/>
    <w:rsid w:val="002F7D7E"/>
    <w:pPr>
      <w:numPr>
        <w:ilvl w:val="6"/>
        <w:numId w:val="30"/>
      </w:numPr>
      <w:tabs>
        <w:tab w:val="clear" w:pos="5041"/>
        <w:tab w:val="num" w:pos="0"/>
        <w:tab w:val="num" w:pos="5040"/>
      </w:tabs>
      <w:spacing w:after="240" w:line="288" w:lineRule="auto"/>
      <w:ind w:left="3240" w:hanging="360"/>
      <w:jc w:val="both"/>
    </w:pPr>
    <w:rPr>
      <w:rFonts w:eastAsia="Times New Roman"/>
      <w:sz w:val="20"/>
      <w:szCs w:val="20"/>
      <w:lang w:eastAsia="en-GB"/>
    </w:rPr>
  </w:style>
  <w:style w:type="numbering" w:customStyle="1" w:styleId="NumberingDefinitions">
    <w:name w:val="Numbering Definitions"/>
    <w:uiPriority w:val="99"/>
    <w:rsid w:val="00E33C23"/>
    <w:pPr>
      <w:numPr>
        <w:numId w:val="30"/>
      </w:numPr>
    </w:pPr>
  </w:style>
  <w:style w:type="paragraph" w:styleId="BodyText">
    <w:name w:val="Body Text"/>
    <w:basedOn w:val="Normal"/>
    <w:next w:val="BodyText1"/>
    <w:link w:val="BodyTextChar"/>
    <w:uiPriority w:val="99"/>
    <w:semiHidden/>
    <w:rsid w:val="002F7D7E"/>
    <w:pPr>
      <w:spacing w:after="120"/>
    </w:pPr>
  </w:style>
  <w:style w:type="character" w:customStyle="1" w:styleId="BodyTextChar">
    <w:name w:val="Body Text Char"/>
    <w:link w:val="BodyText"/>
    <w:uiPriority w:val="99"/>
    <w:semiHidden/>
    <w:rsid w:val="00411336"/>
    <w:rPr>
      <w:rFonts w:asciiTheme="minorHAnsi" w:eastAsiaTheme="minorHAnsi" w:hAnsiTheme="minorHAnsi" w:cstheme="minorBidi"/>
      <w:sz w:val="22"/>
      <w:szCs w:val="22"/>
    </w:rPr>
  </w:style>
  <w:style w:type="paragraph" w:customStyle="1" w:styleId="LNMainL1">
    <w:name w:val="LNMain_L1"/>
    <w:basedOn w:val="Normal"/>
    <w:next w:val="LNMainL2"/>
    <w:link w:val="LNMainL1Char"/>
    <w:rsid w:val="006D5358"/>
    <w:pPr>
      <w:keepNext/>
      <w:numPr>
        <w:numId w:val="31"/>
      </w:numPr>
      <w:tabs>
        <w:tab w:val="clear" w:pos="720"/>
      </w:tabs>
      <w:spacing w:after="240" w:line="300" w:lineRule="exact"/>
      <w:ind w:hanging="360"/>
      <w:jc w:val="both"/>
      <w:outlineLvl w:val="0"/>
    </w:pPr>
    <w:rPr>
      <w:rFonts w:eastAsia="Times New Roman"/>
      <w:b/>
      <w:caps/>
      <w:sz w:val="21"/>
      <w:szCs w:val="20"/>
      <w:lang w:eastAsia="x-none"/>
    </w:rPr>
  </w:style>
  <w:style w:type="paragraph" w:customStyle="1" w:styleId="LNMainL2">
    <w:name w:val="LNMain_L2"/>
    <w:basedOn w:val="LNMainL1"/>
    <w:link w:val="LNMainL2Char"/>
    <w:rsid w:val="00C6481F"/>
    <w:pPr>
      <w:keepNext w:val="0"/>
      <w:numPr>
        <w:ilvl w:val="1"/>
      </w:numPr>
      <w:ind w:left="1440"/>
      <w:outlineLvl w:val="1"/>
    </w:pPr>
    <w:rPr>
      <w:b w:val="0"/>
      <w:caps w:val="0"/>
    </w:rPr>
  </w:style>
  <w:style w:type="paragraph" w:customStyle="1" w:styleId="LNMainL3">
    <w:name w:val="LNMain_L3"/>
    <w:basedOn w:val="LNMainL2"/>
    <w:link w:val="LNMainL3Char"/>
    <w:rsid w:val="00C6481F"/>
    <w:pPr>
      <w:numPr>
        <w:ilvl w:val="2"/>
      </w:numPr>
      <w:tabs>
        <w:tab w:val="clear" w:pos="1440"/>
      </w:tabs>
      <w:ind w:left="2160" w:hanging="360"/>
      <w:outlineLvl w:val="2"/>
    </w:pPr>
  </w:style>
  <w:style w:type="character" w:customStyle="1" w:styleId="LNMainL3Char">
    <w:name w:val="LNMain_L3 Char"/>
    <w:link w:val="LNMainL3"/>
    <w:rsid w:val="00C6481F"/>
    <w:rPr>
      <w:rFonts w:asciiTheme="minorHAnsi" w:hAnsiTheme="minorHAnsi" w:cstheme="minorBidi"/>
      <w:sz w:val="21"/>
      <w:lang w:val="en-GB" w:eastAsia="x-none"/>
    </w:rPr>
  </w:style>
  <w:style w:type="paragraph" w:customStyle="1" w:styleId="LNMainL4">
    <w:name w:val="LNMain_L4"/>
    <w:basedOn w:val="LNMainL3"/>
    <w:rsid w:val="00985063"/>
    <w:pPr>
      <w:numPr>
        <w:ilvl w:val="3"/>
      </w:numPr>
      <w:tabs>
        <w:tab w:val="clear" w:pos="2160"/>
        <w:tab w:val="num" w:pos="2880"/>
      </w:tabs>
      <w:ind w:left="2880" w:hanging="360"/>
      <w:outlineLvl w:val="3"/>
    </w:pPr>
  </w:style>
  <w:style w:type="paragraph" w:customStyle="1" w:styleId="LNMainL5">
    <w:name w:val="LNMain_L5"/>
    <w:basedOn w:val="LNMainL4"/>
    <w:rsid w:val="00985063"/>
    <w:pPr>
      <w:numPr>
        <w:ilvl w:val="4"/>
      </w:numPr>
      <w:tabs>
        <w:tab w:val="clear" w:pos="2880"/>
        <w:tab w:val="num" w:pos="3600"/>
      </w:tabs>
      <w:ind w:left="3600" w:hanging="360"/>
      <w:outlineLvl w:val="4"/>
    </w:pPr>
  </w:style>
  <w:style w:type="paragraph" w:customStyle="1" w:styleId="LNMainL6">
    <w:name w:val="LNMain_L6"/>
    <w:basedOn w:val="LNMainL5"/>
    <w:rsid w:val="00985063"/>
    <w:pPr>
      <w:numPr>
        <w:ilvl w:val="5"/>
      </w:numPr>
      <w:tabs>
        <w:tab w:val="clear" w:pos="3600"/>
        <w:tab w:val="num" w:pos="4320"/>
      </w:tabs>
      <w:ind w:left="4320" w:hanging="360"/>
      <w:outlineLvl w:val="5"/>
    </w:pPr>
  </w:style>
  <w:style w:type="paragraph" w:customStyle="1" w:styleId="LNMainL7">
    <w:name w:val="LNMain_L7"/>
    <w:basedOn w:val="LNMainL6"/>
    <w:rsid w:val="00985063"/>
    <w:pPr>
      <w:numPr>
        <w:ilvl w:val="6"/>
      </w:numPr>
      <w:tabs>
        <w:tab w:val="clear" w:pos="2160"/>
        <w:tab w:val="num" w:pos="5040"/>
      </w:tabs>
      <w:ind w:left="5040" w:hanging="360"/>
      <w:outlineLvl w:val="6"/>
    </w:pPr>
  </w:style>
  <w:style w:type="paragraph" w:customStyle="1" w:styleId="LNMainL8">
    <w:name w:val="LNMain_L8"/>
    <w:basedOn w:val="LNMainL7"/>
    <w:rsid w:val="00985063"/>
    <w:pPr>
      <w:numPr>
        <w:ilvl w:val="7"/>
      </w:numPr>
      <w:tabs>
        <w:tab w:val="clear" w:pos="2880"/>
        <w:tab w:val="num" w:pos="5760"/>
      </w:tabs>
      <w:ind w:left="5760" w:hanging="360"/>
      <w:outlineLvl w:val="7"/>
    </w:pPr>
  </w:style>
  <w:style w:type="paragraph" w:customStyle="1" w:styleId="LNMainL9">
    <w:name w:val="LNMain_L9"/>
    <w:basedOn w:val="LNMainL8"/>
    <w:rsid w:val="00985063"/>
    <w:pPr>
      <w:numPr>
        <w:ilvl w:val="8"/>
      </w:numPr>
      <w:tabs>
        <w:tab w:val="clear" w:pos="3600"/>
        <w:tab w:val="num" w:pos="6480"/>
      </w:tabs>
      <w:ind w:left="6480" w:hanging="360"/>
      <w:outlineLvl w:val="8"/>
    </w:pPr>
  </w:style>
  <w:style w:type="character" w:customStyle="1" w:styleId="LNMainL2Char">
    <w:name w:val="LNMain_L2 Char"/>
    <w:link w:val="LNMainL2"/>
    <w:rsid w:val="00924C37"/>
    <w:rPr>
      <w:rFonts w:asciiTheme="minorHAnsi" w:hAnsiTheme="minorHAnsi" w:cstheme="minorBidi"/>
      <w:sz w:val="21"/>
      <w:lang w:val="en-GB" w:eastAsia="x-none"/>
    </w:rPr>
  </w:style>
  <w:style w:type="paragraph" w:customStyle="1" w:styleId="Body">
    <w:name w:val="Body"/>
    <w:basedOn w:val="Normal"/>
    <w:uiPriority w:val="29"/>
    <w:qFormat/>
    <w:rsid w:val="006D5358"/>
    <w:pPr>
      <w:spacing w:after="240" w:line="240" w:lineRule="auto"/>
      <w:jc w:val="both"/>
    </w:pPr>
    <w:rPr>
      <w:rFonts w:eastAsia="Times New Roman"/>
      <w:sz w:val="20"/>
      <w:szCs w:val="20"/>
      <w:lang w:eastAsia="en-GB"/>
    </w:rPr>
  </w:style>
  <w:style w:type="paragraph" w:customStyle="1" w:styleId="O-Bullet">
    <w:name w:val="O-Bullet ()"/>
    <w:aliases w:val="1Bullet,s4"/>
    <w:basedOn w:val="Normal"/>
    <w:uiPriority w:val="32"/>
    <w:rsid w:val="006D5358"/>
    <w:pPr>
      <w:numPr>
        <w:numId w:val="33"/>
      </w:numPr>
      <w:tabs>
        <w:tab w:val="clear" w:pos="360"/>
        <w:tab w:val="num" w:pos="720"/>
      </w:tabs>
      <w:spacing w:after="0" w:line="300" w:lineRule="atLeast"/>
      <w:ind w:left="720" w:hanging="720"/>
    </w:pPr>
    <w:rPr>
      <w:rFonts w:eastAsia="Times New Roman"/>
      <w:sz w:val="21"/>
      <w:szCs w:val="21"/>
    </w:rPr>
  </w:style>
  <w:style w:type="paragraph" w:customStyle="1" w:styleId="LNMainCont1">
    <w:name w:val="LNMain Cont 1"/>
    <w:basedOn w:val="Normal"/>
    <w:link w:val="LNMainCont1Char"/>
    <w:rsid w:val="006D5358"/>
    <w:pPr>
      <w:spacing w:after="240" w:line="300" w:lineRule="atLeast"/>
      <w:ind w:left="720"/>
      <w:jc w:val="both"/>
    </w:pPr>
    <w:rPr>
      <w:rFonts w:eastAsia="Times New Roman"/>
      <w:sz w:val="21"/>
      <w:szCs w:val="20"/>
      <w:lang w:eastAsia="x-none"/>
    </w:rPr>
  </w:style>
  <w:style w:type="character" w:customStyle="1" w:styleId="LNMainCont1Char">
    <w:name w:val="LNMain Cont 1 Char"/>
    <w:link w:val="LNMainCont1"/>
    <w:rsid w:val="0048070D"/>
    <w:rPr>
      <w:rFonts w:asciiTheme="minorHAnsi" w:hAnsiTheme="minorHAnsi" w:cstheme="minorBidi"/>
      <w:sz w:val="21"/>
      <w:lang w:eastAsia="x-none"/>
    </w:rPr>
  </w:style>
  <w:style w:type="character" w:customStyle="1" w:styleId="LNMainL1Char">
    <w:name w:val="LNMain_L1 Char"/>
    <w:link w:val="LNMainL1"/>
    <w:rsid w:val="0048070D"/>
    <w:rPr>
      <w:rFonts w:asciiTheme="minorHAnsi" w:hAnsiTheme="minorHAnsi" w:cstheme="minorBidi"/>
      <w:b/>
      <w:caps/>
      <w:sz w:val="21"/>
      <w:lang w:val="en-GB" w:eastAsia="x-none"/>
    </w:rPr>
  </w:style>
  <w:style w:type="character" w:customStyle="1" w:styleId="cosearchterm">
    <w:name w:val="co_searchterm"/>
    <w:rsid w:val="00F220C8"/>
  </w:style>
  <w:style w:type="character" w:customStyle="1" w:styleId="NumTextChar">
    <w:name w:val="NumText Char"/>
    <w:link w:val="NumText"/>
    <w:locked/>
    <w:rsid w:val="00D727FB"/>
    <w:rPr>
      <w:rFonts w:asciiTheme="minorHAnsi" w:eastAsiaTheme="minorHAnsi" w:hAnsiTheme="minorHAnsi" w:cstheme="minorBidi"/>
      <w:sz w:val="22"/>
      <w:szCs w:val="24"/>
    </w:rPr>
  </w:style>
  <w:style w:type="paragraph" w:customStyle="1" w:styleId="NumText">
    <w:name w:val="NumText"/>
    <w:basedOn w:val="Normal"/>
    <w:link w:val="NumTextChar"/>
    <w:rsid w:val="006D5358"/>
    <w:pPr>
      <w:numPr>
        <w:ilvl w:val="1"/>
        <w:numId w:val="34"/>
      </w:numPr>
      <w:tabs>
        <w:tab w:val="clear" w:pos="964"/>
        <w:tab w:val="num" w:pos="720"/>
      </w:tabs>
      <w:spacing w:after="284" w:line="240" w:lineRule="auto"/>
      <w:ind w:left="720" w:hanging="720"/>
      <w:outlineLvl w:val="1"/>
    </w:pPr>
    <w:rPr>
      <w:szCs w:val="24"/>
    </w:rPr>
  </w:style>
  <w:style w:type="paragraph" w:styleId="NormalWeb">
    <w:name w:val="Normal (Web)"/>
    <w:basedOn w:val="Normal"/>
    <w:uiPriority w:val="99"/>
    <w:rsid w:val="002F7D7E"/>
    <w:pPr>
      <w:spacing w:before="100" w:beforeAutospacing="1" w:after="100" w:afterAutospacing="1" w:line="240" w:lineRule="auto"/>
    </w:pPr>
    <w:rPr>
      <w:rFonts w:cs="Calibri"/>
    </w:rPr>
  </w:style>
  <w:style w:type="paragraph" w:styleId="BodyText2">
    <w:name w:val="Body Text 2"/>
    <w:basedOn w:val="Normal"/>
    <w:next w:val="Normal"/>
    <w:link w:val="BodyText2Char"/>
    <w:uiPriority w:val="99"/>
    <w:semiHidden/>
    <w:rsid w:val="002F7D7E"/>
    <w:pPr>
      <w:spacing w:after="120" w:line="480" w:lineRule="auto"/>
    </w:pPr>
  </w:style>
  <w:style w:type="character" w:customStyle="1" w:styleId="BodyText2Char">
    <w:name w:val="Body Text 2 Char"/>
    <w:link w:val="BodyText2"/>
    <w:uiPriority w:val="99"/>
    <w:semiHidden/>
    <w:rsid w:val="00411336"/>
    <w:rPr>
      <w:rFonts w:asciiTheme="minorHAnsi" w:eastAsiaTheme="minorHAnsi" w:hAnsiTheme="minorHAnsi" w:cstheme="minorBidi"/>
      <w:sz w:val="22"/>
      <w:szCs w:val="22"/>
    </w:rPr>
  </w:style>
  <w:style w:type="paragraph" w:styleId="Revision">
    <w:name w:val="Revision"/>
    <w:hidden/>
    <w:uiPriority w:val="99"/>
    <w:semiHidden/>
    <w:rsid w:val="00531FE3"/>
    <w:rPr>
      <w:rFonts w:ascii="Arial" w:eastAsia="Arial" w:hAnsi="Arial" w:cs="Arial"/>
      <w:color w:val="000000"/>
      <w:sz w:val="22"/>
      <w:szCs w:val="22"/>
    </w:rPr>
  </w:style>
  <w:style w:type="character" w:styleId="CommentReference">
    <w:name w:val="annotation reference"/>
    <w:uiPriority w:val="99"/>
    <w:semiHidden/>
    <w:rsid w:val="002F7D7E"/>
    <w:rPr>
      <w:rFonts w:ascii="Arial" w:eastAsia="Arial" w:hAnsi="Arial" w:cs="Arial"/>
      <w:color w:val="000000"/>
      <w:sz w:val="16"/>
      <w:szCs w:val="16"/>
    </w:rPr>
  </w:style>
  <w:style w:type="paragraph" w:styleId="CommentText">
    <w:name w:val="annotation text"/>
    <w:basedOn w:val="Normal"/>
    <w:link w:val="CommentTextChar"/>
    <w:uiPriority w:val="99"/>
    <w:rsid w:val="002F7D7E"/>
    <w:rPr>
      <w:sz w:val="20"/>
      <w:szCs w:val="20"/>
    </w:rPr>
  </w:style>
  <w:style w:type="character" w:customStyle="1" w:styleId="CommentTextChar">
    <w:name w:val="Comment Text Char"/>
    <w:link w:val="CommentText"/>
    <w:uiPriority w:val="99"/>
    <w:rsid w:val="00411336"/>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rsid w:val="002F7D7E"/>
    <w:rPr>
      <w:b/>
      <w:bCs/>
    </w:rPr>
  </w:style>
  <w:style w:type="character" w:customStyle="1" w:styleId="CommentSubjectChar">
    <w:name w:val="Comment Subject Char"/>
    <w:link w:val="CommentSubject"/>
    <w:uiPriority w:val="99"/>
    <w:semiHidden/>
    <w:rsid w:val="00411336"/>
    <w:rPr>
      <w:rFonts w:asciiTheme="minorHAnsi" w:eastAsiaTheme="minorHAnsi" w:hAnsiTheme="minorHAnsi" w:cstheme="minorBidi"/>
      <w:b/>
      <w:bCs/>
    </w:rPr>
  </w:style>
  <w:style w:type="paragraph" w:customStyle="1" w:styleId="legclearfix">
    <w:name w:val="legclearfix"/>
    <w:basedOn w:val="Normal"/>
    <w:rsid w:val="006D53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gaddition">
    <w:name w:val="legaddition"/>
    <w:basedOn w:val="DefaultParagraphFont"/>
    <w:rsid w:val="009353DF"/>
  </w:style>
  <w:style w:type="character" w:customStyle="1" w:styleId="Level1asHeadingtext">
    <w:name w:val="Level 1 as Heading (text)"/>
    <w:uiPriority w:val="29"/>
    <w:qFormat/>
    <w:rsid w:val="003463BE"/>
    <w:rPr>
      <w:b/>
      <w:bCs/>
      <w:caps/>
    </w:rPr>
  </w:style>
  <w:style w:type="character" w:customStyle="1" w:styleId="cf01">
    <w:name w:val="cf01"/>
    <w:basedOn w:val="DefaultParagraphFont"/>
    <w:rsid w:val="00C014E1"/>
    <w:rPr>
      <w:rFonts w:ascii="Segoe UI" w:hAnsi="Segoe UI" w:cs="Segoe UI" w:hint="default"/>
      <w:sz w:val="18"/>
      <w:szCs w:val="18"/>
    </w:rPr>
  </w:style>
  <w:style w:type="paragraph" w:styleId="Bibliography">
    <w:name w:val="Bibliography"/>
    <w:basedOn w:val="Normal"/>
    <w:next w:val="Normal"/>
    <w:uiPriority w:val="99"/>
    <w:semiHidden/>
    <w:rsid w:val="00411336"/>
    <w:rPr>
      <w:rFonts w:cs="Times New Roman"/>
      <w:szCs w:val="20"/>
    </w:rPr>
  </w:style>
  <w:style w:type="paragraph" w:styleId="BlockText">
    <w:name w:val="Block Text"/>
    <w:basedOn w:val="Normal"/>
    <w:uiPriority w:val="39"/>
    <w:semiHidden/>
    <w:rsid w:val="00411336"/>
    <w:pPr>
      <w:spacing w:after="120"/>
      <w:ind w:left="1440" w:right="1440"/>
    </w:pPr>
    <w:rPr>
      <w:rFonts w:cs="Times New Roman"/>
      <w:szCs w:val="20"/>
    </w:rPr>
  </w:style>
  <w:style w:type="paragraph" w:styleId="BodyText3">
    <w:name w:val="Body Text 3"/>
    <w:basedOn w:val="Normal"/>
    <w:next w:val="Normal"/>
    <w:link w:val="BodyText3Char"/>
    <w:uiPriority w:val="99"/>
    <w:semiHidden/>
    <w:rsid w:val="00411336"/>
    <w:pPr>
      <w:spacing w:after="220"/>
      <w:ind w:left="1418"/>
      <w:jc w:val="both"/>
    </w:pPr>
    <w:rPr>
      <w:rFonts w:cs="Times New Roman"/>
      <w:szCs w:val="16"/>
    </w:rPr>
  </w:style>
  <w:style w:type="character" w:customStyle="1" w:styleId="BodyText3Char">
    <w:name w:val="Body Text 3 Char"/>
    <w:link w:val="BodyText3"/>
    <w:uiPriority w:val="99"/>
    <w:semiHidden/>
    <w:rsid w:val="00411336"/>
    <w:rPr>
      <w:rFonts w:ascii="Times New Roman" w:hAnsi="Times New Roman"/>
      <w:sz w:val="22"/>
      <w:szCs w:val="16"/>
      <w:lang w:val="en-GB"/>
    </w:rPr>
  </w:style>
  <w:style w:type="paragraph" w:styleId="BodyTextFirstIndent">
    <w:name w:val="Body Text First Indent"/>
    <w:basedOn w:val="BodyText1"/>
    <w:link w:val="BodyTextFirstIndentChar"/>
    <w:uiPriority w:val="99"/>
    <w:semiHidden/>
    <w:rsid w:val="00411336"/>
    <w:pPr>
      <w:ind w:firstLine="210"/>
    </w:pPr>
  </w:style>
  <w:style w:type="character" w:customStyle="1" w:styleId="BodyTextFirstIndentChar">
    <w:name w:val="Body Text First Indent Char"/>
    <w:link w:val="BodyTextFirstIndent"/>
    <w:uiPriority w:val="99"/>
    <w:semiHidden/>
    <w:rsid w:val="00411336"/>
    <w:rPr>
      <w:rFonts w:ascii="Times New Roman" w:hAnsi="Times New Roman"/>
      <w:sz w:val="22"/>
      <w:szCs w:val="24"/>
      <w:lang w:val="en-GB"/>
    </w:rPr>
  </w:style>
  <w:style w:type="paragraph" w:styleId="BodyTextIndent">
    <w:name w:val="Body Text Indent"/>
    <w:basedOn w:val="Normal"/>
    <w:link w:val="BodyTextIndentChar"/>
    <w:uiPriority w:val="99"/>
    <w:semiHidden/>
    <w:rsid w:val="00411336"/>
    <w:pPr>
      <w:spacing w:after="120"/>
      <w:ind w:left="283"/>
    </w:pPr>
    <w:rPr>
      <w:rFonts w:cs="Times New Roman"/>
      <w:szCs w:val="20"/>
    </w:rPr>
  </w:style>
  <w:style w:type="character" w:customStyle="1" w:styleId="BodyTextIndentChar">
    <w:name w:val="Body Text Indent Char"/>
    <w:link w:val="BodyTextIndent"/>
    <w:uiPriority w:val="99"/>
    <w:semiHidden/>
    <w:rsid w:val="00411336"/>
    <w:rPr>
      <w:rFonts w:ascii="Times New Roman" w:hAnsi="Times New Roman"/>
      <w:sz w:val="22"/>
      <w:lang w:val="en-GB"/>
    </w:rPr>
  </w:style>
  <w:style w:type="paragraph" w:styleId="BodyTextFirstIndent2">
    <w:name w:val="Body Text First Indent 2"/>
    <w:basedOn w:val="BodyTextIndent"/>
    <w:link w:val="BodyTextFirstIndent2Char"/>
    <w:uiPriority w:val="99"/>
    <w:semiHidden/>
    <w:rsid w:val="00411336"/>
    <w:pPr>
      <w:ind w:left="360" w:firstLine="210"/>
    </w:pPr>
  </w:style>
  <w:style w:type="character" w:customStyle="1" w:styleId="BodyTextFirstIndent2Char">
    <w:name w:val="Body Text First Indent 2 Char"/>
    <w:link w:val="BodyTextFirstIndent2"/>
    <w:uiPriority w:val="99"/>
    <w:semiHidden/>
    <w:rsid w:val="00411336"/>
    <w:rPr>
      <w:rFonts w:ascii="Times New Roman" w:hAnsi="Times New Roman"/>
      <w:sz w:val="22"/>
      <w:lang w:val="en-GB"/>
    </w:rPr>
  </w:style>
  <w:style w:type="paragraph" w:styleId="BodyTextIndent2">
    <w:name w:val="Body Text Indent 2"/>
    <w:basedOn w:val="Normal"/>
    <w:link w:val="BodyTextIndent2Char"/>
    <w:uiPriority w:val="99"/>
    <w:semiHidden/>
    <w:rsid w:val="00411336"/>
    <w:pPr>
      <w:spacing w:after="120" w:line="480" w:lineRule="auto"/>
      <w:ind w:left="360"/>
    </w:pPr>
    <w:rPr>
      <w:rFonts w:cs="Times New Roman"/>
      <w:szCs w:val="20"/>
    </w:rPr>
  </w:style>
  <w:style w:type="character" w:customStyle="1" w:styleId="BodyTextIndent2Char">
    <w:name w:val="Body Text Indent 2 Char"/>
    <w:link w:val="BodyTextIndent2"/>
    <w:uiPriority w:val="99"/>
    <w:semiHidden/>
    <w:rsid w:val="00411336"/>
    <w:rPr>
      <w:rFonts w:ascii="Times New Roman" w:hAnsi="Times New Roman"/>
      <w:sz w:val="22"/>
      <w:lang w:val="en-GB"/>
    </w:rPr>
  </w:style>
  <w:style w:type="paragraph" w:styleId="BodyTextIndent3">
    <w:name w:val="Body Text Indent 3"/>
    <w:basedOn w:val="Normal"/>
    <w:link w:val="BodyTextIndent3Char"/>
    <w:uiPriority w:val="99"/>
    <w:semiHidden/>
    <w:rsid w:val="00411336"/>
    <w:pPr>
      <w:spacing w:after="120"/>
      <w:ind w:left="360"/>
    </w:pPr>
    <w:rPr>
      <w:rFonts w:cs="Times New Roman"/>
      <w:sz w:val="16"/>
      <w:szCs w:val="16"/>
    </w:rPr>
  </w:style>
  <w:style w:type="character" w:customStyle="1" w:styleId="BodyTextIndent3Char">
    <w:name w:val="Body Text Indent 3 Char"/>
    <w:link w:val="BodyTextIndent3"/>
    <w:uiPriority w:val="99"/>
    <w:semiHidden/>
    <w:rsid w:val="00411336"/>
    <w:rPr>
      <w:rFonts w:ascii="Times New Roman" w:hAnsi="Times New Roman"/>
      <w:sz w:val="16"/>
      <w:szCs w:val="16"/>
      <w:lang w:val="en-GB"/>
    </w:rPr>
  </w:style>
  <w:style w:type="character" w:styleId="BookTitle">
    <w:name w:val="Book Title"/>
    <w:uiPriority w:val="99"/>
    <w:rsid w:val="00411336"/>
    <w:rPr>
      <w:rFonts w:ascii="Times New Roman" w:hAnsi="Times New Roman" w:cs="Times New Roman"/>
      <w:b/>
      <w:bCs/>
      <w:smallCaps/>
      <w:spacing w:val="5"/>
      <w:lang w:val="en-GB"/>
    </w:rPr>
  </w:style>
  <w:style w:type="paragraph" w:styleId="Caption">
    <w:name w:val="caption"/>
    <w:basedOn w:val="Normal"/>
    <w:next w:val="Normal"/>
    <w:uiPriority w:val="39"/>
    <w:semiHidden/>
    <w:unhideWhenUsed/>
    <w:rsid w:val="00411336"/>
    <w:pPr>
      <w:spacing w:before="120" w:after="120"/>
    </w:pPr>
    <w:rPr>
      <w:rFonts w:cs="Times New Roman"/>
      <w:b/>
      <w:szCs w:val="20"/>
    </w:rPr>
  </w:style>
  <w:style w:type="paragraph" w:styleId="Closing">
    <w:name w:val="Closing"/>
    <w:basedOn w:val="Normal"/>
    <w:link w:val="ClosingChar"/>
    <w:uiPriority w:val="99"/>
    <w:semiHidden/>
    <w:rsid w:val="00411336"/>
    <w:pPr>
      <w:keepNext/>
      <w:keepLines/>
    </w:pPr>
    <w:rPr>
      <w:rFonts w:eastAsia="MS Mincho" w:cs="Times New Roman"/>
      <w:szCs w:val="20"/>
    </w:rPr>
  </w:style>
  <w:style w:type="character" w:customStyle="1" w:styleId="ClosingChar">
    <w:name w:val="Closing Char"/>
    <w:link w:val="Closing"/>
    <w:uiPriority w:val="99"/>
    <w:semiHidden/>
    <w:rsid w:val="00411336"/>
    <w:rPr>
      <w:rFonts w:ascii="Times New Roman" w:eastAsia="MS Mincho" w:hAnsi="Times New Roman"/>
      <w:sz w:val="22"/>
      <w:lang w:val="en-GB"/>
    </w:rPr>
  </w:style>
  <w:style w:type="table" w:styleId="ColourfulGrid">
    <w:name w:val="Colorful Grid"/>
    <w:basedOn w:val="TableNormal"/>
    <w:uiPriority w:val="73"/>
    <w:rsid w:val="00411336"/>
    <w:pPr>
      <w:spacing w:after="160" w:line="259" w:lineRule="auto"/>
    </w:pPr>
    <w:rPr>
      <w:rFonts w:ascii="Times New Roman" w:hAnsi="Times New Roman" w:cs="Arial"/>
      <w:color w:val="000000"/>
      <w:lang w:eastAsia="zh-CN"/>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urfulGridAccent1">
    <w:name w:val="Colorful Grid Accent 1"/>
    <w:basedOn w:val="TableNormal"/>
    <w:uiPriority w:val="73"/>
    <w:rsid w:val="00411336"/>
    <w:pPr>
      <w:spacing w:after="160" w:line="259" w:lineRule="auto"/>
    </w:pPr>
    <w:rPr>
      <w:rFonts w:ascii="Times New Roman" w:hAnsi="Times New Roman" w:cs="Arial"/>
      <w:color w:val="000000"/>
      <w:lang w:eastAsia="zh-CN"/>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urfulGridAccent2">
    <w:name w:val="Colorful Grid Accent 2"/>
    <w:basedOn w:val="TableNormal"/>
    <w:uiPriority w:val="73"/>
    <w:rsid w:val="00411336"/>
    <w:pPr>
      <w:spacing w:after="160" w:line="259" w:lineRule="auto"/>
    </w:pPr>
    <w:rPr>
      <w:rFonts w:ascii="Times New Roman" w:hAnsi="Times New Roman" w:cs="Arial"/>
      <w:color w:val="000000"/>
      <w:lang w:eastAsia="zh-CN"/>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urfulGridAccent3">
    <w:name w:val="Colorful Grid Accent 3"/>
    <w:basedOn w:val="TableNormal"/>
    <w:uiPriority w:val="73"/>
    <w:rsid w:val="00411336"/>
    <w:pPr>
      <w:spacing w:after="160" w:line="259" w:lineRule="auto"/>
    </w:pPr>
    <w:rPr>
      <w:rFonts w:ascii="Times New Roman" w:hAnsi="Times New Roman" w:cs="Arial"/>
      <w:color w:val="000000"/>
      <w:lang w:eastAsia="zh-CN"/>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urfulGridAccent4">
    <w:name w:val="Colorful Grid Accent 4"/>
    <w:basedOn w:val="TableNormal"/>
    <w:uiPriority w:val="73"/>
    <w:rsid w:val="00411336"/>
    <w:pPr>
      <w:spacing w:after="160" w:line="259" w:lineRule="auto"/>
    </w:pPr>
    <w:rPr>
      <w:rFonts w:ascii="Times New Roman" w:hAnsi="Times New Roman" w:cs="Arial"/>
      <w:color w:val="000000"/>
      <w:lang w:eastAsia="zh-CN"/>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urfulGridAccent5">
    <w:name w:val="Colorful Grid Accent 5"/>
    <w:basedOn w:val="TableNormal"/>
    <w:uiPriority w:val="73"/>
    <w:rsid w:val="00411336"/>
    <w:pPr>
      <w:spacing w:after="160" w:line="259" w:lineRule="auto"/>
    </w:pPr>
    <w:rPr>
      <w:rFonts w:ascii="Times New Roman" w:hAnsi="Times New Roman" w:cs="Arial"/>
      <w:color w:val="000000"/>
      <w:lang w:eastAsia="zh-CN"/>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urfulGridAccent6">
    <w:name w:val="Colorful Grid Accent 6"/>
    <w:basedOn w:val="TableNormal"/>
    <w:uiPriority w:val="73"/>
    <w:rsid w:val="00411336"/>
    <w:pPr>
      <w:spacing w:after="160" w:line="259" w:lineRule="auto"/>
    </w:pPr>
    <w:rPr>
      <w:rFonts w:ascii="Times New Roman" w:hAnsi="Times New Roman" w:cs="Arial"/>
      <w:color w:val="000000"/>
      <w:lang w:eastAsia="zh-CN"/>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urfulList">
    <w:name w:val="Colorful List"/>
    <w:basedOn w:val="TableNormal"/>
    <w:uiPriority w:val="72"/>
    <w:rsid w:val="00411336"/>
    <w:pPr>
      <w:spacing w:after="160" w:line="259" w:lineRule="auto"/>
    </w:pPr>
    <w:rPr>
      <w:rFonts w:ascii="Times New Roman" w:hAnsi="Times New Roman" w:cs="Arial"/>
      <w:color w:val="000000"/>
      <w:lang w:eastAsia="zh-CN"/>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urfulListAccent1">
    <w:name w:val="Colorful List Accent 1"/>
    <w:basedOn w:val="TableNormal"/>
    <w:uiPriority w:val="72"/>
    <w:rsid w:val="00411336"/>
    <w:pPr>
      <w:spacing w:after="160" w:line="259" w:lineRule="auto"/>
    </w:pPr>
    <w:rPr>
      <w:rFonts w:ascii="Times New Roman" w:hAnsi="Times New Roman" w:cs="Arial"/>
      <w:color w:val="000000"/>
      <w:lang w:eastAsia="zh-CN"/>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urfulListAccent2">
    <w:name w:val="Colorful List Accent 2"/>
    <w:basedOn w:val="TableNormal"/>
    <w:uiPriority w:val="72"/>
    <w:rsid w:val="00411336"/>
    <w:pPr>
      <w:spacing w:after="160" w:line="259" w:lineRule="auto"/>
    </w:pPr>
    <w:rPr>
      <w:rFonts w:ascii="Times New Roman" w:hAnsi="Times New Roman" w:cs="Arial"/>
      <w:color w:val="000000"/>
      <w:lang w:eastAsia="zh-CN"/>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urfulListAccent3">
    <w:name w:val="Colorful List Accent 3"/>
    <w:basedOn w:val="TableNormal"/>
    <w:uiPriority w:val="72"/>
    <w:rsid w:val="00411336"/>
    <w:pPr>
      <w:spacing w:after="160" w:line="259" w:lineRule="auto"/>
    </w:pPr>
    <w:rPr>
      <w:rFonts w:ascii="Times New Roman" w:hAnsi="Times New Roman" w:cs="Arial"/>
      <w:color w:val="000000"/>
      <w:lang w:eastAsia="zh-CN"/>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urfulListAccent4">
    <w:name w:val="Colorful List Accent 4"/>
    <w:basedOn w:val="TableNormal"/>
    <w:uiPriority w:val="72"/>
    <w:rsid w:val="00411336"/>
    <w:pPr>
      <w:spacing w:after="160" w:line="259" w:lineRule="auto"/>
    </w:pPr>
    <w:rPr>
      <w:rFonts w:ascii="Times New Roman" w:hAnsi="Times New Roman" w:cs="Arial"/>
      <w:color w:val="000000"/>
      <w:lang w:eastAsia="zh-CN"/>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urfulListAccent5">
    <w:name w:val="Colorful List Accent 5"/>
    <w:basedOn w:val="TableNormal"/>
    <w:uiPriority w:val="72"/>
    <w:rsid w:val="00411336"/>
    <w:pPr>
      <w:spacing w:after="160" w:line="259" w:lineRule="auto"/>
    </w:pPr>
    <w:rPr>
      <w:rFonts w:ascii="Times New Roman" w:hAnsi="Times New Roman" w:cs="Arial"/>
      <w:color w:val="000000"/>
      <w:lang w:eastAsia="zh-CN"/>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urfulListAccent6">
    <w:name w:val="Colorful List Accent 6"/>
    <w:basedOn w:val="TableNormal"/>
    <w:uiPriority w:val="72"/>
    <w:rsid w:val="00411336"/>
    <w:pPr>
      <w:spacing w:after="160" w:line="259" w:lineRule="auto"/>
    </w:pPr>
    <w:rPr>
      <w:rFonts w:ascii="Times New Roman" w:hAnsi="Times New Roman" w:cs="Arial"/>
      <w:color w:val="000000"/>
      <w:lang w:eastAsia="zh-CN"/>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urfulShading">
    <w:name w:val="Colorful Shading"/>
    <w:basedOn w:val="TableNormal"/>
    <w:uiPriority w:val="71"/>
    <w:rsid w:val="00411336"/>
    <w:pPr>
      <w:spacing w:after="160" w:line="259" w:lineRule="auto"/>
    </w:pPr>
    <w:rPr>
      <w:rFonts w:ascii="Times New Roman" w:hAnsi="Times New Roman" w:cs="Arial"/>
      <w:color w:val="000000"/>
      <w:lang w:eastAsia="zh-CN"/>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urfulShadingAccent1">
    <w:name w:val="Colorful Shading Accent 1"/>
    <w:basedOn w:val="TableNormal"/>
    <w:uiPriority w:val="71"/>
    <w:rsid w:val="00411336"/>
    <w:pPr>
      <w:spacing w:after="160" w:line="259" w:lineRule="auto"/>
    </w:pPr>
    <w:rPr>
      <w:rFonts w:ascii="Times New Roman" w:hAnsi="Times New Roman" w:cs="Arial"/>
      <w:color w:val="000000"/>
      <w:lang w:eastAsia="zh-CN"/>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urfulShadingAccent2">
    <w:name w:val="Colorful Shading Accent 2"/>
    <w:basedOn w:val="TableNormal"/>
    <w:uiPriority w:val="71"/>
    <w:rsid w:val="00411336"/>
    <w:pPr>
      <w:spacing w:after="160" w:line="259" w:lineRule="auto"/>
    </w:pPr>
    <w:rPr>
      <w:rFonts w:ascii="Times New Roman" w:hAnsi="Times New Roman" w:cs="Arial"/>
      <w:color w:val="000000"/>
      <w:lang w:eastAsia="zh-CN"/>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urfulShadingAccent3">
    <w:name w:val="Colorful Shading Accent 3"/>
    <w:basedOn w:val="TableNormal"/>
    <w:uiPriority w:val="71"/>
    <w:rsid w:val="00411336"/>
    <w:pPr>
      <w:spacing w:after="160" w:line="259" w:lineRule="auto"/>
    </w:pPr>
    <w:rPr>
      <w:rFonts w:ascii="Times New Roman" w:hAnsi="Times New Roman" w:cs="Arial"/>
      <w:color w:val="000000"/>
      <w:lang w:eastAsia="zh-CN"/>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urfulShadingAccent4">
    <w:name w:val="Colorful Shading Accent 4"/>
    <w:basedOn w:val="TableNormal"/>
    <w:uiPriority w:val="71"/>
    <w:rsid w:val="00411336"/>
    <w:pPr>
      <w:spacing w:after="160" w:line="259" w:lineRule="auto"/>
    </w:pPr>
    <w:rPr>
      <w:rFonts w:ascii="Times New Roman" w:hAnsi="Times New Roman" w:cs="Arial"/>
      <w:color w:val="000000"/>
      <w:lang w:eastAsia="zh-CN"/>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urfulShadingAccent5">
    <w:name w:val="Colorful Shading Accent 5"/>
    <w:basedOn w:val="TableNormal"/>
    <w:uiPriority w:val="71"/>
    <w:rsid w:val="00411336"/>
    <w:pPr>
      <w:spacing w:after="160" w:line="259" w:lineRule="auto"/>
    </w:pPr>
    <w:rPr>
      <w:rFonts w:ascii="Times New Roman" w:hAnsi="Times New Roman" w:cs="Arial"/>
      <w:color w:val="000000"/>
      <w:lang w:eastAsia="zh-CN"/>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urfulShadingAccent6">
    <w:name w:val="Colorful Shading Accent 6"/>
    <w:basedOn w:val="TableNormal"/>
    <w:uiPriority w:val="71"/>
    <w:rsid w:val="00411336"/>
    <w:pPr>
      <w:spacing w:after="160" w:line="259" w:lineRule="auto"/>
    </w:pPr>
    <w:rPr>
      <w:rFonts w:ascii="Times New Roman" w:hAnsi="Times New Roman" w:cs="Arial"/>
      <w:color w:val="000000"/>
      <w:lang w:eastAsia="zh-CN"/>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11336"/>
    <w:pPr>
      <w:spacing w:after="160" w:line="259" w:lineRule="auto"/>
    </w:pPr>
    <w:rPr>
      <w:rFonts w:ascii="Times New Roman" w:hAnsi="Times New Roman" w:cs="Arial"/>
      <w:color w:val="FFFFFF"/>
      <w:lang w:eastAsia="zh-CN"/>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11336"/>
    <w:pPr>
      <w:spacing w:after="160" w:line="259" w:lineRule="auto"/>
    </w:pPr>
    <w:rPr>
      <w:rFonts w:ascii="Times New Roman" w:hAnsi="Times New Roman" w:cs="Arial"/>
      <w:color w:val="FFFFFF"/>
      <w:lang w:eastAsia="zh-CN"/>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11336"/>
    <w:pPr>
      <w:spacing w:after="160" w:line="259" w:lineRule="auto"/>
    </w:pPr>
    <w:rPr>
      <w:rFonts w:ascii="Times New Roman" w:hAnsi="Times New Roman" w:cs="Arial"/>
      <w:color w:val="FFFFFF"/>
      <w:lang w:eastAsia="zh-CN"/>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11336"/>
    <w:pPr>
      <w:spacing w:after="160" w:line="259" w:lineRule="auto"/>
    </w:pPr>
    <w:rPr>
      <w:rFonts w:ascii="Times New Roman" w:hAnsi="Times New Roman" w:cs="Arial"/>
      <w:color w:val="FFFFFF"/>
      <w:lang w:eastAsia="zh-CN"/>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11336"/>
    <w:pPr>
      <w:spacing w:after="160" w:line="259" w:lineRule="auto"/>
    </w:pPr>
    <w:rPr>
      <w:rFonts w:ascii="Times New Roman" w:hAnsi="Times New Roman" w:cs="Arial"/>
      <w:color w:val="FFFFFF"/>
      <w:lang w:eastAsia="zh-CN"/>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11336"/>
    <w:pPr>
      <w:spacing w:after="160" w:line="259" w:lineRule="auto"/>
    </w:pPr>
    <w:rPr>
      <w:rFonts w:ascii="Times New Roman" w:hAnsi="Times New Roman" w:cs="Arial"/>
      <w:color w:val="FFFFFF"/>
      <w:lang w:eastAsia="zh-CN"/>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11336"/>
    <w:pPr>
      <w:spacing w:after="160" w:line="259" w:lineRule="auto"/>
    </w:pPr>
    <w:rPr>
      <w:rFonts w:ascii="Times New Roman" w:hAnsi="Times New Roman" w:cs="Arial"/>
      <w:color w:val="FFFFFF"/>
      <w:lang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DateChar">
    <w:name w:val="Date Char"/>
    <w:link w:val="Date"/>
    <w:rsid w:val="00411336"/>
    <w:rPr>
      <w:rFonts w:asciiTheme="minorHAnsi" w:eastAsia="Arial Unicode MS" w:hAnsiTheme="minorHAnsi" w:cstheme="minorBidi"/>
      <w:sz w:val="22"/>
    </w:rPr>
  </w:style>
  <w:style w:type="paragraph" w:styleId="DocumentMap">
    <w:name w:val="Document Map"/>
    <w:basedOn w:val="Normal"/>
    <w:link w:val="DocumentMapChar"/>
    <w:uiPriority w:val="99"/>
    <w:semiHidden/>
    <w:rsid w:val="00411336"/>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411336"/>
    <w:rPr>
      <w:rFonts w:ascii="Tahoma" w:hAnsi="Tahoma" w:cs="Tahoma"/>
      <w:shd w:val="clear" w:color="auto" w:fill="000080"/>
      <w:lang w:val="en-GB"/>
    </w:rPr>
  </w:style>
  <w:style w:type="paragraph" w:styleId="EmailSignature">
    <w:name w:val="E-mail Signature"/>
    <w:basedOn w:val="Normal"/>
    <w:link w:val="EmailSignatureChar"/>
    <w:uiPriority w:val="99"/>
    <w:semiHidden/>
    <w:rsid w:val="00411336"/>
    <w:rPr>
      <w:rFonts w:cs="Times New Roman"/>
      <w:szCs w:val="20"/>
    </w:rPr>
  </w:style>
  <w:style w:type="character" w:customStyle="1" w:styleId="EmailSignatureChar">
    <w:name w:val="Email Signature Char"/>
    <w:link w:val="EmailSignature"/>
    <w:uiPriority w:val="99"/>
    <w:semiHidden/>
    <w:rsid w:val="00411336"/>
    <w:rPr>
      <w:rFonts w:ascii="Times New Roman" w:hAnsi="Times New Roman"/>
      <w:sz w:val="22"/>
      <w:lang w:val="en-GB"/>
    </w:rPr>
  </w:style>
  <w:style w:type="character" w:styleId="EndnoteReference">
    <w:name w:val="endnote reference"/>
    <w:uiPriority w:val="99"/>
    <w:semiHidden/>
    <w:rsid w:val="00411336"/>
    <w:rPr>
      <w:rFonts w:ascii="Times New Roman" w:hAnsi="Times New Roman" w:cs="Times New Roman"/>
      <w:vertAlign w:val="superscript"/>
      <w:lang w:val="en-GB"/>
    </w:rPr>
  </w:style>
  <w:style w:type="paragraph" w:styleId="EndnoteText">
    <w:name w:val="endnote text"/>
    <w:basedOn w:val="Normal"/>
    <w:link w:val="EndnoteTextChar"/>
    <w:uiPriority w:val="40"/>
    <w:semiHidden/>
    <w:rsid w:val="00411336"/>
    <w:rPr>
      <w:rFonts w:cs="Times New Roman"/>
      <w:sz w:val="20"/>
      <w:szCs w:val="20"/>
    </w:rPr>
  </w:style>
  <w:style w:type="character" w:customStyle="1" w:styleId="EndnoteTextChar">
    <w:name w:val="Endnote Text Char"/>
    <w:link w:val="EndnoteText"/>
    <w:uiPriority w:val="40"/>
    <w:semiHidden/>
    <w:rsid w:val="00411336"/>
    <w:rPr>
      <w:rFonts w:ascii="Times New Roman" w:hAnsi="Times New Roman"/>
      <w:lang w:val="en-GB"/>
    </w:rPr>
  </w:style>
  <w:style w:type="paragraph" w:styleId="EnvelopeAddress">
    <w:name w:val="envelope address"/>
    <w:basedOn w:val="Normal"/>
    <w:uiPriority w:val="99"/>
    <w:semiHidden/>
    <w:rsid w:val="00411336"/>
    <w:pPr>
      <w:framePr w:w="7920" w:h="1980" w:hRule="exact" w:hSpace="180" w:wrap="auto" w:hAnchor="page" w:xAlign="center" w:yAlign="bottom"/>
      <w:ind w:left="2880"/>
    </w:pPr>
    <w:rPr>
      <w:szCs w:val="24"/>
    </w:rPr>
  </w:style>
  <w:style w:type="paragraph" w:styleId="EnvelopeReturn">
    <w:name w:val="envelope return"/>
    <w:basedOn w:val="Normal"/>
    <w:uiPriority w:val="99"/>
    <w:semiHidden/>
    <w:rsid w:val="00411336"/>
    <w:rPr>
      <w:sz w:val="20"/>
      <w:szCs w:val="20"/>
    </w:rPr>
  </w:style>
  <w:style w:type="table" w:styleId="GridTable1Light">
    <w:name w:val="Grid Table 1 Light"/>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urful">
    <w:name w:val="Grid Table 6 Colorful"/>
    <w:basedOn w:val="TableNormal"/>
    <w:uiPriority w:val="51"/>
    <w:rsid w:val="00411336"/>
    <w:pPr>
      <w:spacing w:after="160" w:line="259" w:lineRule="auto"/>
    </w:pPr>
    <w:rPr>
      <w:rFonts w:asciiTheme="minorHAnsi" w:hAnsiTheme="minorHAnsi" w:cstheme="minorBidi"/>
      <w:color w:val="000000" w:themeColor="text1"/>
      <w:sz w:val="22"/>
      <w:szCs w:val="22"/>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411336"/>
    <w:pPr>
      <w:spacing w:after="160" w:line="259" w:lineRule="auto"/>
    </w:pPr>
    <w:rPr>
      <w:rFonts w:asciiTheme="minorHAnsi" w:hAnsiTheme="minorHAnsi" w:cstheme="minorBidi"/>
      <w:color w:val="2F5496" w:themeColor="accent1" w:themeShade="BF"/>
      <w:sz w:val="22"/>
      <w:szCs w:val="22"/>
      <w:lang w:val="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urfulAccent2">
    <w:name w:val="Grid Table 6 Colorful Accent 2"/>
    <w:basedOn w:val="TableNormal"/>
    <w:uiPriority w:val="51"/>
    <w:rsid w:val="00411336"/>
    <w:pPr>
      <w:spacing w:after="160" w:line="259" w:lineRule="auto"/>
    </w:pPr>
    <w:rPr>
      <w:rFonts w:asciiTheme="minorHAnsi" w:hAnsiTheme="minorHAnsi" w:cstheme="minorBidi"/>
      <w:color w:val="C45911" w:themeColor="accent2" w:themeShade="BF"/>
      <w:sz w:val="22"/>
      <w:szCs w:val="22"/>
      <w:lang w:val="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urfulAccent3">
    <w:name w:val="Grid Table 6 Colorful Accent 3"/>
    <w:basedOn w:val="TableNormal"/>
    <w:uiPriority w:val="51"/>
    <w:rsid w:val="00411336"/>
    <w:pPr>
      <w:spacing w:after="160" w:line="259" w:lineRule="auto"/>
    </w:pPr>
    <w:rPr>
      <w:rFonts w:asciiTheme="minorHAnsi" w:hAnsiTheme="minorHAnsi" w:cstheme="minorBidi"/>
      <w:color w:val="7B7B7B" w:themeColor="accent3" w:themeShade="BF"/>
      <w:sz w:val="22"/>
      <w:szCs w:val="22"/>
      <w:lang w:val="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urfulAccent4">
    <w:name w:val="Grid Table 6 Colorful Accent 4"/>
    <w:basedOn w:val="TableNormal"/>
    <w:uiPriority w:val="51"/>
    <w:rsid w:val="00411336"/>
    <w:pPr>
      <w:spacing w:after="160" w:line="259" w:lineRule="auto"/>
    </w:pPr>
    <w:rPr>
      <w:rFonts w:asciiTheme="minorHAnsi" w:hAnsiTheme="minorHAnsi" w:cstheme="minorBidi"/>
      <w:color w:val="BF8F00" w:themeColor="accent4" w:themeShade="BF"/>
      <w:sz w:val="22"/>
      <w:szCs w:val="22"/>
      <w:lang w:val="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urfulAccent5">
    <w:name w:val="Grid Table 6 Colorful Accent 5"/>
    <w:basedOn w:val="TableNormal"/>
    <w:uiPriority w:val="51"/>
    <w:rsid w:val="00411336"/>
    <w:pPr>
      <w:spacing w:after="160" w:line="259" w:lineRule="auto"/>
    </w:pPr>
    <w:rPr>
      <w:rFonts w:asciiTheme="minorHAnsi" w:hAnsiTheme="minorHAnsi" w:cstheme="minorBidi"/>
      <w:color w:val="2E74B5" w:themeColor="accent5" w:themeShade="BF"/>
      <w:sz w:val="22"/>
      <w:szCs w:val="22"/>
      <w:lang w:val="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urfulAccent6">
    <w:name w:val="Grid Table 6 Colorful Accent 6"/>
    <w:basedOn w:val="TableNormal"/>
    <w:uiPriority w:val="51"/>
    <w:rsid w:val="00411336"/>
    <w:pPr>
      <w:spacing w:after="160" w:line="259" w:lineRule="auto"/>
    </w:pPr>
    <w:rPr>
      <w:rFonts w:asciiTheme="minorHAnsi" w:hAnsiTheme="minorHAnsi" w:cstheme="minorBidi"/>
      <w:color w:val="538135" w:themeColor="accent6" w:themeShade="BF"/>
      <w:sz w:val="22"/>
      <w:szCs w:val="22"/>
      <w:lang w:val="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urful">
    <w:name w:val="Grid Table 7 Colorful"/>
    <w:basedOn w:val="TableNormal"/>
    <w:uiPriority w:val="52"/>
    <w:rsid w:val="00411336"/>
    <w:pPr>
      <w:spacing w:after="160" w:line="259" w:lineRule="auto"/>
    </w:pPr>
    <w:rPr>
      <w:rFonts w:asciiTheme="minorHAnsi" w:hAnsiTheme="minorHAnsi" w:cstheme="minorBidi"/>
      <w:color w:val="000000" w:themeColor="text1"/>
      <w:sz w:val="22"/>
      <w:szCs w:val="22"/>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411336"/>
    <w:pPr>
      <w:spacing w:after="160" w:line="259" w:lineRule="auto"/>
    </w:pPr>
    <w:rPr>
      <w:rFonts w:asciiTheme="minorHAnsi" w:hAnsiTheme="minorHAnsi" w:cstheme="minorBidi"/>
      <w:color w:val="2F5496" w:themeColor="accent1" w:themeShade="BF"/>
      <w:sz w:val="22"/>
      <w:szCs w:val="22"/>
      <w:lang w:val="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urfulAccent2">
    <w:name w:val="Grid Table 7 Colorful Accent 2"/>
    <w:basedOn w:val="TableNormal"/>
    <w:uiPriority w:val="52"/>
    <w:rsid w:val="00411336"/>
    <w:pPr>
      <w:spacing w:after="160" w:line="259" w:lineRule="auto"/>
    </w:pPr>
    <w:rPr>
      <w:rFonts w:asciiTheme="minorHAnsi" w:hAnsiTheme="minorHAnsi" w:cstheme="minorBidi"/>
      <w:color w:val="C45911" w:themeColor="accent2" w:themeShade="BF"/>
      <w:sz w:val="22"/>
      <w:szCs w:val="22"/>
      <w:lang w:val="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urfulAccent3">
    <w:name w:val="Grid Table 7 Colorful Accent 3"/>
    <w:basedOn w:val="TableNormal"/>
    <w:uiPriority w:val="52"/>
    <w:rsid w:val="00411336"/>
    <w:pPr>
      <w:spacing w:after="160" w:line="259" w:lineRule="auto"/>
    </w:pPr>
    <w:rPr>
      <w:rFonts w:asciiTheme="minorHAnsi" w:hAnsiTheme="minorHAnsi" w:cstheme="minorBidi"/>
      <w:color w:val="7B7B7B" w:themeColor="accent3" w:themeShade="BF"/>
      <w:sz w:val="22"/>
      <w:szCs w:val="22"/>
      <w:lang w:val="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urfulAccent4">
    <w:name w:val="Grid Table 7 Colorful Accent 4"/>
    <w:basedOn w:val="TableNormal"/>
    <w:uiPriority w:val="52"/>
    <w:rsid w:val="00411336"/>
    <w:pPr>
      <w:spacing w:after="160" w:line="259" w:lineRule="auto"/>
    </w:pPr>
    <w:rPr>
      <w:rFonts w:asciiTheme="minorHAnsi" w:hAnsiTheme="minorHAnsi" w:cstheme="minorBidi"/>
      <w:color w:val="BF8F00" w:themeColor="accent4" w:themeShade="BF"/>
      <w:sz w:val="22"/>
      <w:szCs w:val="22"/>
      <w:lang w:val="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urfulAccent5">
    <w:name w:val="Grid Table 7 Colorful Accent 5"/>
    <w:basedOn w:val="TableNormal"/>
    <w:uiPriority w:val="52"/>
    <w:rsid w:val="00411336"/>
    <w:pPr>
      <w:spacing w:after="160" w:line="259" w:lineRule="auto"/>
    </w:pPr>
    <w:rPr>
      <w:rFonts w:asciiTheme="minorHAnsi" w:hAnsiTheme="minorHAnsi" w:cstheme="minorBidi"/>
      <w:color w:val="2E74B5" w:themeColor="accent5" w:themeShade="BF"/>
      <w:sz w:val="22"/>
      <w:szCs w:val="22"/>
      <w:lang w:val="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urfulAccent6">
    <w:name w:val="Grid Table 7 Colorful Accent 6"/>
    <w:basedOn w:val="TableNormal"/>
    <w:uiPriority w:val="52"/>
    <w:rsid w:val="00411336"/>
    <w:pPr>
      <w:spacing w:after="160" w:line="259" w:lineRule="auto"/>
    </w:pPr>
    <w:rPr>
      <w:rFonts w:asciiTheme="minorHAnsi" w:hAnsiTheme="minorHAnsi" w:cstheme="minorBidi"/>
      <w:color w:val="538135" w:themeColor="accent6" w:themeShade="BF"/>
      <w:sz w:val="22"/>
      <w:szCs w:val="22"/>
      <w:lang w:val="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TMLAcronym">
    <w:name w:val="HTML Acronym"/>
    <w:uiPriority w:val="99"/>
    <w:semiHidden/>
    <w:rsid w:val="00411336"/>
    <w:rPr>
      <w:rFonts w:ascii="Times New Roman" w:hAnsi="Times New Roman" w:cs="Times New Roman"/>
    </w:rPr>
  </w:style>
  <w:style w:type="paragraph" w:styleId="HTMLAddress">
    <w:name w:val="HTML Address"/>
    <w:basedOn w:val="Normal"/>
    <w:link w:val="HTMLAddressChar"/>
    <w:uiPriority w:val="99"/>
    <w:semiHidden/>
    <w:rsid w:val="00411336"/>
    <w:rPr>
      <w:i/>
      <w:iCs/>
    </w:rPr>
  </w:style>
  <w:style w:type="character" w:customStyle="1" w:styleId="HTMLAddressChar">
    <w:name w:val="HTML Address Char"/>
    <w:link w:val="HTMLAddress"/>
    <w:uiPriority w:val="99"/>
    <w:semiHidden/>
    <w:rsid w:val="00411336"/>
    <w:rPr>
      <w:rFonts w:ascii="Times New Roman" w:hAnsi="Times New Roman" w:cs="Arial"/>
      <w:i/>
      <w:iCs/>
      <w:sz w:val="22"/>
      <w:szCs w:val="22"/>
      <w:lang w:val="en-GB"/>
    </w:rPr>
  </w:style>
  <w:style w:type="character" w:styleId="HTMLCite">
    <w:name w:val="HTML Cite"/>
    <w:uiPriority w:val="99"/>
    <w:semiHidden/>
    <w:rsid w:val="00411336"/>
    <w:rPr>
      <w:rFonts w:ascii="Times New Roman" w:hAnsi="Times New Roman" w:cs="Times New Roman"/>
      <w:i/>
      <w:iCs/>
    </w:rPr>
  </w:style>
  <w:style w:type="character" w:styleId="HTMLCode">
    <w:name w:val="HTML Code"/>
    <w:uiPriority w:val="99"/>
    <w:semiHidden/>
    <w:rsid w:val="00411336"/>
    <w:rPr>
      <w:rFonts w:ascii="Consolas" w:hAnsi="Consolas" w:cs="Consolas"/>
      <w:sz w:val="20"/>
      <w:szCs w:val="20"/>
    </w:rPr>
  </w:style>
  <w:style w:type="character" w:styleId="HTMLDefinition">
    <w:name w:val="HTML Definition"/>
    <w:uiPriority w:val="99"/>
    <w:semiHidden/>
    <w:rsid w:val="00411336"/>
    <w:rPr>
      <w:rFonts w:ascii="Times New Roman" w:hAnsi="Times New Roman" w:cs="Times New Roman"/>
      <w:i/>
      <w:iCs/>
    </w:rPr>
  </w:style>
  <w:style w:type="character" w:styleId="HTMLKeyboard">
    <w:name w:val="HTML Keyboard"/>
    <w:uiPriority w:val="99"/>
    <w:semiHidden/>
    <w:rsid w:val="00411336"/>
    <w:rPr>
      <w:rFonts w:ascii="Consolas" w:hAnsi="Consolas" w:cs="Consolas"/>
      <w:sz w:val="20"/>
      <w:szCs w:val="20"/>
    </w:rPr>
  </w:style>
  <w:style w:type="paragraph" w:styleId="HTMLPreformatted">
    <w:name w:val="HTML Preformatted"/>
    <w:basedOn w:val="Normal"/>
    <w:link w:val="HTMLPreformattedChar"/>
    <w:uiPriority w:val="99"/>
    <w:semiHidden/>
    <w:rsid w:val="00411336"/>
    <w:rPr>
      <w:rFonts w:ascii="Consolas" w:hAnsi="Consolas" w:cs="Consolas"/>
      <w:sz w:val="20"/>
      <w:szCs w:val="20"/>
    </w:rPr>
  </w:style>
  <w:style w:type="character" w:customStyle="1" w:styleId="HTMLPreformattedChar">
    <w:name w:val="HTML Preformatted Char"/>
    <w:link w:val="HTMLPreformatted"/>
    <w:uiPriority w:val="99"/>
    <w:semiHidden/>
    <w:rsid w:val="00411336"/>
    <w:rPr>
      <w:rFonts w:ascii="Consolas" w:hAnsi="Consolas" w:cs="Consolas"/>
      <w:lang w:val="en-GB"/>
    </w:rPr>
  </w:style>
  <w:style w:type="character" w:styleId="HTMLSample">
    <w:name w:val="HTML Sample"/>
    <w:uiPriority w:val="99"/>
    <w:semiHidden/>
    <w:rsid w:val="00411336"/>
    <w:rPr>
      <w:rFonts w:ascii="Consolas" w:hAnsi="Consolas" w:cs="Consolas"/>
      <w:sz w:val="24"/>
      <w:szCs w:val="24"/>
    </w:rPr>
  </w:style>
  <w:style w:type="character" w:styleId="HTMLTypewriter">
    <w:name w:val="HTML Typewriter"/>
    <w:uiPriority w:val="99"/>
    <w:semiHidden/>
    <w:rsid w:val="00411336"/>
    <w:rPr>
      <w:rFonts w:ascii="Consolas" w:hAnsi="Consolas" w:cs="Consolas"/>
      <w:sz w:val="20"/>
      <w:szCs w:val="20"/>
    </w:rPr>
  </w:style>
  <w:style w:type="character" w:styleId="HTMLVariable">
    <w:name w:val="HTML Variable"/>
    <w:uiPriority w:val="99"/>
    <w:semiHidden/>
    <w:rsid w:val="00411336"/>
    <w:rPr>
      <w:rFonts w:ascii="Times New Roman" w:hAnsi="Times New Roman" w:cs="Times New Roman"/>
      <w:i/>
      <w:iCs/>
    </w:rPr>
  </w:style>
  <w:style w:type="paragraph" w:styleId="Index1">
    <w:name w:val="index 1"/>
    <w:basedOn w:val="Normal"/>
    <w:next w:val="Normal"/>
    <w:uiPriority w:val="99"/>
    <w:semiHidden/>
    <w:rsid w:val="00411336"/>
    <w:pPr>
      <w:ind w:left="220" w:hanging="220"/>
    </w:pPr>
    <w:rPr>
      <w:rFonts w:cs="Times New Roman"/>
      <w:szCs w:val="20"/>
    </w:rPr>
  </w:style>
  <w:style w:type="paragraph" w:styleId="Index2">
    <w:name w:val="index 2"/>
    <w:basedOn w:val="Normal"/>
    <w:next w:val="Normal"/>
    <w:uiPriority w:val="99"/>
    <w:semiHidden/>
    <w:rsid w:val="00411336"/>
    <w:pPr>
      <w:ind w:left="440" w:hanging="220"/>
    </w:pPr>
    <w:rPr>
      <w:rFonts w:cs="Times New Roman"/>
      <w:szCs w:val="20"/>
    </w:rPr>
  </w:style>
  <w:style w:type="paragraph" w:styleId="Index3">
    <w:name w:val="index 3"/>
    <w:basedOn w:val="Normal"/>
    <w:next w:val="Normal"/>
    <w:uiPriority w:val="99"/>
    <w:semiHidden/>
    <w:rsid w:val="00411336"/>
    <w:pPr>
      <w:ind w:left="660" w:hanging="220"/>
    </w:pPr>
    <w:rPr>
      <w:rFonts w:cs="Times New Roman"/>
      <w:szCs w:val="20"/>
    </w:rPr>
  </w:style>
  <w:style w:type="paragraph" w:styleId="Index4">
    <w:name w:val="index 4"/>
    <w:basedOn w:val="Normal"/>
    <w:next w:val="Normal"/>
    <w:uiPriority w:val="99"/>
    <w:semiHidden/>
    <w:rsid w:val="00411336"/>
    <w:pPr>
      <w:ind w:left="880" w:hanging="220"/>
    </w:pPr>
    <w:rPr>
      <w:rFonts w:cs="Times New Roman"/>
      <w:szCs w:val="20"/>
    </w:rPr>
  </w:style>
  <w:style w:type="paragraph" w:styleId="Index5">
    <w:name w:val="index 5"/>
    <w:basedOn w:val="Normal"/>
    <w:next w:val="Normal"/>
    <w:uiPriority w:val="99"/>
    <w:semiHidden/>
    <w:rsid w:val="00411336"/>
    <w:pPr>
      <w:ind w:left="1100" w:hanging="220"/>
    </w:pPr>
    <w:rPr>
      <w:rFonts w:cs="Times New Roman"/>
      <w:szCs w:val="20"/>
    </w:rPr>
  </w:style>
  <w:style w:type="paragraph" w:styleId="Index6">
    <w:name w:val="index 6"/>
    <w:basedOn w:val="Normal"/>
    <w:next w:val="Normal"/>
    <w:uiPriority w:val="99"/>
    <w:semiHidden/>
    <w:rsid w:val="00411336"/>
    <w:pPr>
      <w:ind w:left="1320" w:hanging="220"/>
    </w:pPr>
    <w:rPr>
      <w:rFonts w:cs="Times New Roman"/>
      <w:szCs w:val="20"/>
    </w:rPr>
  </w:style>
  <w:style w:type="paragraph" w:styleId="Index7">
    <w:name w:val="index 7"/>
    <w:basedOn w:val="Normal"/>
    <w:next w:val="Normal"/>
    <w:uiPriority w:val="99"/>
    <w:semiHidden/>
    <w:rsid w:val="00411336"/>
    <w:pPr>
      <w:ind w:left="1540" w:hanging="220"/>
    </w:pPr>
    <w:rPr>
      <w:rFonts w:cs="Times New Roman"/>
      <w:szCs w:val="20"/>
    </w:rPr>
  </w:style>
  <w:style w:type="paragraph" w:styleId="Index8">
    <w:name w:val="index 8"/>
    <w:basedOn w:val="Normal"/>
    <w:next w:val="Normal"/>
    <w:uiPriority w:val="99"/>
    <w:semiHidden/>
    <w:rsid w:val="00411336"/>
    <w:pPr>
      <w:ind w:left="1760" w:hanging="220"/>
    </w:pPr>
    <w:rPr>
      <w:rFonts w:cs="Times New Roman"/>
      <w:szCs w:val="20"/>
    </w:rPr>
  </w:style>
  <w:style w:type="paragraph" w:styleId="Index9">
    <w:name w:val="index 9"/>
    <w:basedOn w:val="Normal"/>
    <w:next w:val="Normal"/>
    <w:uiPriority w:val="99"/>
    <w:semiHidden/>
    <w:rsid w:val="00411336"/>
    <w:pPr>
      <w:ind w:left="1980" w:hanging="220"/>
    </w:pPr>
    <w:rPr>
      <w:rFonts w:cs="Times New Roman"/>
      <w:szCs w:val="20"/>
    </w:rPr>
  </w:style>
  <w:style w:type="paragraph" w:styleId="IndexHeading">
    <w:name w:val="index heading"/>
    <w:basedOn w:val="Normal"/>
    <w:next w:val="Index1"/>
    <w:uiPriority w:val="99"/>
    <w:semiHidden/>
    <w:rsid w:val="00411336"/>
    <w:rPr>
      <w:rFonts w:ascii="Arial" w:hAnsi="Arial"/>
      <w:b/>
      <w:bCs/>
      <w:szCs w:val="20"/>
    </w:rPr>
  </w:style>
  <w:style w:type="character" w:styleId="IntenseEmphasis">
    <w:name w:val="Intense Emphasis"/>
    <w:uiPriority w:val="99"/>
    <w:rsid w:val="00411336"/>
    <w:rPr>
      <w:rFonts w:ascii="Times New Roman" w:hAnsi="Times New Roman" w:cs="Times New Roman"/>
      <w:b/>
      <w:bCs/>
      <w:i/>
      <w:iCs/>
      <w:color w:val="4F81BD"/>
      <w:lang w:val="en-GB"/>
    </w:rPr>
  </w:style>
  <w:style w:type="paragraph" w:styleId="IntenseQuote">
    <w:name w:val="Intense Quote"/>
    <w:basedOn w:val="Normal"/>
    <w:next w:val="Normal"/>
    <w:link w:val="IntenseQuoteChar"/>
    <w:uiPriority w:val="99"/>
    <w:rsid w:val="00411336"/>
    <w:pPr>
      <w:pBdr>
        <w:bottom w:val="single" w:sz="4" w:space="4" w:color="4F81BD"/>
      </w:pBdr>
      <w:spacing w:before="200" w:after="280"/>
      <w:ind w:left="936" w:right="936"/>
    </w:pPr>
    <w:rPr>
      <w:rFonts w:cs="Times New Roman"/>
      <w:b/>
      <w:bCs/>
      <w:i/>
      <w:iCs/>
      <w:color w:val="4F81BD"/>
      <w:szCs w:val="20"/>
    </w:rPr>
  </w:style>
  <w:style w:type="character" w:customStyle="1" w:styleId="IntenseQuoteChar">
    <w:name w:val="Intense Quote Char"/>
    <w:link w:val="IntenseQuote"/>
    <w:uiPriority w:val="99"/>
    <w:rsid w:val="00411336"/>
    <w:rPr>
      <w:rFonts w:ascii="Times New Roman" w:hAnsi="Times New Roman"/>
      <w:b/>
      <w:bCs/>
      <w:i/>
      <w:iCs/>
      <w:color w:val="4F81BD"/>
      <w:sz w:val="22"/>
      <w:lang w:val="en-GB"/>
    </w:rPr>
  </w:style>
  <w:style w:type="character" w:styleId="IntenseReference">
    <w:name w:val="Intense Reference"/>
    <w:uiPriority w:val="99"/>
    <w:rsid w:val="00411336"/>
    <w:rPr>
      <w:rFonts w:ascii="Times New Roman" w:hAnsi="Times New Roman" w:cs="Times New Roman"/>
      <w:b/>
      <w:bCs/>
      <w:smallCaps/>
      <w:color w:val="C0504D"/>
      <w:spacing w:val="5"/>
      <w:u w:val="single"/>
      <w:lang w:val="en-GB"/>
    </w:rPr>
  </w:style>
  <w:style w:type="table" w:styleId="LightGrid">
    <w:name w:val="Light Grid"/>
    <w:basedOn w:val="TableNormal"/>
    <w:uiPriority w:val="62"/>
    <w:rsid w:val="00411336"/>
    <w:pPr>
      <w:spacing w:after="160" w:line="259" w:lineRule="auto"/>
    </w:pPr>
    <w:rPr>
      <w:rFonts w:ascii="Times New Roman" w:hAnsi="Times New Roman" w:cs="Arial"/>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11336"/>
    <w:pPr>
      <w:spacing w:after="160" w:line="259" w:lineRule="auto"/>
    </w:pPr>
    <w:rPr>
      <w:rFonts w:ascii="Times New Roman" w:hAnsi="Times New Roman" w:cs="Arial"/>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11336"/>
    <w:pPr>
      <w:spacing w:after="160" w:line="259" w:lineRule="auto"/>
    </w:pPr>
    <w:rPr>
      <w:rFonts w:ascii="Times New Roman" w:hAnsi="Times New Roman" w:cs="Arial"/>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11336"/>
    <w:pPr>
      <w:spacing w:after="160" w:line="259" w:lineRule="auto"/>
    </w:pPr>
    <w:rPr>
      <w:rFonts w:ascii="Times New Roman" w:hAnsi="Times New Roman" w:cs="Arial"/>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11336"/>
    <w:pPr>
      <w:spacing w:after="160" w:line="259" w:lineRule="auto"/>
    </w:pPr>
    <w:rPr>
      <w:rFonts w:ascii="Times New Roman" w:hAnsi="Times New Roman" w:cs="Arial"/>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11336"/>
    <w:pPr>
      <w:spacing w:after="160" w:line="259" w:lineRule="auto"/>
    </w:pPr>
    <w:rPr>
      <w:rFonts w:ascii="Times New Roman" w:hAnsi="Times New Roman" w:cs="Arial"/>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11336"/>
    <w:pPr>
      <w:spacing w:after="160" w:line="259" w:lineRule="auto"/>
    </w:pPr>
    <w:rPr>
      <w:rFonts w:ascii="Times New Roman" w:hAnsi="Times New Roman" w:cs="Arial"/>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11336"/>
    <w:pPr>
      <w:spacing w:after="160" w:line="259" w:lineRule="auto"/>
    </w:pPr>
    <w:rPr>
      <w:rFonts w:ascii="Times New Roman" w:hAnsi="Times New Roman" w:cs="Arial"/>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11336"/>
    <w:pPr>
      <w:spacing w:after="160" w:line="259" w:lineRule="auto"/>
    </w:pPr>
    <w:rPr>
      <w:rFonts w:ascii="Times New Roman" w:hAnsi="Times New Roman" w:cs="Arial"/>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11336"/>
    <w:pPr>
      <w:spacing w:after="160" w:line="259" w:lineRule="auto"/>
    </w:pPr>
    <w:rPr>
      <w:rFonts w:ascii="Times New Roman" w:hAnsi="Times New Roman" w:cs="Arial"/>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11336"/>
    <w:pPr>
      <w:spacing w:after="160" w:line="259" w:lineRule="auto"/>
    </w:pPr>
    <w:rPr>
      <w:rFonts w:ascii="Times New Roman" w:hAnsi="Times New Roman" w:cs="Arial"/>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11336"/>
    <w:pPr>
      <w:spacing w:after="160" w:line="259" w:lineRule="auto"/>
    </w:pPr>
    <w:rPr>
      <w:rFonts w:ascii="Times New Roman" w:hAnsi="Times New Roman" w:cs="Arial"/>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11336"/>
    <w:pPr>
      <w:spacing w:after="160" w:line="259" w:lineRule="auto"/>
    </w:pPr>
    <w:rPr>
      <w:rFonts w:ascii="Times New Roman" w:hAnsi="Times New Roman" w:cs="Arial"/>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11336"/>
    <w:pPr>
      <w:spacing w:after="160" w:line="259" w:lineRule="auto"/>
    </w:pPr>
    <w:rPr>
      <w:rFonts w:ascii="Times New Roman" w:hAnsi="Times New Roman" w:cs="Arial"/>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11336"/>
    <w:pPr>
      <w:spacing w:after="160" w:line="259" w:lineRule="auto"/>
    </w:pPr>
    <w:rPr>
      <w:rFonts w:ascii="Times New Roman" w:hAnsi="Times New Roman" w:cs="Arial"/>
      <w:color w:val="000000"/>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11336"/>
    <w:pPr>
      <w:spacing w:after="160" w:line="259" w:lineRule="auto"/>
    </w:pPr>
    <w:rPr>
      <w:rFonts w:ascii="Times New Roman" w:hAnsi="Times New Roman" w:cs="Arial"/>
      <w:color w:val="365F91"/>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11336"/>
    <w:pPr>
      <w:spacing w:after="160" w:line="259" w:lineRule="auto"/>
    </w:pPr>
    <w:rPr>
      <w:rFonts w:ascii="Times New Roman" w:hAnsi="Times New Roman" w:cs="Arial"/>
      <w:color w:val="943634"/>
      <w:lang w:eastAsia="zh-C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11336"/>
    <w:pPr>
      <w:spacing w:after="160" w:line="259" w:lineRule="auto"/>
    </w:pPr>
    <w:rPr>
      <w:rFonts w:ascii="Times New Roman" w:hAnsi="Times New Roman" w:cs="Arial"/>
      <w:color w:val="76923C"/>
      <w:lang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11336"/>
    <w:pPr>
      <w:spacing w:after="160" w:line="259" w:lineRule="auto"/>
    </w:pPr>
    <w:rPr>
      <w:rFonts w:ascii="Times New Roman" w:hAnsi="Times New Roman" w:cs="Arial"/>
      <w:color w:val="5F497A"/>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11336"/>
    <w:pPr>
      <w:spacing w:after="160" w:line="259" w:lineRule="auto"/>
    </w:pPr>
    <w:rPr>
      <w:rFonts w:ascii="Times New Roman" w:hAnsi="Times New Roman" w:cs="Arial"/>
      <w:color w:val="31849B"/>
      <w:lang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11336"/>
    <w:pPr>
      <w:spacing w:after="160" w:line="259" w:lineRule="auto"/>
    </w:pPr>
    <w:rPr>
      <w:rFonts w:ascii="Times New Roman" w:hAnsi="Times New Roman" w:cs="Arial"/>
      <w:color w:val="E36C0A"/>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uiPriority w:val="99"/>
    <w:semiHidden/>
    <w:rsid w:val="00411336"/>
    <w:rPr>
      <w:rFonts w:ascii="Times New Roman" w:hAnsi="Times New Roman" w:cs="Times New Roman"/>
      <w:lang w:val="en-GB"/>
    </w:rPr>
  </w:style>
  <w:style w:type="paragraph" w:styleId="List">
    <w:name w:val="List"/>
    <w:basedOn w:val="Normal"/>
    <w:uiPriority w:val="99"/>
    <w:semiHidden/>
    <w:rsid w:val="00411336"/>
    <w:pPr>
      <w:ind w:left="360" w:hanging="360"/>
      <w:contextualSpacing/>
    </w:pPr>
    <w:rPr>
      <w:rFonts w:cs="Times New Roman"/>
      <w:szCs w:val="20"/>
    </w:rPr>
  </w:style>
  <w:style w:type="paragraph" w:styleId="List2">
    <w:name w:val="List 2"/>
    <w:basedOn w:val="Normal"/>
    <w:uiPriority w:val="99"/>
    <w:semiHidden/>
    <w:rsid w:val="00411336"/>
    <w:pPr>
      <w:ind w:left="720" w:hanging="360"/>
      <w:contextualSpacing/>
    </w:pPr>
    <w:rPr>
      <w:rFonts w:cs="Times New Roman"/>
      <w:szCs w:val="20"/>
    </w:rPr>
  </w:style>
  <w:style w:type="paragraph" w:styleId="List3">
    <w:name w:val="List 3"/>
    <w:basedOn w:val="Normal"/>
    <w:uiPriority w:val="99"/>
    <w:semiHidden/>
    <w:rsid w:val="00411336"/>
    <w:pPr>
      <w:ind w:left="1080" w:hanging="360"/>
      <w:contextualSpacing/>
    </w:pPr>
    <w:rPr>
      <w:rFonts w:cs="Times New Roman"/>
      <w:szCs w:val="20"/>
    </w:rPr>
  </w:style>
  <w:style w:type="paragraph" w:styleId="List4">
    <w:name w:val="List 4"/>
    <w:basedOn w:val="Normal"/>
    <w:uiPriority w:val="99"/>
    <w:semiHidden/>
    <w:rsid w:val="00411336"/>
    <w:pPr>
      <w:ind w:left="1440" w:hanging="360"/>
      <w:contextualSpacing/>
    </w:pPr>
    <w:rPr>
      <w:rFonts w:cs="Times New Roman"/>
      <w:szCs w:val="20"/>
    </w:rPr>
  </w:style>
  <w:style w:type="paragraph" w:styleId="List5">
    <w:name w:val="List 5"/>
    <w:basedOn w:val="Normal"/>
    <w:uiPriority w:val="99"/>
    <w:semiHidden/>
    <w:rsid w:val="00411336"/>
    <w:pPr>
      <w:ind w:left="1800" w:hanging="360"/>
      <w:contextualSpacing/>
    </w:pPr>
    <w:rPr>
      <w:rFonts w:cs="Times New Roman"/>
      <w:szCs w:val="20"/>
    </w:rPr>
  </w:style>
  <w:style w:type="paragraph" w:styleId="ListBullet">
    <w:name w:val="List Bullet"/>
    <w:basedOn w:val="BodyText1"/>
    <w:uiPriority w:val="24"/>
    <w:qFormat/>
    <w:rsid w:val="00411336"/>
    <w:pPr>
      <w:numPr>
        <w:numId w:val="39"/>
      </w:numPr>
    </w:pPr>
    <w:rPr>
      <w:szCs w:val="20"/>
    </w:rPr>
  </w:style>
  <w:style w:type="paragraph" w:styleId="ListBullet2">
    <w:name w:val="List Bullet 2"/>
    <w:basedOn w:val="BodyText1"/>
    <w:uiPriority w:val="24"/>
    <w:qFormat/>
    <w:rsid w:val="00411336"/>
    <w:pPr>
      <w:numPr>
        <w:ilvl w:val="1"/>
        <w:numId w:val="39"/>
      </w:numPr>
    </w:pPr>
    <w:rPr>
      <w:szCs w:val="20"/>
    </w:rPr>
  </w:style>
  <w:style w:type="paragraph" w:styleId="ListBullet3">
    <w:name w:val="List Bullet 3"/>
    <w:basedOn w:val="BodyText1"/>
    <w:uiPriority w:val="24"/>
    <w:qFormat/>
    <w:rsid w:val="00411336"/>
    <w:pPr>
      <w:numPr>
        <w:ilvl w:val="2"/>
        <w:numId w:val="39"/>
      </w:numPr>
    </w:pPr>
    <w:rPr>
      <w:szCs w:val="20"/>
    </w:rPr>
  </w:style>
  <w:style w:type="paragraph" w:styleId="ListBullet4">
    <w:name w:val="List Bullet 4"/>
    <w:basedOn w:val="BodyText1"/>
    <w:uiPriority w:val="24"/>
    <w:semiHidden/>
    <w:unhideWhenUsed/>
    <w:rsid w:val="00411336"/>
    <w:pPr>
      <w:numPr>
        <w:ilvl w:val="3"/>
        <w:numId w:val="39"/>
      </w:numPr>
    </w:pPr>
    <w:rPr>
      <w:szCs w:val="20"/>
    </w:rPr>
  </w:style>
  <w:style w:type="paragraph" w:styleId="ListBullet5">
    <w:name w:val="List Bullet 5"/>
    <w:basedOn w:val="BodyText1"/>
    <w:uiPriority w:val="24"/>
    <w:semiHidden/>
    <w:unhideWhenUsed/>
    <w:rsid w:val="00411336"/>
    <w:pPr>
      <w:numPr>
        <w:ilvl w:val="4"/>
        <w:numId w:val="39"/>
      </w:numPr>
    </w:pPr>
    <w:rPr>
      <w:szCs w:val="20"/>
    </w:rPr>
  </w:style>
  <w:style w:type="paragraph" w:styleId="ListContinue">
    <w:name w:val="List Continue"/>
    <w:basedOn w:val="Normal"/>
    <w:uiPriority w:val="99"/>
    <w:semiHidden/>
    <w:rsid w:val="00411336"/>
    <w:pPr>
      <w:spacing w:after="120"/>
      <w:ind w:left="360"/>
      <w:contextualSpacing/>
    </w:pPr>
    <w:rPr>
      <w:rFonts w:cs="Times New Roman"/>
      <w:szCs w:val="20"/>
    </w:rPr>
  </w:style>
  <w:style w:type="paragraph" w:styleId="ListContinue2">
    <w:name w:val="List Continue 2"/>
    <w:basedOn w:val="Normal"/>
    <w:uiPriority w:val="99"/>
    <w:semiHidden/>
    <w:rsid w:val="00411336"/>
    <w:pPr>
      <w:spacing w:after="120"/>
      <w:ind w:left="720"/>
      <w:contextualSpacing/>
    </w:pPr>
    <w:rPr>
      <w:rFonts w:cs="Times New Roman"/>
      <w:szCs w:val="20"/>
    </w:rPr>
  </w:style>
  <w:style w:type="paragraph" w:styleId="ListContinue3">
    <w:name w:val="List Continue 3"/>
    <w:basedOn w:val="Normal"/>
    <w:uiPriority w:val="99"/>
    <w:semiHidden/>
    <w:rsid w:val="00411336"/>
    <w:pPr>
      <w:spacing w:after="120"/>
      <w:ind w:left="1080"/>
      <w:contextualSpacing/>
    </w:pPr>
    <w:rPr>
      <w:rFonts w:cs="Times New Roman"/>
      <w:szCs w:val="20"/>
    </w:rPr>
  </w:style>
  <w:style w:type="paragraph" w:styleId="ListContinue4">
    <w:name w:val="List Continue 4"/>
    <w:basedOn w:val="Normal"/>
    <w:uiPriority w:val="99"/>
    <w:semiHidden/>
    <w:rsid w:val="00411336"/>
    <w:pPr>
      <w:spacing w:after="120"/>
      <w:ind w:left="1440"/>
      <w:contextualSpacing/>
    </w:pPr>
    <w:rPr>
      <w:rFonts w:cs="Times New Roman"/>
      <w:szCs w:val="20"/>
    </w:rPr>
  </w:style>
  <w:style w:type="paragraph" w:styleId="ListContinue5">
    <w:name w:val="List Continue 5"/>
    <w:basedOn w:val="Normal"/>
    <w:uiPriority w:val="99"/>
    <w:semiHidden/>
    <w:rsid w:val="00411336"/>
    <w:pPr>
      <w:spacing w:after="120"/>
      <w:ind w:left="1800"/>
      <w:contextualSpacing/>
    </w:pPr>
    <w:rPr>
      <w:rFonts w:cs="Times New Roman"/>
      <w:szCs w:val="20"/>
    </w:rPr>
  </w:style>
  <w:style w:type="paragraph" w:styleId="ListNumber">
    <w:name w:val="List Number"/>
    <w:basedOn w:val="BodyText1"/>
    <w:uiPriority w:val="24"/>
    <w:qFormat/>
    <w:rsid w:val="00411336"/>
    <w:pPr>
      <w:numPr>
        <w:numId w:val="40"/>
      </w:numPr>
    </w:pPr>
    <w:rPr>
      <w:szCs w:val="20"/>
    </w:rPr>
  </w:style>
  <w:style w:type="paragraph" w:styleId="ListNumber2">
    <w:name w:val="List Number 2"/>
    <w:basedOn w:val="BodyText1"/>
    <w:uiPriority w:val="24"/>
    <w:semiHidden/>
    <w:unhideWhenUsed/>
    <w:rsid w:val="00411336"/>
    <w:pPr>
      <w:numPr>
        <w:ilvl w:val="1"/>
        <w:numId w:val="40"/>
      </w:numPr>
    </w:pPr>
    <w:rPr>
      <w:szCs w:val="20"/>
    </w:rPr>
  </w:style>
  <w:style w:type="paragraph" w:styleId="ListNumber3">
    <w:name w:val="List Number 3"/>
    <w:basedOn w:val="BodyText1"/>
    <w:uiPriority w:val="24"/>
    <w:semiHidden/>
    <w:unhideWhenUsed/>
    <w:rsid w:val="00411336"/>
    <w:pPr>
      <w:numPr>
        <w:ilvl w:val="2"/>
        <w:numId w:val="40"/>
      </w:numPr>
    </w:pPr>
    <w:rPr>
      <w:szCs w:val="20"/>
    </w:rPr>
  </w:style>
  <w:style w:type="paragraph" w:styleId="ListNumber4">
    <w:name w:val="List Number 4"/>
    <w:basedOn w:val="BodyText1"/>
    <w:uiPriority w:val="24"/>
    <w:semiHidden/>
    <w:unhideWhenUsed/>
    <w:rsid w:val="00411336"/>
    <w:pPr>
      <w:numPr>
        <w:ilvl w:val="3"/>
        <w:numId w:val="40"/>
      </w:numPr>
    </w:pPr>
    <w:rPr>
      <w:szCs w:val="20"/>
    </w:rPr>
  </w:style>
  <w:style w:type="paragraph" w:styleId="ListNumber5">
    <w:name w:val="List Number 5"/>
    <w:basedOn w:val="BodyText1"/>
    <w:uiPriority w:val="24"/>
    <w:semiHidden/>
    <w:unhideWhenUsed/>
    <w:rsid w:val="00411336"/>
    <w:pPr>
      <w:numPr>
        <w:ilvl w:val="4"/>
        <w:numId w:val="40"/>
      </w:numPr>
    </w:pPr>
    <w:rPr>
      <w:szCs w:val="20"/>
    </w:rPr>
  </w:style>
  <w:style w:type="table" w:styleId="ListTable1Light">
    <w:name w:val="List Table 1 Light"/>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411336"/>
    <w:pPr>
      <w:spacing w:after="160" w:line="259" w:lineRule="auto"/>
    </w:pPr>
    <w:rPr>
      <w:rFonts w:asciiTheme="minorHAnsi" w:hAnsiTheme="minorHAnsi" w:cstheme="minorBidi"/>
      <w:sz w:val="22"/>
      <w:szCs w:val="22"/>
      <w:lang w:val="en-GB"/>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411336"/>
    <w:pPr>
      <w:spacing w:after="160" w:line="259" w:lineRule="auto"/>
    </w:pPr>
    <w:rPr>
      <w:rFonts w:asciiTheme="minorHAnsi" w:hAnsiTheme="minorHAnsi" w:cstheme="minorBidi"/>
      <w:color w:val="FFFFFF" w:themeColor="background1"/>
      <w:sz w:val="22"/>
      <w:szCs w:val="22"/>
      <w:lang w:val="en-GB"/>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11336"/>
    <w:pPr>
      <w:spacing w:after="160" w:line="259" w:lineRule="auto"/>
    </w:pPr>
    <w:rPr>
      <w:rFonts w:asciiTheme="minorHAnsi" w:hAnsiTheme="minorHAnsi" w:cstheme="minorBidi"/>
      <w:color w:val="FFFFFF" w:themeColor="background1"/>
      <w:sz w:val="22"/>
      <w:szCs w:val="22"/>
      <w:lang w:val="en-GB"/>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11336"/>
    <w:pPr>
      <w:spacing w:after="160" w:line="259" w:lineRule="auto"/>
    </w:pPr>
    <w:rPr>
      <w:rFonts w:asciiTheme="minorHAnsi" w:hAnsiTheme="minorHAnsi" w:cstheme="minorBidi"/>
      <w:color w:val="FFFFFF" w:themeColor="background1"/>
      <w:sz w:val="22"/>
      <w:szCs w:val="22"/>
      <w:lang w:val="en-GB"/>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11336"/>
    <w:pPr>
      <w:spacing w:after="160" w:line="259" w:lineRule="auto"/>
    </w:pPr>
    <w:rPr>
      <w:rFonts w:asciiTheme="minorHAnsi" w:hAnsiTheme="minorHAnsi" w:cstheme="minorBidi"/>
      <w:color w:val="FFFFFF" w:themeColor="background1"/>
      <w:sz w:val="22"/>
      <w:szCs w:val="22"/>
      <w:lang w:val="en-GB"/>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11336"/>
    <w:pPr>
      <w:spacing w:after="160" w:line="259" w:lineRule="auto"/>
    </w:pPr>
    <w:rPr>
      <w:rFonts w:asciiTheme="minorHAnsi" w:hAnsiTheme="minorHAnsi" w:cstheme="minorBidi"/>
      <w:color w:val="FFFFFF" w:themeColor="background1"/>
      <w:sz w:val="22"/>
      <w:szCs w:val="22"/>
      <w:lang w:val="en-GB"/>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11336"/>
    <w:pPr>
      <w:spacing w:after="160" w:line="259" w:lineRule="auto"/>
    </w:pPr>
    <w:rPr>
      <w:rFonts w:asciiTheme="minorHAnsi" w:hAnsiTheme="minorHAnsi" w:cstheme="minorBidi"/>
      <w:color w:val="FFFFFF" w:themeColor="background1"/>
      <w:sz w:val="22"/>
      <w:szCs w:val="22"/>
      <w:lang w:val="en-GB"/>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11336"/>
    <w:pPr>
      <w:spacing w:after="160" w:line="259" w:lineRule="auto"/>
    </w:pPr>
    <w:rPr>
      <w:rFonts w:asciiTheme="minorHAnsi" w:hAnsiTheme="minorHAnsi" w:cstheme="minorBidi"/>
      <w:color w:val="FFFFFF" w:themeColor="background1"/>
      <w:sz w:val="22"/>
      <w:szCs w:val="22"/>
      <w:lang w:val="en-GB"/>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411336"/>
    <w:pPr>
      <w:spacing w:after="160" w:line="259" w:lineRule="auto"/>
    </w:pPr>
    <w:rPr>
      <w:rFonts w:asciiTheme="minorHAnsi" w:hAnsiTheme="minorHAnsi" w:cstheme="minorBidi"/>
      <w:color w:val="000000" w:themeColor="text1"/>
      <w:sz w:val="22"/>
      <w:szCs w:val="22"/>
      <w:lang w:val="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411336"/>
    <w:pPr>
      <w:spacing w:after="160" w:line="259" w:lineRule="auto"/>
    </w:pPr>
    <w:rPr>
      <w:rFonts w:asciiTheme="minorHAnsi" w:hAnsiTheme="minorHAnsi" w:cstheme="minorBidi"/>
      <w:color w:val="2F5496" w:themeColor="accent1" w:themeShade="BF"/>
      <w:sz w:val="22"/>
      <w:szCs w:val="22"/>
      <w:lang w:val="en-GB"/>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urfulAccent2">
    <w:name w:val="List Table 6 Colorful Accent 2"/>
    <w:basedOn w:val="TableNormal"/>
    <w:uiPriority w:val="51"/>
    <w:rsid w:val="00411336"/>
    <w:pPr>
      <w:spacing w:after="160" w:line="259" w:lineRule="auto"/>
    </w:pPr>
    <w:rPr>
      <w:rFonts w:asciiTheme="minorHAnsi" w:hAnsiTheme="minorHAnsi" w:cstheme="minorBidi"/>
      <w:color w:val="C45911" w:themeColor="accent2" w:themeShade="BF"/>
      <w:sz w:val="22"/>
      <w:szCs w:val="22"/>
      <w:lang w:val="en-GB"/>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urfulAccent3">
    <w:name w:val="List Table 6 Colorful Accent 3"/>
    <w:basedOn w:val="TableNormal"/>
    <w:uiPriority w:val="51"/>
    <w:rsid w:val="00411336"/>
    <w:pPr>
      <w:spacing w:after="160" w:line="259" w:lineRule="auto"/>
    </w:pPr>
    <w:rPr>
      <w:rFonts w:asciiTheme="minorHAnsi" w:hAnsiTheme="minorHAnsi" w:cstheme="minorBidi"/>
      <w:color w:val="7B7B7B" w:themeColor="accent3" w:themeShade="BF"/>
      <w:sz w:val="22"/>
      <w:szCs w:val="22"/>
      <w:lang w:val="en-GB"/>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urfulAccent4">
    <w:name w:val="List Table 6 Colorful Accent 4"/>
    <w:basedOn w:val="TableNormal"/>
    <w:uiPriority w:val="51"/>
    <w:rsid w:val="00411336"/>
    <w:pPr>
      <w:spacing w:after="160" w:line="259" w:lineRule="auto"/>
    </w:pPr>
    <w:rPr>
      <w:rFonts w:asciiTheme="minorHAnsi" w:hAnsiTheme="minorHAnsi" w:cstheme="minorBidi"/>
      <w:color w:val="BF8F00" w:themeColor="accent4" w:themeShade="BF"/>
      <w:sz w:val="22"/>
      <w:szCs w:val="22"/>
      <w:lang w:val="en-GB"/>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urfulAccent5">
    <w:name w:val="List Table 6 Colorful Accent 5"/>
    <w:basedOn w:val="TableNormal"/>
    <w:uiPriority w:val="51"/>
    <w:rsid w:val="00411336"/>
    <w:pPr>
      <w:spacing w:after="160" w:line="259" w:lineRule="auto"/>
    </w:pPr>
    <w:rPr>
      <w:rFonts w:asciiTheme="minorHAnsi" w:hAnsiTheme="minorHAnsi" w:cstheme="minorBidi"/>
      <w:color w:val="2E74B5" w:themeColor="accent5" w:themeShade="BF"/>
      <w:sz w:val="22"/>
      <w:szCs w:val="22"/>
      <w:lang w:val="en-GB"/>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urfulAccent6">
    <w:name w:val="List Table 6 Colorful Accent 6"/>
    <w:basedOn w:val="TableNormal"/>
    <w:uiPriority w:val="51"/>
    <w:rsid w:val="00411336"/>
    <w:pPr>
      <w:spacing w:after="160" w:line="259" w:lineRule="auto"/>
    </w:pPr>
    <w:rPr>
      <w:rFonts w:asciiTheme="minorHAnsi" w:hAnsiTheme="minorHAnsi" w:cstheme="minorBidi"/>
      <w:color w:val="538135" w:themeColor="accent6" w:themeShade="BF"/>
      <w:sz w:val="22"/>
      <w:szCs w:val="22"/>
      <w:lang w:val="en-GB"/>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urful">
    <w:name w:val="List Table 7 Colorful"/>
    <w:basedOn w:val="TableNormal"/>
    <w:uiPriority w:val="52"/>
    <w:rsid w:val="00411336"/>
    <w:pPr>
      <w:spacing w:after="160" w:line="259" w:lineRule="auto"/>
    </w:pPr>
    <w:rPr>
      <w:rFonts w:asciiTheme="minorHAnsi" w:hAnsiTheme="minorHAnsi" w:cstheme="minorBidi"/>
      <w:color w:val="000000" w:themeColor="text1"/>
      <w:sz w:val="22"/>
      <w:szCs w:val="22"/>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411336"/>
    <w:pPr>
      <w:spacing w:after="160" w:line="259" w:lineRule="auto"/>
    </w:pPr>
    <w:rPr>
      <w:rFonts w:asciiTheme="minorHAnsi" w:hAnsiTheme="minorHAnsi" w:cstheme="minorBidi"/>
      <w:color w:val="2F5496" w:themeColor="accent1" w:themeShade="BF"/>
      <w:sz w:val="22"/>
      <w:szCs w:val="22"/>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411336"/>
    <w:pPr>
      <w:spacing w:after="160" w:line="259" w:lineRule="auto"/>
    </w:pPr>
    <w:rPr>
      <w:rFonts w:asciiTheme="minorHAnsi" w:hAnsiTheme="minorHAnsi" w:cstheme="minorBidi"/>
      <w:color w:val="C45911" w:themeColor="accent2" w:themeShade="BF"/>
      <w:sz w:val="22"/>
      <w:szCs w:val="22"/>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411336"/>
    <w:pPr>
      <w:spacing w:after="160" w:line="259" w:lineRule="auto"/>
    </w:pPr>
    <w:rPr>
      <w:rFonts w:asciiTheme="minorHAnsi" w:hAnsiTheme="minorHAnsi" w:cstheme="minorBidi"/>
      <w:color w:val="7B7B7B" w:themeColor="accent3" w:themeShade="BF"/>
      <w:sz w:val="22"/>
      <w:szCs w:val="22"/>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411336"/>
    <w:pPr>
      <w:spacing w:after="160" w:line="259" w:lineRule="auto"/>
    </w:pPr>
    <w:rPr>
      <w:rFonts w:asciiTheme="minorHAnsi" w:hAnsiTheme="minorHAnsi" w:cstheme="minorBidi"/>
      <w:color w:val="BF8F00" w:themeColor="accent4" w:themeShade="BF"/>
      <w:sz w:val="22"/>
      <w:szCs w:val="22"/>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411336"/>
    <w:pPr>
      <w:spacing w:after="160" w:line="259" w:lineRule="auto"/>
    </w:pPr>
    <w:rPr>
      <w:rFonts w:asciiTheme="minorHAnsi" w:hAnsiTheme="minorHAnsi" w:cstheme="minorBidi"/>
      <w:color w:val="2E74B5" w:themeColor="accent5" w:themeShade="BF"/>
      <w:sz w:val="22"/>
      <w:szCs w:val="22"/>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411336"/>
    <w:pPr>
      <w:spacing w:after="160" w:line="259" w:lineRule="auto"/>
    </w:pPr>
    <w:rPr>
      <w:rFonts w:asciiTheme="minorHAnsi" w:hAnsiTheme="minorHAnsi" w:cstheme="minorBidi"/>
      <w:color w:val="538135" w:themeColor="accent6" w:themeShade="BF"/>
      <w:sz w:val="22"/>
      <w:szCs w:val="22"/>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411336"/>
    <w:pPr>
      <w:keepLines/>
      <w:pBdr>
        <w:left w:val="single" w:sz="4" w:space="4" w:color="auto"/>
        <w:right w:val="single" w:sz="2" w:space="4" w:color="auto"/>
      </w:pBd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zh-CN"/>
    </w:rPr>
  </w:style>
  <w:style w:type="character" w:customStyle="1" w:styleId="MacroTextChar">
    <w:name w:val="Macro Text Char"/>
    <w:link w:val="MacroText"/>
    <w:semiHidden/>
    <w:rsid w:val="00411336"/>
    <w:rPr>
      <w:rFonts w:ascii="Courier New" w:hAnsi="Courier New" w:cs="Courier New"/>
      <w:lang w:val="en-GB" w:eastAsia="zh-CN"/>
    </w:rPr>
  </w:style>
  <w:style w:type="table" w:styleId="MediumGrid1">
    <w:name w:val="Medium Grid 1"/>
    <w:basedOn w:val="TableNormal"/>
    <w:uiPriority w:val="67"/>
    <w:rsid w:val="00411336"/>
    <w:pPr>
      <w:spacing w:after="160" w:line="259" w:lineRule="auto"/>
    </w:pPr>
    <w:rPr>
      <w:rFonts w:ascii="Times New Roman" w:hAnsi="Times New Roman" w:cs="Arial"/>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11336"/>
    <w:pPr>
      <w:spacing w:after="160" w:line="259" w:lineRule="auto"/>
    </w:pPr>
    <w:rPr>
      <w:rFonts w:ascii="Times New Roman" w:hAnsi="Times New Roman" w:cs="Arial"/>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11336"/>
    <w:pPr>
      <w:spacing w:after="160" w:line="259" w:lineRule="auto"/>
    </w:pPr>
    <w:rPr>
      <w:rFonts w:ascii="Times New Roman" w:hAnsi="Times New Roman" w:cs="Arial"/>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11336"/>
    <w:pPr>
      <w:spacing w:after="160" w:line="259" w:lineRule="auto"/>
    </w:pPr>
    <w:rPr>
      <w:rFonts w:ascii="Times New Roman" w:hAnsi="Times New Roman" w:cs="Arial"/>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11336"/>
    <w:pPr>
      <w:spacing w:after="160" w:line="259" w:lineRule="auto"/>
    </w:pPr>
    <w:rPr>
      <w:rFonts w:ascii="Times New Roman" w:hAnsi="Times New Roman" w:cs="Arial"/>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11336"/>
    <w:pPr>
      <w:spacing w:after="160" w:line="259" w:lineRule="auto"/>
    </w:pPr>
    <w:rPr>
      <w:rFonts w:ascii="Times New Roman" w:hAnsi="Times New Roman" w:cs="Arial"/>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11336"/>
    <w:pPr>
      <w:spacing w:after="160" w:line="259" w:lineRule="auto"/>
    </w:pPr>
    <w:rPr>
      <w:rFonts w:ascii="Times New Roman" w:hAnsi="Times New Roman" w:cs="Arial"/>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11336"/>
    <w:pPr>
      <w:spacing w:after="160" w:line="259" w:lineRule="auto"/>
    </w:pPr>
    <w:rPr>
      <w:rFonts w:ascii="Times New Roman" w:hAnsi="Times New Roman" w:cs="Arial"/>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11336"/>
    <w:pPr>
      <w:spacing w:after="160" w:line="259" w:lineRule="auto"/>
    </w:pPr>
    <w:rPr>
      <w:rFonts w:ascii="Times New Roman" w:hAnsi="Times New Roman" w:cs="Arial"/>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11336"/>
    <w:pPr>
      <w:spacing w:after="160" w:line="259" w:lineRule="auto"/>
    </w:pPr>
    <w:rPr>
      <w:rFonts w:ascii="Times New Roman" w:hAnsi="Times New Roman" w:cs="Arial"/>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11336"/>
    <w:pPr>
      <w:spacing w:after="160" w:line="259" w:lineRule="auto"/>
    </w:pPr>
    <w:rPr>
      <w:rFonts w:ascii="Times New Roman" w:hAnsi="Times New Roman" w:cs="Arial"/>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11336"/>
    <w:pPr>
      <w:spacing w:after="160" w:line="259" w:lineRule="auto"/>
    </w:pPr>
    <w:rPr>
      <w:rFonts w:ascii="Times New Roman" w:hAnsi="Times New Roman" w:cs="Arial"/>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11336"/>
    <w:pPr>
      <w:spacing w:after="160" w:line="259" w:lineRule="auto"/>
    </w:pPr>
    <w:rPr>
      <w:rFonts w:ascii="Times New Roman" w:hAnsi="Times New Roman" w:cs="Arial"/>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11336"/>
    <w:pPr>
      <w:spacing w:after="160" w:line="259" w:lineRule="auto"/>
    </w:pPr>
    <w:rPr>
      <w:rFonts w:ascii="Times New Roman" w:hAnsi="Times New Roman" w:cs="Arial"/>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11336"/>
    <w:pPr>
      <w:spacing w:after="160" w:line="259" w:lineRule="auto"/>
    </w:pPr>
    <w:rPr>
      <w:rFonts w:ascii="Times New Roman" w:hAnsi="Times New Roman" w:cs="Arial"/>
      <w:color w:val="000000"/>
      <w:lang w:eastAsia="zh-CN"/>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11336"/>
    <w:pPr>
      <w:spacing w:after="160" w:line="259" w:lineRule="auto"/>
    </w:pPr>
    <w:rPr>
      <w:rFonts w:ascii="Times New Roman" w:hAnsi="Times New Roman" w:cs="Arial"/>
      <w:color w:val="000000"/>
      <w:lang w:eastAsia="zh-CN"/>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11336"/>
    <w:pPr>
      <w:spacing w:after="160" w:line="259" w:lineRule="auto"/>
    </w:pPr>
    <w:rPr>
      <w:rFonts w:ascii="Times New Roman" w:hAnsi="Times New Roman" w:cs="Arial"/>
      <w:color w:val="000000"/>
      <w:lang w:eastAsia="zh-CN"/>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11336"/>
    <w:pPr>
      <w:spacing w:after="160" w:line="259" w:lineRule="auto"/>
    </w:pPr>
    <w:rPr>
      <w:rFonts w:ascii="Times New Roman" w:hAnsi="Times New Roman" w:cs="Arial"/>
      <w:color w:val="000000"/>
      <w:lang w:eastAsia="zh-CN"/>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11336"/>
    <w:pPr>
      <w:spacing w:after="160" w:line="259" w:lineRule="auto"/>
    </w:pPr>
    <w:rPr>
      <w:rFonts w:ascii="Times New Roman" w:hAnsi="Times New Roman" w:cs="Arial"/>
      <w:color w:val="000000"/>
      <w:lang w:eastAsia="zh-CN"/>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11336"/>
    <w:pPr>
      <w:spacing w:after="160" w:line="259" w:lineRule="auto"/>
    </w:pPr>
    <w:rPr>
      <w:rFonts w:ascii="Times New Roman" w:hAnsi="Times New Roman" w:cs="Arial"/>
      <w:color w:val="000000"/>
      <w:lang w:eastAsia="zh-CN"/>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11336"/>
    <w:pPr>
      <w:spacing w:after="160" w:line="259" w:lineRule="auto"/>
    </w:pPr>
    <w:rPr>
      <w:rFonts w:ascii="Times New Roman" w:hAnsi="Times New Roman" w:cs="Arial"/>
      <w:color w:val="000000"/>
      <w:lang w:eastAsia="zh-CN"/>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11336"/>
    <w:pPr>
      <w:spacing w:after="160" w:line="259" w:lineRule="auto"/>
    </w:pPr>
    <w:rPr>
      <w:rFonts w:ascii="Times New Roman" w:eastAsia="SimSun" w:hAnsi="Times New Roman" w:cs="Arial"/>
      <w:color w:val="000000"/>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11336"/>
    <w:pPr>
      <w:spacing w:after="160" w:line="259" w:lineRule="auto"/>
    </w:pPr>
    <w:rPr>
      <w:rFonts w:ascii="Times New Roman" w:hAnsi="Times New Roman" w:cs="Arial"/>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11336"/>
    <w:pPr>
      <w:spacing w:after="160" w:line="259" w:lineRule="auto"/>
    </w:pPr>
    <w:rPr>
      <w:rFonts w:ascii="Times New Roman" w:hAnsi="Times New Roman" w:cs="Arial"/>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11336"/>
    <w:pPr>
      <w:spacing w:after="160" w:line="259" w:lineRule="auto"/>
    </w:pPr>
    <w:rPr>
      <w:rFonts w:ascii="Times New Roman" w:hAnsi="Times New Roman" w:cs="Arial"/>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11336"/>
    <w:pPr>
      <w:spacing w:after="160" w:line="259" w:lineRule="auto"/>
    </w:pPr>
    <w:rPr>
      <w:rFonts w:ascii="Times New Roman" w:hAnsi="Times New Roman" w:cs="Arial"/>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11336"/>
    <w:pPr>
      <w:spacing w:after="160" w:line="259" w:lineRule="auto"/>
    </w:pPr>
    <w:rPr>
      <w:rFonts w:ascii="Times New Roman" w:hAnsi="Times New Roman" w:cs="Arial"/>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11336"/>
    <w:pPr>
      <w:spacing w:after="160" w:line="259" w:lineRule="auto"/>
    </w:pPr>
    <w:rPr>
      <w:rFonts w:ascii="Times New Roman" w:hAnsi="Times New Roman" w:cs="Arial"/>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11336"/>
    <w:pPr>
      <w:spacing w:after="160" w:line="259" w:lineRule="auto"/>
    </w:pPr>
    <w:rPr>
      <w:rFonts w:ascii="Times New Roman" w:hAnsi="Times New Roman" w:cs="Arial"/>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11336"/>
    <w:pPr>
      <w:spacing w:after="160" w:line="259" w:lineRule="auto"/>
    </w:pPr>
    <w:rPr>
      <w:rFonts w:ascii="Times New Roman" w:hAnsi="Times New Roman" w:cs="Arial"/>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11336"/>
    <w:pPr>
      <w:spacing w:after="160" w:line="259" w:lineRule="auto"/>
    </w:pPr>
    <w:rPr>
      <w:rFonts w:ascii="Times New Roman" w:hAnsi="Times New Roman" w:cs="Arial"/>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11336"/>
    <w:pPr>
      <w:spacing w:after="160" w:line="259" w:lineRule="auto"/>
    </w:pPr>
    <w:rPr>
      <w:rFonts w:ascii="Times New Roman" w:hAnsi="Times New Roman" w:cs="Arial"/>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11336"/>
    <w:pPr>
      <w:spacing w:after="160" w:line="259" w:lineRule="auto"/>
    </w:pPr>
    <w:rPr>
      <w:rFonts w:ascii="Times New Roman" w:hAnsi="Times New Roman" w:cs="Arial"/>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11336"/>
    <w:pPr>
      <w:spacing w:after="160" w:line="259" w:lineRule="auto"/>
    </w:pPr>
    <w:rPr>
      <w:rFonts w:ascii="Times New Roman" w:hAnsi="Times New Roman" w:cs="Arial"/>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11336"/>
    <w:pPr>
      <w:spacing w:after="160" w:line="259" w:lineRule="auto"/>
    </w:pPr>
    <w:rPr>
      <w:rFonts w:ascii="Times New Roman" w:hAnsi="Times New Roman" w:cs="Arial"/>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11336"/>
    <w:pPr>
      <w:spacing w:after="160" w:line="259" w:lineRule="auto"/>
    </w:pPr>
    <w:rPr>
      <w:rFonts w:ascii="Times New Roman" w:hAnsi="Times New Roman" w:cs="Arial"/>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41133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link w:val="MessageHeader"/>
    <w:uiPriority w:val="99"/>
    <w:semiHidden/>
    <w:rsid w:val="00411336"/>
    <w:rPr>
      <w:rFonts w:ascii="Arial" w:hAnsi="Arial" w:cs="Arial"/>
      <w:sz w:val="24"/>
      <w:szCs w:val="24"/>
      <w:shd w:val="pct20" w:color="auto" w:fill="auto"/>
      <w:lang w:val="en-GB"/>
    </w:rPr>
  </w:style>
  <w:style w:type="paragraph" w:styleId="NoSpacing">
    <w:name w:val="No Spacing"/>
    <w:uiPriority w:val="99"/>
    <w:rsid w:val="00411336"/>
    <w:rPr>
      <w:rFonts w:ascii="Times New Roman" w:hAnsi="Times New Roman" w:cs="Arial"/>
      <w:sz w:val="22"/>
      <w:szCs w:val="22"/>
      <w:lang w:val="en-GB"/>
    </w:rPr>
  </w:style>
  <w:style w:type="paragraph" w:styleId="NormalIndent">
    <w:name w:val="Normal Indent"/>
    <w:basedOn w:val="Normal"/>
    <w:uiPriority w:val="99"/>
    <w:semiHidden/>
    <w:rsid w:val="00411336"/>
    <w:pPr>
      <w:ind w:left="720"/>
    </w:pPr>
  </w:style>
  <w:style w:type="paragraph" w:styleId="NoteHeading">
    <w:name w:val="Note Heading"/>
    <w:basedOn w:val="Normal"/>
    <w:next w:val="Normal"/>
    <w:link w:val="NoteHeadingChar"/>
    <w:uiPriority w:val="99"/>
    <w:rsid w:val="00411336"/>
    <w:rPr>
      <w:rFonts w:cs="Times New Roman"/>
      <w:szCs w:val="20"/>
    </w:rPr>
  </w:style>
  <w:style w:type="character" w:customStyle="1" w:styleId="NoteHeadingChar">
    <w:name w:val="Note Heading Char"/>
    <w:link w:val="NoteHeading"/>
    <w:uiPriority w:val="99"/>
    <w:rsid w:val="00411336"/>
    <w:rPr>
      <w:rFonts w:ascii="Times New Roman" w:hAnsi="Times New Roman"/>
      <w:sz w:val="22"/>
      <w:lang w:val="en-GB"/>
    </w:rPr>
  </w:style>
  <w:style w:type="character" w:styleId="PageNumber">
    <w:name w:val="page number"/>
    <w:uiPriority w:val="99"/>
    <w:semiHidden/>
    <w:rsid w:val="00411336"/>
    <w:rPr>
      <w:rFonts w:ascii="Times New Roman" w:hAnsi="Times New Roman" w:cs="Times New Roman"/>
      <w:lang w:val="en-GB"/>
    </w:rPr>
  </w:style>
  <w:style w:type="table" w:styleId="PlainTable1">
    <w:name w:val="Plain Table 1"/>
    <w:basedOn w:val="TableNormal"/>
    <w:uiPriority w:val="41"/>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11336"/>
    <w:pPr>
      <w:spacing w:after="160" w:line="259" w:lineRule="auto"/>
    </w:pPr>
    <w:rPr>
      <w:rFonts w:asciiTheme="minorHAnsi" w:hAnsiTheme="minorHAnsi" w:cstheme="minorBidi"/>
      <w:sz w:val="22"/>
      <w:szCs w:val="22"/>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11336"/>
    <w:pPr>
      <w:spacing w:after="160" w:line="259" w:lineRule="auto"/>
    </w:pPr>
    <w:rPr>
      <w:rFonts w:asciiTheme="minorHAnsi" w:hAnsiTheme="minorHAnsi" w:cstheme="minorBidi"/>
      <w:sz w:val="22"/>
      <w:szCs w:val="22"/>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11336"/>
    <w:pPr>
      <w:spacing w:after="160" w:line="259" w:lineRule="auto"/>
    </w:pPr>
    <w:rPr>
      <w:rFonts w:asciiTheme="minorHAnsi" w:hAnsiTheme="minorHAnsi" w:cstheme="minorBidi"/>
      <w:sz w:val="22"/>
      <w:szCs w:val="22"/>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11336"/>
    <w:pPr>
      <w:spacing w:after="160" w:line="259" w:lineRule="auto"/>
    </w:pPr>
    <w:rPr>
      <w:rFonts w:asciiTheme="minorHAnsi" w:hAnsiTheme="minorHAnsi" w:cstheme="minorBidi"/>
      <w:sz w:val="22"/>
      <w:szCs w:val="22"/>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411336"/>
    <w:rPr>
      <w:rFonts w:ascii="Courier New" w:hAnsi="Courier New" w:cs="Courier New"/>
      <w:sz w:val="20"/>
      <w:szCs w:val="20"/>
    </w:rPr>
  </w:style>
  <w:style w:type="character" w:customStyle="1" w:styleId="PlainTextChar">
    <w:name w:val="Plain Text Char"/>
    <w:link w:val="PlainText"/>
    <w:uiPriority w:val="99"/>
    <w:semiHidden/>
    <w:rsid w:val="00411336"/>
    <w:rPr>
      <w:rFonts w:ascii="Courier New" w:hAnsi="Courier New" w:cs="Courier New"/>
      <w:lang w:val="en-GB"/>
    </w:rPr>
  </w:style>
  <w:style w:type="paragraph" w:styleId="Quote">
    <w:name w:val="Quote"/>
    <w:basedOn w:val="Normal"/>
    <w:next w:val="Normal"/>
    <w:link w:val="QuoteChar"/>
    <w:uiPriority w:val="39"/>
    <w:rsid w:val="00411336"/>
    <w:pPr>
      <w:spacing w:after="220"/>
      <w:ind w:left="1418" w:right="1418"/>
      <w:jc w:val="both"/>
    </w:pPr>
    <w:rPr>
      <w:rFonts w:cs="Times New Roman"/>
      <w:szCs w:val="20"/>
    </w:rPr>
  </w:style>
  <w:style w:type="character" w:customStyle="1" w:styleId="QuoteChar">
    <w:name w:val="Quote Char"/>
    <w:link w:val="Quote"/>
    <w:uiPriority w:val="39"/>
    <w:rsid w:val="00411336"/>
    <w:rPr>
      <w:rFonts w:ascii="Times New Roman" w:hAnsi="Times New Roman"/>
      <w:sz w:val="22"/>
      <w:lang w:val="en-GB"/>
    </w:rPr>
  </w:style>
  <w:style w:type="paragraph" w:styleId="Salutation">
    <w:name w:val="Salutation"/>
    <w:basedOn w:val="Normal"/>
    <w:next w:val="Normal"/>
    <w:link w:val="SalutationChar"/>
    <w:uiPriority w:val="99"/>
    <w:semiHidden/>
    <w:rsid w:val="00411336"/>
    <w:rPr>
      <w:rFonts w:cs="Times New Roman"/>
      <w:szCs w:val="20"/>
    </w:rPr>
  </w:style>
  <w:style w:type="character" w:customStyle="1" w:styleId="SalutationChar">
    <w:name w:val="Salutation Char"/>
    <w:link w:val="Salutation"/>
    <w:uiPriority w:val="99"/>
    <w:semiHidden/>
    <w:rsid w:val="00411336"/>
    <w:rPr>
      <w:rFonts w:ascii="Times New Roman" w:hAnsi="Times New Roman"/>
      <w:sz w:val="22"/>
      <w:lang w:val="en-GB"/>
    </w:rPr>
  </w:style>
  <w:style w:type="paragraph" w:styleId="Signature">
    <w:name w:val="Signature"/>
    <w:basedOn w:val="Normal"/>
    <w:link w:val="SignatureChar"/>
    <w:uiPriority w:val="39"/>
    <w:semiHidden/>
    <w:unhideWhenUsed/>
    <w:rsid w:val="00411336"/>
    <w:rPr>
      <w:rFonts w:cs="Times New Roman"/>
      <w:szCs w:val="20"/>
    </w:rPr>
  </w:style>
  <w:style w:type="character" w:customStyle="1" w:styleId="SignatureChar">
    <w:name w:val="Signature Char"/>
    <w:link w:val="Signature"/>
    <w:uiPriority w:val="39"/>
    <w:semiHidden/>
    <w:rsid w:val="00411336"/>
    <w:rPr>
      <w:rFonts w:ascii="Times New Roman" w:hAnsi="Times New Roman"/>
      <w:sz w:val="22"/>
      <w:lang w:val="en-GB"/>
    </w:rPr>
  </w:style>
  <w:style w:type="character" w:styleId="Strong">
    <w:name w:val="Strong"/>
    <w:uiPriority w:val="99"/>
    <w:rsid w:val="00411336"/>
    <w:rPr>
      <w:rFonts w:ascii="Times New Roman" w:hAnsi="Times New Roman" w:cs="Times New Roman"/>
      <w:b/>
      <w:bCs/>
      <w:lang w:val="en-GB"/>
    </w:rPr>
  </w:style>
  <w:style w:type="paragraph" w:styleId="Subtitle">
    <w:name w:val="Subtitle"/>
    <w:basedOn w:val="Normal"/>
    <w:link w:val="SubtitleChar"/>
    <w:uiPriority w:val="39"/>
    <w:unhideWhenUsed/>
    <w:rsid w:val="00411336"/>
    <w:pPr>
      <w:spacing w:after="220"/>
      <w:jc w:val="center"/>
    </w:pPr>
    <w:rPr>
      <w:rFonts w:cs="Times New Roman"/>
      <w:b/>
      <w:i/>
      <w:szCs w:val="20"/>
    </w:rPr>
  </w:style>
  <w:style w:type="character" w:customStyle="1" w:styleId="SubtitleChar">
    <w:name w:val="Subtitle Char"/>
    <w:link w:val="Subtitle"/>
    <w:uiPriority w:val="39"/>
    <w:rsid w:val="00411336"/>
    <w:rPr>
      <w:rFonts w:ascii="Times New Roman" w:hAnsi="Times New Roman"/>
      <w:b/>
      <w:i/>
      <w:sz w:val="22"/>
      <w:lang w:val="en-GB"/>
    </w:rPr>
  </w:style>
  <w:style w:type="character" w:styleId="SubtleEmphasis">
    <w:name w:val="Subtle Emphasis"/>
    <w:uiPriority w:val="99"/>
    <w:rsid w:val="00411336"/>
    <w:rPr>
      <w:rFonts w:ascii="Times New Roman" w:hAnsi="Times New Roman" w:cs="Times New Roman"/>
      <w:i/>
      <w:iCs/>
      <w:color w:val="808080"/>
      <w:lang w:val="en-GB"/>
    </w:rPr>
  </w:style>
  <w:style w:type="character" w:styleId="SubtleReference">
    <w:name w:val="Subtle Reference"/>
    <w:uiPriority w:val="99"/>
    <w:rsid w:val="00411336"/>
    <w:rPr>
      <w:rFonts w:ascii="Times New Roman" w:hAnsi="Times New Roman" w:cs="Times New Roman"/>
      <w:smallCaps/>
      <w:color w:val="C0504D"/>
      <w:u w:val="single"/>
      <w:lang w:val="en-GB"/>
    </w:rPr>
  </w:style>
  <w:style w:type="table" w:styleId="Table3Deffects1">
    <w:name w:val="Table 3D effects 1"/>
    <w:basedOn w:val="TableNormal"/>
    <w:uiPriority w:val="99"/>
    <w:semiHidden/>
    <w:unhideWhenUsed/>
    <w:rsid w:val="00411336"/>
    <w:pPr>
      <w:spacing w:after="160" w:line="259" w:lineRule="auto"/>
    </w:pPr>
    <w:rPr>
      <w:rFonts w:ascii="Times New Roman" w:hAnsi="Times New Roman" w:cs="Arial"/>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11336"/>
    <w:pPr>
      <w:spacing w:after="160" w:line="259" w:lineRule="auto"/>
    </w:pPr>
    <w:rPr>
      <w:rFonts w:ascii="Times New Roman" w:hAnsi="Times New Roman" w:cs="Arial"/>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11336"/>
    <w:pPr>
      <w:spacing w:after="160" w:line="259" w:lineRule="auto"/>
    </w:pPr>
    <w:rPr>
      <w:rFonts w:ascii="Times New Roman" w:hAnsi="Times New Roman" w:cs="Arial"/>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11336"/>
    <w:pPr>
      <w:spacing w:after="160" w:line="259" w:lineRule="auto"/>
    </w:pPr>
    <w:rPr>
      <w:rFonts w:ascii="Times New Roman" w:hAnsi="Times New Roman" w:cs="Arial"/>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11336"/>
    <w:pPr>
      <w:spacing w:after="160" w:line="259" w:lineRule="auto"/>
    </w:pPr>
    <w:rPr>
      <w:rFonts w:ascii="Times New Roman" w:hAnsi="Times New Roman" w:cs="Arial"/>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11336"/>
    <w:pPr>
      <w:spacing w:after="160" w:line="259" w:lineRule="auto"/>
    </w:pPr>
    <w:rPr>
      <w:rFonts w:ascii="Times New Roman" w:hAnsi="Times New Roman" w:cs="Arial"/>
      <w:color w:val="000080"/>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11336"/>
    <w:pPr>
      <w:spacing w:after="160" w:line="259" w:lineRule="auto"/>
    </w:pPr>
    <w:rPr>
      <w:rFonts w:ascii="Times New Roman" w:hAnsi="Times New Roman" w:cs="Arial"/>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411336"/>
    <w:pPr>
      <w:spacing w:after="160" w:line="259" w:lineRule="auto"/>
    </w:pPr>
    <w:rPr>
      <w:rFonts w:ascii="Times New Roman" w:hAnsi="Times New Roman" w:cs="Arial"/>
      <w:color w:val="FFFFFF"/>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411336"/>
    <w:pPr>
      <w:spacing w:after="160" w:line="259" w:lineRule="auto"/>
    </w:pPr>
    <w:rPr>
      <w:rFonts w:ascii="Times New Roman" w:hAnsi="Times New Roman" w:cs="Arial"/>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411336"/>
    <w:pPr>
      <w:spacing w:after="160" w:line="259" w:lineRule="auto"/>
    </w:pPr>
    <w:rPr>
      <w:rFonts w:ascii="Times New Roman" w:hAnsi="Times New Roman" w:cs="Arial"/>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11336"/>
    <w:pPr>
      <w:spacing w:after="160" w:line="259" w:lineRule="auto"/>
    </w:pPr>
    <w:rPr>
      <w:rFonts w:ascii="Times New Roman" w:hAnsi="Times New Roman" w:cs="Arial"/>
      <w:b/>
      <w:bCs/>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11336"/>
    <w:pPr>
      <w:spacing w:after="160" w:line="259" w:lineRule="auto"/>
    </w:pPr>
    <w:rPr>
      <w:rFonts w:ascii="Times New Roman" w:hAnsi="Times New Roman" w:cs="Arial"/>
      <w:b/>
      <w:bCs/>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11336"/>
    <w:pPr>
      <w:spacing w:after="160" w:line="259" w:lineRule="auto"/>
    </w:pPr>
    <w:rPr>
      <w:rFonts w:ascii="Times New Roman" w:hAnsi="Times New Roman" w:cs="Arial"/>
      <w:b/>
      <w:bCs/>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11336"/>
    <w:pPr>
      <w:spacing w:after="160" w:line="259" w:lineRule="auto"/>
    </w:pPr>
    <w:rPr>
      <w:rFonts w:ascii="Times New Roman" w:hAnsi="Times New Roman" w:cs="Arial"/>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11336"/>
    <w:pPr>
      <w:spacing w:after="160" w:line="259" w:lineRule="auto"/>
    </w:pPr>
    <w:rPr>
      <w:rFonts w:ascii="Times New Roman" w:hAnsi="Times New Roman" w:cs="Arial"/>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11336"/>
    <w:pPr>
      <w:spacing w:after="160" w:line="259" w:lineRule="auto"/>
    </w:pPr>
    <w:rPr>
      <w:rFonts w:ascii="Times New Roman" w:hAnsi="Times New Roman" w:cs="Arial"/>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11336"/>
    <w:pPr>
      <w:spacing w:after="160" w:line="259" w:lineRule="auto"/>
    </w:pPr>
    <w:rPr>
      <w:rFonts w:ascii="Times New Roman" w:hAnsi="Times New Roman" w:cs="Arial"/>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11336"/>
    <w:pPr>
      <w:spacing w:after="160" w:line="259" w:lineRule="auto"/>
    </w:pPr>
    <w:rPr>
      <w:rFonts w:ascii="Times New Roman" w:hAnsi="Times New Roman" w:cs="Arial"/>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11336"/>
    <w:pPr>
      <w:spacing w:after="160" w:line="259" w:lineRule="auto"/>
    </w:pPr>
    <w:rPr>
      <w:rFonts w:ascii="Times New Roman" w:hAnsi="Times New Roman" w:cs="Arial"/>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11336"/>
    <w:pPr>
      <w:spacing w:after="160" w:line="259" w:lineRule="auto"/>
    </w:pPr>
    <w:rPr>
      <w:rFonts w:ascii="Times New Roman" w:hAnsi="Times New Roman" w:cs="Arial"/>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11336"/>
    <w:pPr>
      <w:spacing w:after="160" w:line="259" w:lineRule="auto"/>
    </w:pPr>
    <w:rPr>
      <w:rFonts w:ascii="Times New Roman" w:hAnsi="Times New Roman" w:cs="Arial"/>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11336"/>
    <w:pPr>
      <w:spacing w:after="160" w:line="259" w:lineRule="auto"/>
    </w:pPr>
    <w:rPr>
      <w:rFonts w:ascii="Times New Roman" w:hAnsi="Times New Roman" w:cs="Arial"/>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11336"/>
    <w:pPr>
      <w:spacing w:after="160" w:line="259" w:lineRule="auto"/>
    </w:pPr>
    <w:rPr>
      <w:rFonts w:ascii="Times New Roman" w:hAnsi="Times New Roman" w:cs="Arial"/>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11336"/>
    <w:pPr>
      <w:spacing w:after="160" w:line="259" w:lineRule="auto"/>
    </w:pPr>
    <w:rPr>
      <w:rFonts w:ascii="Times New Roman" w:hAnsi="Times New Roman" w:cs="Arial"/>
      <w:b/>
      <w:bCs/>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11336"/>
    <w:pPr>
      <w:spacing w:after="160" w:line="259" w:lineRule="auto"/>
    </w:pPr>
    <w:rPr>
      <w:rFonts w:ascii="Times New Roman" w:hAnsi="Times New Roman" w:cs="Arial"/>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11336"/>
    <w:pPr>
      <w:spacing w:after="160" w:line="259" w:lineRule="auto"/>
    </w:pPr>
    <w:rPr>
      <w:rFonts w:asciiTheme="minorHAnsi" w:hAnsiTheme="minorHAnsi" w:cstheme="minorBidi"/>
      <w:sz w:val="22"/>
      <w:szCs w:val="22"/>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11336"/>
    <w:pPr>
      <w:spacing w:after="160" w:line="259" w:lineRule="auto"/>
    </w:pPr>
    <w:rPr>
      <w:rFonts w:ascii="Times New Roman" w:hAnsi="Times New Roman" w:cs="Arial"/>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11336"/>
    <w:pPr>
      <w:spacing w:after="160" w:line="259" w:lineRule="auto"/>
    </w:pPr>
    <w:rPr>
      <w:rFonts w:ascii="Times New Roman" w:hAnsi="Times New Roman" w:cs="Arial"/>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11336"/>
    <w:pPr>
      <w:spacing w:after="160" w:line="259" w:lineRule="auto"/>
    </w:pPr>
    <w:rPr>
      <w:rFonts w:ascii="Times New Roman" w:hAnsi="Times New Roman" w:cs="Arial"/>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11336"/>
    <w:pPr>
      <w:spacing w:after="160" w:line="259" w:lineRule="auto"/>
    </w:pPr>
    <w:rPr>
      <w:rFonts w:ascii="Times New Roman" w:hAnsi="Times New Roman" w:cs="Arial"/>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11336"/>
    <w:pPr>
      <w:spacing w:after="160" w:line="259" w:lineRule="auto"/>
    </w:pPr>
    <w:rPr>
      <w:rFonts w:ascii="Times New Roman" w:hAnsi="Times New Roman" w:cs="Arial"/>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11336"/>
    <w:pPr>
      <w:spacing w:after="160" w:line="259" w:lineRule="auto"/>
    </w:pPr>
    <w:rPr>
      <w:rFonts w:ascii="Times New Roman" w:hAnsi="Times New Roman" w:cs="Arial"/>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11336"/>
    <w:pPr>
      <w:spacing w:after="160" w:line="259" w:lineRule="auto"/>
    </w:pPr>
    <w:rPr>
      <w:rFonts w:ascii="Times New Roman" w:hAnsi="Times New Roman" w:cs="Arial"/>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11336"/>
    <w:pPr>
      <w:spacing w:after="160" w:line="259" w:lineRule="auto"/>
    </w:pPr>
    <w:rPr>
      <w:rFonts w:ascii="Times New Roman" w:hAnsi="Times New Roman" w:cs="Arial"/>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39"/>
    <w:semiHidden/>
    <w:rsid w:val="00411336"/>
    <w:pPr>
      <w:tabs>
        <w:tab w:val="left" w:pos="8640"/>
      </w:tabs>
      <w:spacing w:after="240"/>
      <w:ind w:left="202" w:hanging="202"/>
    </w:pPr>
    <w:rPr>
      <w:rFonts w:cs="Times New Roman"/>
      <w:szCs w:val="20"/>
    </w:rPr>
  </w:style>
  <w:style w:type="paragraph" w:styleId="TableofFigures">
    <w:name w:val="table of figures"/>
    <w:basedOn w:val="Normal"/>
    <w:next w:val="Normal"/>
    <w:uiPriority w:val="39"/>
    <w:semiHidden/>
    <w:rsid w:val="00411336"/>
    <w:pPr>
      <w:tabs>
        <w:tab w:val="right" w:leader="dot" w:pos="9360"/>
      </w:tabs>
      <w:ind w:left="475" w:firstLine="475"/>
    </w:pPr>
    <w:rPr>
      <w:rFonts w:cs="Times New Roman"/>
      <w:szCs w:val="20"/>
    </w:rPr>
  </w:style>
  <w:style w:type="table" w:styleId="TableProfessional">
    <w:name w:val="Table Professional"/>
    <w:basedOn w:val="TableNormal"/>
    <w:uiPriority w:val="99"/>
    <w:semiHidden/>
    <w:unhideWhenUsed/>
    <w:rsid w:val="00411336"/>
    <w:pPr>
      <w:spacing w:after="160" w:line="259" w:lineRule="auto"/>
    </w:pPr>
    <w:rPr>
      <w:rFonts w:ascii="Times New Roman" w:hAnsi="Times New Roman" w:cs="Arial"/>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11336"/>
    <w:pPr>
      <w:spacing w:after="160" w:line="259" w:lineRule="auto"/>
    </w:pPr>
    <w:rPr>
      <w:rFonts w:ascii="Times New Roman" w:hAnsi="Times New Roman" w:cs="Arial"/>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11336"/>
    <w:pPr>
      <w:spacing w:after="160" w:line="259" w:lineRule="auto"/>
    </w:pPr>
    <w:rPr>
      <w:rFonts w:ascii="Times New Roman" w:hAnsi="Times New Roman" w:cs="Arial"/>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11336"/>
    <w:pPr>
      <w:spacing w:after="160" w:line="259" w:lineRule="auto"/>
    </w:pPr>
    <w:rPr>
      <w:rFonts w:ascii="Times New Roman" w:hAnsi="Times New Roman" w:cs="Arial"/>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11336"/>
    <w:pPr>
      <w:spacing w:after="160" w:line="259" w:lineRule="auto"/>
    </w:pPr>
    <w:rPr>
      <w:rFonts w:ascii="Times New Roman" w:hAnsi="Times New Roman" w:cs="Arial"/>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11336"/>
    <w:pPr>
      <w:spacing w:after="160" w:line="259" w:lineRule="auto"/>
    </w:pPr>
    <w:rPr>
      <w:rFonts w:ascii="Times New Roman" w:hAnsi="Times New Roman" w:cs="Arial"/>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11336"/>
    <w:pPr>
      <w:spacing w:after="160" w:line="259" w:lineRule="auto"/>
    </w:pPr>
    <w:rPr>
      <w:rFonts w:ascii="Times New Roman" w:hAnsi="Times New Roman"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11336"/>
    <w:pPr>
      <w:spacing w:after="160" w:line="259" w:lineRule="auto"/>
    </w:pPr>
    <w:rPr>
      <w:rFonts w:ascii="Times New Roman" w:hAnsi="Times New Roman" w:cs="Arial"/>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11336"/>
    <w:pPr>
      <w:spacing w:after="160" w:line="259" w:lineRule="auto"/>
    </w:pPr>
    <w:rPr>
      <w:rFonts w:ascii="Times New Roman" w:hAnsi="Times New Roman" w:cs="Arial"/>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11336"/>
    <w:pPr>
      <w:spacing w:after="160" w:line="259" w:lineRule="auto"/>
    </w:pPr>
    <w:rPr>
      <w:rFonts w:ascii="Times New Roman" w:hAnsi="Times New Roman" w:cs="Arial"/>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39"/>
    <w:semiHidden/>
    <w:rsid w:val="00411336"/>
    <w:pPr>
      <w:spacing w:after="240"/>
    </w:pPr>
    <w:rPr>
      <w:rFonts w:cs="Times New Roman"/>
      <w:b/>
      <w:caps/>
      <w:szCs w:val="20"/>
    </w:rPr>
  </w:style>
  <w:style w:type="paragraph" w:styleId="TOC2">
    <w:name w:val="toc 2"/>
    <w:basedOn w:val="Normal"/>
    <w:uiPriority w:val="39"/>
    <w:semiHidden/>
    <w:rsid w:val="00411336"/>
    <w:pPr>
      <w:keepLines/>
      <w:widowControl w:val="0"/>
      <w:tabs>
        <w:tab w:val="right" w:leader="dot" w:pos="9000"/>
      </w:tabs>
      <w:spacing w:before="60" w:after="60"/>
      <w:ind w:left="1418" w:right="709" w:hanging="709"/>
    </w:pPr>
    <w:rPr>
      <w:rFonts w:cs="Times New Roman"/>
      <w:b/>
      <w:caps/>
      <w:szCs w:val="24"/>
    </w:rPr>
  </w:style>
  <w:style w:type="paragraph" w:styleId="TOC3">
    <w:name w:val="toc 3"/>
    <w:basedOn w:val="Normal"/>
    <w:uiPriority w:val="39"/>
    <w:semiHidden/>
    <w:unhideWhenUsed/>
    <w:rsid w:val="00411336"/>
    <w:pPr>
      <w:keepLines/>
      <w:widowControl w:val="0"/>
      <w:tabs>
        <w:tab w:val="right" w:leader="dot" w:pos="9000"/>
      </w:tabs>
      <w:ind w:left="2127" w:right="709" w:hanging="709"/>
    </w:pPr>
    <w:rPr>
      <w:rFonts w:cs="Times New Roman"/>
      <w:b/>
      <w:szCs w:val="20"/>
    </w:rPr>
  </w:style>
  <w:style w:type="paragraph" w:styleId="TOC4">
    <w:name w:val="toc 4"/>
    <w:basedOn w:val="Normal"/>
    <w:uiPriority w:val="39"/>
    <w:semiHidden/>
    <w:unhideWhenUsed/>
    <w:rsid w:val="00411336"/>
    <w:pPr>
      <w:keepLines/>
      <w:widowControl w:val="0"/>
      <w:tabs>
        <w:tab w:val="right" w:leader="dot" w:pos="9000"/>
      </w:tabs>
      <w:ind w:left="2835" w:right="709" w:hanging="709"/>
    </w:pPr>
    <w:rPr>
      <w:rFonts w:cs="Times New Roman"/>
      <w:szCs w:val="20"/>
    </w:rPr>
  </w:style>
  <w:style w:type="paragraph" w:styleId="TOC5">
    <w:name w:val="toc 5"/>
    <w:basedOn w:val="Normal"/>
    <w:uiPriority w:val="39"/>
    <w:semiHidden/>
    <w:unhideWhenUsed/>
    <w:rsid w:val="00411336"/>
    <w:pPr>
      <w:keepLines/>
      <w:widowControl w:val="0"/>
      <w:tabs>
        <w:tab w:val="right" w:leader="dot" w:pos="9000"/>
      </w:tabs>
      <w:ind w:left="3544" w:right="709" w:hanging="709"/>
    </w:pPr>
    <w:rPr>
      <w:rFonts w:cs="Times New Roman"/>
      <w:szCs w:val="20"/>
    </w:rPr>
  </w:style>
  <w:style w:type="paragraph" w:styleId="TOC6">
    <w:name w:val="toc 6"/>
    <w:basedOn w:val="Normal"/>
    <w:uiPriority w:val="39"/>
    <w:semiHidden/>
    <w:unhideWhenUsed/>
    <w:rsid w:val="00411336"/>
    <w:pPr>
      <w:keepLines/>
      <w:widowControl w:val="0"/>
      <w:tabs>
        <w:tab w:val="right" w:leader="dot" w:pos="9000"/>
      </w:tabs>
      <w:ind w:left="4253" w:right="709" w:hanging="709"/>
    </w:pPr>
    <w:rPr>
      <w:rFonts w:cs="Times New Roman"/>
      <w:szCs w:val="20"/>
    </w:rPr>
  </w:style>
  <w:style w:type="paragraph" w:styleId="TOC7">
    <w:name w:val="toc 7"/>
    <w:basedOn w:val="Normal"/>
    <w:uiPriority w:val="39"/>
    <w:semiHidden/>
    <w:unhideWhenUsed/>
    <w:rsid w:val="00411336"/>
    <w:pPr>
      <w:keepLines/>
      <w:widowControl w:val="0"/>
      <w:tabs>
        <w:tab w:val="right" w:leader="dot" w:pos="9000"/>
      </w:tabs>
      <w:ind w:left="4962" w:right="709" w:hanging="709"/>
    </w:pPr>
    <w:rPr>
      <w:rFonts w:cs="Times New Roman"/>
      <w:szCs w:val="20"/>
    </w:rPr>
  </w:style>
  <w:style w:type="paragraph" w:styleId="TOC8">
    <w:name w:val="toc 8"/>
    <w:basedOn w:val="Normal"/>
    <w:uiPriority w:val="39"/>
    <w:semiHidden/>
    <w:unhideWhenUsed/>
    <w:rsid w:val="00411336"/>
    <w:pPr>
      <w:keepLines/>
      <w:widowControl w:val="0"/>
      <w:tabs>
        <w:tab w:val="right" w:leader="dot" w:pos="9000"/>
      </w:tabs>
      <w:ind w:left="5670" w:right="709" w:hanging="709"/>
    </w:pPr>
    <w:rPr>
      <w:rFonts w:cs="Times New Roman"/>
      <w:szCs w:val="20"/>
    </w:rPr>
  </w:style>
  <w:style w:type="paragraph" w:styleId="TOC9">
    <w:name w:val="toc 9"/>
    <w:basedOn w:val="Normal"/>
    <w:uiPriority w:val="39"/>
    <w:semiHidden/>
    <w:unhideWhenUsed/>
    <w:rsid w:val="00411336"/>
    <w:pPr>
      <w:keepLines/>
      <w:widowControl w:val="0"/>
      <w:tabs>
        <w:tab w:val="right" w:leader="dot" w:pos="9000"/>
      </w:tabs>
      <w:ind w:left="6379" w:right="709" w:hanging="709"/>
    </w:pPr>
    <w:rPr>
      <w:rFonts w:cs="Times New Roman"/>
      <w:szCs w:val="20"/>
    </w:rPr>
  </w:style>
  <w:style w:type="paragraph" w:styleId="TOCHeading">
    <w:name w:val="TOC Heading"/>
    <w:basedOn w:val="Heading1"/>
    <w:next w:val="Normal"/>
    <w:uiPriority w:val="39"/>
    <w:semiHidden/>
    <w:unhideWhenUsed/>
    <w:rsid w:val="00411336"/>
    <w:pPr>
      <w:numPr>
        <w:numId w:val="0"/>
      </w:numPr>
      <w:outlineLvl w:val="9"/>
    </w:pPr>
    <w:rPr>
      <w:szCs w:val="22"/>
    </w:rPr>
  </w:style>
  <w:style w:type="paragraph" w:customStyle="1" w:styleId="BodyTextContinued">
    <w:name w:val="Body Text Continued"/>
    <w:basedOn w:val="Normal"/>
    <w:next w:val="BodyText1"/>
    <w:uiPriority w:val="2"/>
    <w:semiHidden/>
    <w:rsid w:val="00411336"/>
    <w:pPr>
      <w:spacing w:after="220"/>
      <w:jc w:val="both"/>
    </w:pPr>
    <w:rPr>
      <w:rFonts w:cs="Times New Roman"/>
      <w:szCs w:val="24"/>
    </w:rPr>
  </w:style>
  <w:style w:type="paragraph" w:customStyle="1" w:styleId="BodyText1">
    <w:name w:val="BodyText 1"/>
    <w:basedOn w:val="Normal"/>
    <w:uiPriority w:val="1"/>
    <w:qFormat/>
    <w:rsid w:val="00411336"/>
    <w:pPr>
      <w:spacing w:after="220"/>
      <w:jc w:val="both"/>
    </w:pPr>
    <w:rPr>
      <w:rFonts w:cs="Times New Roman"/>
      <w:szCs w:val="24"/>
    </w:rPr>
  </w:style>
  <w:style w:type="paragraph" w:customStyle="1" w:styleId="BodyText20">
    <w:name w:val="BodyText 2"/>
    <w:basedOn w:val="Normal"/>
    <w:uiPriority w:val="1"/>
    <w:qFormat/>
    <w:rsid w:val="00411336"/>
    <w:pPr>
      <w:spacing w:after="220"/>
      <w:ind w:left="706"/>
      <w:jc w:val="both"/>
    </w:pPr>
    <w:rPr>
      <w:rFonts w:eastAsia="Calibri" w:cs="Times New Roman"/>
      <w:szCs w:val="20"/>
    </w:rPr>
  </w:style>
  <w:style w:type="paragraph" w:customStyle="1" w:styleId="BodyText30">
    <w:name w:val="BodyText 3"/>
    <w:basedOn w:val="Normal"/>
    <w:uiPriority w:val="1"/>
    <w:qFormat/>
    <w:rsid w:val="00411336"/>
    <w:pPr>
      <w:spacing w:after="220"/>
      <w:ind w:left="1418"/>
      <w:jc w:val="both"/>
    </w:pPr>
    <w:rPr>
      <w:rFonts w:eastAsia="Calibri" w:cs="Times New Roman"/>
      <w:szCs w:val="20"/>
    </w:rPr>
  </w:style>
  <w:style w:type="paragraph" w:customStyle="1" w:styleId="BodyText4">
    <w:name w:val="BodyText 4"/>
    <w:basedOn w:val="Normal"/>
    <w:uiPriority w:val="1"/>
    <w:rsid w:val="00411336"/>
    <w:pPr>
      <w:spacing w:after="220"/>
      <w:ind w:left="2126"/>
      <w:jc w:val="both"/>
    </w:pPr>
    <w:rPr>
      <w:rFonts w:eastAsia="MS Mincho" w:cs="Times New Roman"/>
      <w:szCs w:val="20"/>
    </w:rPr>
  </w:style>
  <w:style w:type="paragraph" w:customStyle="1" w:styleId="BodyText5">
    <w:name w:val="BodyText 5"/>
    <w:basedOn w:val="Normal"/>
    <w:uiPriority w:val="1"/>
    <w:rsid w:val="00411336"/>
    <w:pPr>
      <w:spacing w:after="220"/>
      <w:ind w:left="2835"/>
      <w:jc w:val="both"/>
    </w:pPr>
    <w:rPr>
      <w:rFonts w:eastAsia="MS Mincho" w:cs="Times New Roman"/>
      <w:szCs w:val="20"/>
    </w:rPr>
  </w:style>
  <w:style w:type="paragraph" w:customStyle="1" w:styleId="BodyText6">
    <w:name w:val="BodyText 6"/>
    <w:basedOn w:val="Normal"/>
    <w:uiPriority w:val="1"/>
    <w:semiHidden/>
    <w:unhideWhenUsed/>
    <w:rsid w:val="00411336"/>
    <w:pPr>
      <w:spacing w:after="220"/>
      <w:ind w:left="3544"/>
      <w:jc w:val="both"/>
    </w:pPr>
    <w:rPr>
      <w:rFonts w:cs="Times New Roman"/>
      <w:szCs w:val="20"/>
    </w:rPr>
  </w:style>
  <w:style w:type="paragraph" w:customStyle="1" w:styleId="BodyText7">
    <w:name w:val="BodyText 7"/>
    <w:basedOn w:val="Normal"/>
    <w:uiPriority w:val="1"/>
    <w:semiHidden/>
    <w:unhideWhenUsed/>
    <w:rsid w:val="00411336"/>
    <w:pPr>
      <w:spacing w:after="220"/>
      <w:ind w:left="4253"/>
      <w:jc w:val="both"/>
    </w:pPr>
    <w:rPr>
      <w:rFonts w:cs="Times New Roman"/>
      <w:szCs w:val="20"/>
    </w:rPr>
  </w:style>
  <w:style w:type="paragraph" w:customStyle="1" w:styleId="Centered">
    <w:name w:val="Centered"/>
    <w:basedOn w:val="Normal"/>
    <w:next w:val="BodyText1"/>
    <w:qFormat/>
    <w:rsid w:val="00411336"/>
    <w:pPr>
      <w:spacing w:after="220"/>
      <w:jc w:val="center"/>
    </w:pPr>
    <w:rPr>
      <w:rFonts w:cs="Times New Roman"/>
      <w:b/>
      <w:szCs w:val="20"/>
    </w:rPr>
  </w:style>
  <w:style w:type="paragraph" w:customStyle="1" w:styleId="Definition7">
    <w:name w:val="Definition 7"/>
    <w:basedOn w:val="Normal"/>
    <w:uiPriority w:val="3"/>
    <w:semiHidden/>
    <w:unhideWhenUsed/>
    <w:rsid w:val="00411336"/>
    <w:pPr>
      <w:numPr>
        <w:ilvl w:val="6"/>
        <w:numId w:val="38"/>
      </w:numPr>
      <w:spacing w:after="220"/>
      <w:jc w:val="both"/>
    </w:pPr>
    <w:rPr>
      <w:rFonts w:cs="Times New Roman"/>
      <w:szCs w:val="20"/>
    </w:rPr>
  </w:style>
  <w:style w:type="paragraph" w:customStyle="1" w:styleId="Definition8">
    <w:name w:val="Definition 8"/>
    <w:basedOn w:val="Normal"/>
    <w:uiPriority w:val="3"/>
    <w:semiHidden/>
    <w:unhideWhenUsed/>
    <w:rsid w:val="00411336"/>
    <w:pPr>
      <w:numPr>
        <w:ilvl w:val="7"/>
        <w:numId w:val="38"/>
      </w:numPr>
      <w:spacing w:after="220"/>
      <w:jc w:val="both"/>
    </w:pPr>
    <w:rPr>
      <w:rFonts w:cs="Times New Roman"/>
      <w:szCs w:val="20"/>
    </w:rPr>
  </w:style>
  <w:style w:type="paragraph" w:customStyle="1" w:styleId="Definition9">
    <w:name w:val="Definition 9"/>
    <w:basedOn w:val="Normal"/>
    <w:uiPriority w:val="3"/>
    <w:semiHidden/>
    <w:unhideWhenUsed/>
    <w:rsid w:val="00411336"/>
    <w:pPr>
      <w:numPr>
        <w:ilvl w:val="8"/>
        <w:numId w:val="38"/>
      </w:numPr>
      <w:spacing w:after="220"/>
      <w:jc w:val="both"/>
    </w:pPr>
    <w:rPr>
      <w:rFonts w:cs="Times New Roman"/>
      <w:szCs w:val="20"/>
    </w:rPr>
  </w:style>
  <w:style w:type="paragraph" w:customStyle="1" w:styleId="Recitals">
    <w:name w:val="Recitals"/>
    <w:basedOn w:val="Normal"/>
    <w:uiPriority w:val="2"/>
    <w:qFormat/>
    <w:rsid w:val="00411336"/>
    <w:pPr>
      <w:numPr>
        <w:numId w:val="41"/>
      </w:numPr>
      <w:spacing w:after="220"/>
      <w:jc w:val="both"/>
    </w:pPr>
    <w:rPr>
      <w:rFonts w:cs="Times New Roman"/>
      <w:szCs w:val="20"/>
    </w:rPr>
  </w:style>
  <w:style w:type="paragraph" w:customStyle="1" w:styleId="Schedule2">
    <w:name w:val="Schedule 2"/>
    <w:basedOn w:val="Normal"/>
    <w:uiPriority w:val="19"/>
    <w:qFormat/>
    <w:rsid w:val="00411336"/>
    <w:pPr>
      <w:numPr>
        <w:ilvl w:val="2"/>
        <w:numId w:val="42"/>
      </w:numPr>
      <w:spacing w:after="220"/>
      <w:jc w:val="both"/>
    </w:pPr>
    <w:rPr>
      <w:rFonts w:cs="Times New Roman"/>
      <w:szCs w:val="20"/>
    </w:rPr>
  </w:style>
  <w:style w:type="paragraph" w:customStyle="1" w:styleId="Schedule3">
    <w:name w:val="Schedule 3"/>
    <w:basedOn w:val="Normal"/>
    <w:uiPriority w:val="19"/>
    <w:qFormat/>
    <w:rsid w:val="00411336"/>
    <w:pPr>
      <w:numPr>
        <w:ilvl w:val="3"/>
        <w:numId w:val="42"/>
      </w:numPr>
      <w:spacing w:after="220"/>
      <w:jc w:val="both"/>
    </w:pPr>
    <w:rPr>
      <w:rFonts w:cs="Times New Roman"/>
      <w:szCs w:val="20"/>
    </w:rPr>
  </w:style>
  <w:style w:type="paragraph" w:customStyle="1" w:styleId="Schedule4">
    <w:name w:val="Schedule 4"/>
    <w:basedOn w:val="Normal"/>
    <w:uiPriority w:val="19"/>
    <w:qFormat/>
    <w:rsid w:val="00411336"/>
    <w:pPr>
      <w:numPr>
        <w:ilvl w:val="4"/>
        <w:numId w:val="42"/>
      </w:numPr>
      <w:spacing w:after="220"/>
      <w:jc w:val="both"/>
    </w:pPr>
    <w:rPr>
      <w:rFonts w:cs="Times New Roman"/>
      <w:szCs w:val="20"/>
    </w:rPr>
  </w:style>
  <w:style w:type="paragraph" w:customStyle="1" w:styleId="Schedule5">
    <w:name w:val="Schedule 5"/>
    <w:basedOn w:val="Normal"/>
    <w:uiPriority w:val="19"/>
    <w:rsid w:val="00411336"/>
    <w:pPr>
      <w:numPr>
        <w:ilvl w:val="5"/>
        <w:numId w:val="42"/>
      </w:numPr>
      <w:spacing w:after="220"/>
      <w:jc w:val="both"/>
    </w:pPr>
    <w:rPr>
      <w:rFonts w:cs="Times New Roman"/>
      <w:szCs w:val="20"/>
    </w:rPr>
  </w:style>
  <w:style w:type="paragraph" w:customStyle="1" w:styleId="Schedule6">
    <w:name w:val="Schedule 6"/>
    <w:basedOn w:val="Normal"/>
    <w:uiPriority w:val="19"/>
    <w:semiHidden/>
    <w:unhideWhenUsed/>
    <w:rsid w:val="00411336"/>
    <w:pPr>
      <w:numPr>
        <w:ilvl w:val="6"/>
        <w:numId w:val="42"/>
      </w:numPr>
      <w:spacing w:after="220"/>
      <w:jc w:val="both"/>
    </w:pPr>
    <w:rPr>
      <w:rFonts w:cs="Times New Roman"/>
      <w:szCs w:val="20"/>
    </w:rPr>
  </w:style>
  <w:style w:type="paragraph" w:customStyle="1" w:styleId="Schedule7">
    <w:name w:val="Schedule 7"/>
    <w:basedOn w:val="Normal"/>
    <w:uiPriority w:val="19"/>
    <w:semiHidden/>
    <w:unhideWhenUsed/>
    <w:rsid w:val="00411336"/>
    <w:pPr>
      <w:numPr>
        <w:ilvl w:val="7"/>
        <w:numId w:val="42"/>
      </w:numPr>
      <w:spacing w:after="220"/>
      <w:jc w:val="both"/>
    </w:pPr>
    <w:rPr>
      <w:rFonts w:cs="Times New Roman"/>
      <w:szCs w:val="20"/>
    </w:rPr>
  </w:style>
  <w:style w:type="paragraph" w:customStyle="1" w:styleId="Schedule8">
    <w:name w:val="Schedule 8"/>
    <w:basedOn w:val="Normal"/>
    <w:uiPriority w:val="19"/>
    <w:semiHidden/>
    <w:unhideWhenUsed/>
    <w:rsid w:val="00411336"/>
    <w:pPr>
      <w:numPr>
        <w:ilvl w:val="8"/>
        <w:numId w:val="42"/>
      </w:numPr>
      <w:spacing w:after="220"/>
      <w:jc w:val="both"/>
    </w:pPr>
    <w:rPr>
      <w:rFonts w:cs="Times New Roman"/>
      <w:szCs w:val="20"/>
    </w:rPr>
  </w:style>
  <w:style w:type="paragraph" w:customStyle="1" w:styleId="Schedule">
    <w:name w:val="Schedule #"/>
    <w:basedOn w:val="Normal"/>
    <w:next w:val="ScheduleTitle"/>
    <w:uiPriority w:val="16"/>
    <w:qFormat/>
    <w:rsid w:val="00411336"/>
    <w:pPr>
      <w:pageBreakBefore/>
      <w:numPr>
        <w:numId w:val="44"/>
      </w:numPr>
      <w:spacing w:after="220"/>
      <w:jc w:val="center"/>
      <w:outlineLvl w:val="0"/>
    </w:pPr>
    <w:rPr>
      <w:rFonts w:cs="Times New Roman"/>
      <w:szCs w:val="20"/>
    </w:rPr>
  </w:style>
  <w:style w:type="paragraph" w:customStyle="1" w:styleId="Num1">
    <w:name w:val="Num 1"/>
    <w:basedOn w:val="Normal"/>
    <w:next w:val="BodyText1"/>
    <w:uiPriority w:val="20"/>
    <w:qFormat/>
    <w:rsid w:val="00411336"/>
    <w:pPr>
      <w:numPr>
        <w:numId w:val="43"/>
      </w:numPr>
      <w:spacing w:after="220"/>
      <w:jc w:val="both"/>
    </w:pPr>
    <w:rPr>
      <w:rFonts w:cs="Times New Roman"/>
      <w:szCs w:val="20"/>
    </w:rPr>
  </w:style>
  <w:style w:type="paragraph" w:customStyle="1" w:styleId="Num2">
    <w:name w:val="Num 2"/>
    <w:basedOn w:val="Normal"/>
    <w:next w:val="BodyText20"/>
    <w:uiPriority w:val="20"/>
    <w:qFormat/>
    <w:rsid w:val="00411336"/>
    <w:pPr>
      <w:numPr>
        <w:ilvl w:val="1"/>
        <w:numId w:val="43"/>
      </w:numPr>
      <w:spacing w:after="220"/>
      <w:jc w:val="both"/>
    </w:pPr>
    <w:rPr>
      <w:rFonts w:cs="Times New Roman"/>
      <w:szCs w:val="20"/>
    </w:rPr>
  </w:style>
  <w:style w:type="paragraph" w:customStyle="1" w:styleId="Num3">
    <w:name w:val="Num 3"/>
    <w:basedOn w:val="Normal"/>
    <w:next w:val="BodyText30"/>
    <w:uiPriority w:val="20"/>
    <w:qFormat/>
    <w:rsid w:val="00411336"/>
    <w:pPr>
      <w:numPr>
        <w:ilvl w:val="2"/>
        <w:numId w:val="43"/>
      </w:numPr>
      <w:spacing w:after="220"/>
      <w:jc w:val="both"/>
    </w:pPr>
    <w:rPr>
      <w:rFonts w:cs="Times New Roman"/>
      <w:szCs w:val="20"/>
    </w:rPr>
  </w:style>
  <w:style w:type="paragraph" w:customStyle="1" w:styleId="Num4">
    <w:name w:val="Num 4"/>
    <w:basedOn w:val="Normal"/>
    <w:next w:val="BodyText4"/>
    <w:uiPriority w:val="20"/>
    <w:semiHidden/>
    <w:unhideWhenUsed/>
    <w:rsid w:val="00411336"/>
    <w:pPr>
      <w:numPr>
        <w:ilvl w:val="3"/>
        <w:numId w:val="43"/>
      </w:numPr>
      <w:spacing w:after="220"/>
      <w:ind w:left="2835"/>
      <w:jc w:val="both"/>
    </w:pPr>
    <w:rPr>
      <w:rFonts w:cs="Times New Roman"/>
      <w:szCs w:val="20"/>
    </w:rPr>
  </w:style>
  <w:style w:type="paragraph" w:customStyle="1" w:styleId="Num5">
    <w:name w:val="Num 5"/>
    <w:basedOn w:val="Normal"/>
    <w:next w:val="BodyText5"/>
    <w:uiPriority w:val="20"/>
    <w:semiHidden/>
    <w:unhideWhenUsed/>
    <w:rsid w:val="00411336"/>
    <w:pPr>
      <w:numPr>
        <w:ilvl w:val="4"/>
        <w:numId w:val="43"/>
      </w:numPr>
      <w:spacing w:after="220"/>
      <w:ind w:left="3544"/>
      <w:jc w:val="both"/>
    </w:pPr>
    <w:rPr>
      <w:rFonts w:cs="Times New Roman"/>
      <w:szCs w:val="20"/>
    </w:rPr>
  </w:style>
  <w:style w:type="paragraph" w:customStyle="1" w:styleId="Num6">
    <w:name w:val="Num 6"/>
    <w:basedOn w:val="Normal"/>
    <w:next w:val="BodyText6"/>
    <w:uiPriority w:val="20"/>
    <w:semiHidden/>
    <w:unhideWhenUsed/>
    <w:rsid w:val="00411336"/>
    <w:pPr>
      <w:numPr>
        <w:ilvl w:val="5"/>
        <w:numId w:val="43"/>
      </w:numPr>
      <w:spacing w:after="220"/>
      <w:ind w:left="4253"/>
      <w:jc w:val="both"/>
    </w:pPr>
    <w:rPr>
      <w:rFonts w:cs="Times New Roman"/>
      <w:szCs w:val="20"/>
    </w:rPr>
  </w:style>
  <w:style w:type="paragraph" w:customStyle="1" w:styleId="Num7">
    <w:name w:val="Num 7"/>
    <w:basedOn w:val="Normal"/>
    <w:next w:val="BodyText7"/>
    <w:uiPriority w:val="20"/>
    <w:semiHidden/>
    <w:unhideWhenUsed/>
    <w:rsid w:val="00411336"/>
    <w:pPr>
      <w:numPr>
        <w:ilvl w:val="6"/>
        <w:numId w:val="43"/>
      </w:numPr>
      <w:spacing w:after="220"/>
      <w:ind w:left="4962"/>
      <w:jc w:val="both"/>
    </w:pPr>
    <w:rPr>
      <w:rFonts w:cs="Times New Roman"/>
      <w:szCs w:val="20"/>
    </w:rPr>
  </w:style>
  <w:style w:type="paragraph" w:customStyle="1" w:styleId="Num8">
    <w:name w:val="Num 8"/>
    <w:basedOn w:val="Normal"/>
    <w:next w:val="Normal"/>
    <w:uiPriority w:val="20"/>
    <w:semiHidden/>
    <w:unhideWhenUsed/>
    <w:rsid w:val="00411336"/>
    <w:pPr>
      <w:numPr>
        <w:ilvl w:val="7"/>
        <w:numId w:val="43"/>
      </w:numPr>
      <w:spacing w:after="220"/>
      <w:ind w:left="5670"/>
      <w:jc w:val="both"/>
    </w:pPr>
    <w:rPr>
      <w:rFonts w:cs="Times New Roman"/>
      <w:szCs w:val="20"/>
    </w:rPr>
  </w:style>
  <w:style w:type="paragraph" w:customStyle="1" w:styleId="Num9">
    <w:name w:val="Num 9"/>
    <w:basedOn w:val="Normal"/>
    <w:next w:val="Normal"/>
    <w:uiPriority w:val="20"/>
    <w:semiHidden/>
    <w:unhideWhenUsed/>
    <w:rsid w:val="00411336"/>
    <w:pPr>
      <w:numPr>
        <w:ilvl w:val="8"/>
        <w:numId w:val="43"/>
      </w:numPr>
      <w:spacing w:after="220"/>
      <w:ind w:left="6379"/>
      <w:jc w:val="both"/>
    </w:pPr>
    <w:rPr>
      <w:rFonts w:cs="Times New Roman"/>
      <w:szCs w:val="20"/>
    </w:rPr>
  </w:style>
  <w:style w:type="paragraph" w:customStyle="1" w:styleId="SchedulePart">
    <w:name w:val="Schedule Part"/>
    <w:basedOn w:val="Schedule"/>
    <w:next w:val="Schedule1"/>
    <w:uiPriority w:val="18"/>
    <w:qFormat/>
    <w:rsid w:val="00411336"/>
    <w:pPr>
      <w:pageBreakBefore w:val="0"/>
      <w:numPr>
        <w:ilvl w:val="1"/>
      </w:numPr>
      <w:outlineLvl w:val="9"/>
    </w:pPr>
    <w:rPr>
      <w:b/>
    </w:rPr>
  </w:style>
  <w:style w:type="paragraph" w:customStyle="1" w:styleId="Schedule1">
    <w:name w:val="Schedule 1"/>
    <w:basedOn w:val="Normal"/>
    <w:next w:val="Schedule2"/>
    <w:uiPriority w:val="19"/>
    <w:rsid w:val="00411336"/>
    <w:pPr>
      <w:keepLines/>
      <w:numPr>
        <w:ilvl w:val="1"/>
        <w:numId w:val="42"/>
      </w:numPr>
      <w:spacing w:after="220"/>
      <w:ind w:left="706" w:hanging="706"/>
      <w:jc w:val="both"/>
    </w:pPr>
    <w:rPr>
      <w:b/>
      <w:caps/>
    </w:rPr>
  </w:style>
  <w:style w:type="paragraph" w:customStyle="1" w:styleId="Exhibit">
    <w:name w:val="Exhibit #"/>
    <w:basedOn w:val="Normal"/>
    <w:next w:val="ScheduleTitle"/>
    <w:uiPriority w:val="20"/>
    <w:qFormat/>
    <w:rsid w:val="00411336"/>
    <w:pPr>
      <w:pageBreakBefore/>
      <w:numPr>
        <w:numId w:val="45"/>
      </w:numPr>
      <w:spacing w:after="220"/>
      <w:jc w:val="center"/>
      <w:outlineLvl w:val="0"/>
    </w:pPr>
    <w:rPr>
      <w:rFonts w:cs="Times New Roman"/>
      <w:szCs w:val="20"/>
    </w:rPr>
  </w:style>
  <w:style w:type="character" w:styleId="UnresolvedMention">
    <w:name w:val="Unresolved Mention"/>
    <w:uiPriority w:val="99"/>
    <w:semiHidden/>
    <w:unhideWhenUsed/>
    <w:rsid w:val="006D5358"/>
    <w:rPr>
      <w:rFonts w:ascii="Arial" w:eastAsia="Arial" w:hAnsi="Arial" w:cs="Arial"/>
      <w:color w:val="000000"/>
      <w:shd w:val="clear" w:color="auto" w:fill="E6E6E6"/>
    </w:rPr>
  </w:style>
  <w:style w:type="paragraph" w:customStyle="1" w:styleId="Pa23">
    <w:name w:val="Pa23"/>
    <w:basedOn w:val="Normal"/>
    <w:next w:val="Normal"/>
    <w:uiPriority w:val="99"/>
    <w:rsid w:val="00195122"/>
    <w:pPr>
      <w:autoSpaceDE w:val="0"/>
      <w:autoSpaceDN w:val="0"/>
      <w:adjustRightInd w:val="0"/>
      <w:spacing w:after="0" w:line="161" w:lineRule="atLeast"/>
    </w:pPr>
    <w:rPr>
      <w:rFonts w:ascii="FS Me" w:hAnsi="FS Me"/>
      <w:sz w:val="24"/>
      <w:szCs w:val="24"/>
    </w:rPr>
  </w:style>
  <w:style w:type="paragraph" w:customStyle="1" w:styleId="Default">
    <w:name w:val="Default"/>
    <w:rsid w:val="00783158"/>
    <w:pPr>
      <w:autoSpaceDE w:val="0"/>
      <w:autoSpaceDN w:val="0"/>
      <w:adjustRightInd w:val="0"/>
    </w:pPr>
    <w:rPr>
      <w:rFonts w:ascii="FS Me" w:eastAsiaTheme="minorHAnsi" w:hAnsi="FS Me" w:cs="FS Me"/>
      <w:color w:val="000000"/>
      <w:sz w:val="24"/>
      <w:szCs w:val="24"/>
      <w:lang w:val="en-GB"/>
    </w:rPr>
  </w:style>
  <w:style w:type="numbering" w:customStyle="1" w:styleId="Deloittemultiilist">
    <w:name w:val="Deloitte multii list"/>
    <w:uiPriority w:val="99"/>
    <w:rsid w:val="005D0102"/>
    <w:pPr>
      <w:numPr>
        <w:numId w:val="48"/>
      </w:numPr>
    </w:pPr>
  </w:style>
  <w:style w:type="paragraph" w:customStyle="1" w:styleId="Level2">
    <w:name w:val="Level 2"/>
    <w:basedOn w:val="Heading2"/>
    <w:uiPriority w:val="6"/>
    <w:qFormat/>
    <w:rsid w:val="005D0102"/>
    <w:pPr>
      <w:keepNext w:val="0"/>
      <w:keepLines w:val="0"/>
      <w:spacing w:before="0" w:after="240" w:line="280" w:lineRule="atLeast"/>
      <w:ind w:left="1152" w:hanging="576"/>
      <w:jc w:val="both"/>
      <w:outlineLvl w:val="9"/>
    </w:pPr>
    <w:rPr>
      <w:rFonts w:ascii="Arial" w:hAnsi="Arial" w:cs="Times New Roman"/>
      <w:b w:val="0"/>
      <w:sz w:val="20"/>
      <w:lang w:bidi="en-US"/>
    </w:rPr>
  </w:style>
  <w:style w:type="paragraph" w:customStyle="1" w:styleId="Level3">
    <w:name w:val="Level 3"/>
    <w:basedOn w:val="Heading3"/>
    <w:uiPriority w:val="7"/>
    <w:qFormat/>
    <w:rsid w:val="005D0102"/>
    <w:pPr>
      <w:keepNext w:val="0"/>
      <w:keepLines w:val="0"/>
      <w:spacing w:before="0" w:after="240" w:line="280" w:lineRule="atLeast"/>
      <w:ind w:left="1872" w:hanging="720"/>
      <w:jc w:val="both"/>
      <w:outlineLvl w:val="9"/>
    </w:pPr>
    <w:rPr>
      <w:rFonts w:ascii="Arial" w:hAnsi="Arial" w:cs="Times New Roman"/>
      <w:b w:val="0"/>
      <w:bCs w:val="0"/>
      <w:color w:val="000000" w:themeColor="text1"/>
      <w:sz w:val="20"/>
      <w:szCs w:val="20"/>
      <w:lang w:bidi="en-US"/>
    </w:rPr>
  </w:style>
  <w:style w:type="paragraph" w:customStyle="1" w:styleId="Body3">
    <w:name w:val="Body 3"/>
    <w:basedOn w:val="Normal"/>
    <w:uiPriority w:val="8"/>
    <w:qFormat/>
    <w:rsid w:val="00DB21F2"/>
    <w:pPr>
      <w:spacing w:after="240" w:line="280" w:lineRule="atLeast"/>
      <w:ind w:left="1134"/>
      <w:jc w:val="both"/>
    </w:pPr>
    <w:rPr>
      <w:rFonts w:ascii="Arial" w:eastAsia="Times New Roman" w:hAnsi="Arial" w:cs="Times New Roman"/>
      <w:sz w:val="20"/>
      <w:szCs w:val="20"/>
      <w:lang w:bidi="en-US"/>
    </w:rPr>
  </w:style>
  <w:style w:type="paragraph" w:customStyle="1" w:styleId="CoverPageTitle">
    <w:name w:val="Cover Page Title"/>
    <w:aliases w:val="CP-H1-TC"/>
    <w:next w:val="Normal"/>
    <w:qFormat/>
    <w:rsid w:val="00ED5139"/>
    <w:pPr>
      <w:suppressAutoHyphens/>
      <w:spacing w:after="360" w:line="293" w:lineRule="auto"/>
      <w:jc w:val="center"/>
    </w:pPr>
    <w:rPr>
      <w:rFonts w:ascii="Arial" w:hAnsi="Arial" w:cs="Arial"/>
      <w:b/>
      <w:bCs/>
      <w:caps/>
      <w:sz w:val="32"/>
      <w:lang w:val="en-GB" w:bidi="en-US"/>
    </w:rPr>
  </w:style>
  <w:style w:type="paragraph" w:customStyle="1" w:styleId="CP-Table-TC">
    <w:name w:val="CP-Table-TC"/>
    <w:aliases w:val="Cover Page Table,Table-TC"/>
    <w:next w:val="Normal"/>
    <w:qFormat/>
    <w:rsid w:val="00ED5139"/>
    <w:pPr>
      <w:suppressAutoHyphens/>
      <w:spacing w:line="276" w:lineRule="auto"/>
      <w:ind w:left="567" w:hanging="567"/>
    </w:pPr>
    <w:rPr>
      <w:rFonts w:asciiTheme="minorHAnsi" w:hAnsiTheme="minorHAnsi" w:cstheme="minorHAnsi"/>
      <w:bCs/>
      <w:caps/>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30841">
      <w:bodyDiv w:val="1"/>
      <w:marLeft w:val="0"/>
      <w:marRight w:val="0"/>
      <w:marTop w:val="0"/>
      <w:marBottom w:val="0"/>
      <w:divBdr>
        <w:top w:val="none" w:sz="0" w:space="0" w:color="auto"/>
        <w:left w:val="none" w:sz="0" w:space="0" w:color="auto"/>
        <w:bottom w:val="none" w:sz="0" w:space="0" w:color="auto"/>
        <w:right w:val="none" w:sz="0" w:space="0" w:color="auto"/>
      </w:divBdr>
    </w:div>
    <w:div w:id="214705050">
      <w:bodyDiv w:val="1"/>
      <w:marLeft w:val="0"/>
      <w:marRight w:val="0"/>
      <w:marTop w:val="0"/>
      <w:marBottom w:val="0"/>
      <w:divBdr>
        <w:top w:val="none" w:sz="0" w:space="0" w:color="auto"/>
        <w:left w:val="none" w:sz="0" w:space="0" w:color="auto"/>
        <w:bottom w:val="none" w:sz="0" w:space="0" w:color="auto"/>
        <w:right w:val="none" w:sz="0" w:space="0" w:color="auto"/>
      </w:divBdr>
    </w:div>
    <w:div w:id="255478166">
      <w:bodyDiv w:val="1"/>
      <w:marLeft w:val="0"/>
      <w:marRight w:val="0"/>
      <w:marTop w:val="0"/>
      <w:marBottom w:val="0"/>
      <w:divBdr>
        <w:top w:val="none" w:sz="0" w:space="0" w:color="auto"/>
        <w:left w:val="none" w:sz="0" w:space="0" w:color="auto"/>
        <w:bottom w:val="none" w:sz="0" w:space="0" w:color="auto"/>
        <w:right w:val="none" w:sz="0" w:space="0" w:color="auto"/>
      </w:divBdr>
      <w:divsChild>
        <w:div w:id="15036450">
          <w:marLeft w:val="0"/>
          <w:marRight w:val="0"/>
          <w:marTop w:val="0"/>
          <w:marBottom w:val="0"/>
          <w:divBdr>
            <w:top w:val="none" w:sz="0" w:space="0" w:color="auto"/>
            <w:left w:val="none" w:sz="0" w:space="0" w:color="auto"/>
            <w:bottom w:val="none" w:sz="0" w:space="0" w:color="auto"/>
            <w:right w:val="none" w:sz="0" w:space="0" w:color="auto"/>
          </w:divBdr>
          <w:divsChild>
            <w:div w:id="693458586">
              <w:marLeft w:val="0"/>
              <w:marRight w:val="0"/>
              <w:marTop w:val="0"/>
              <w:marBottom w:val="0"/>
              <w:divBdr>
                <w:top w:val="none" w:sz="0" w:space="0" w:color="auto"/>
                <w:left w:val="none" w:sz="0" w:space="0" w:color="auto"/>
                <w:bottom w:val="none" w:sz="0" w:space="0" w:color="auto"/>
                <w:right w:val="none" w:sz="0" w:space="0" w:color="auto"/>
              </w:divBdr>
            </w:div>
          </w:divsChild>
        </w:div>
        <w:div w:id="1119301996">
          <w:blockQuote w:val="1"/>
          <w:marLeft w:val="0"/>
          <w:marRight w:val="0"/>
          <w:marTop w:val="0"/>
          <w:marBottom w:val="0"/>
          <w:divBdr>
            <w:top w:val="none" w:sz="0" w:space="0" w:color="auto"/>
            <w:left w:val="none" w:sz="0" w:space="0" w:color="auto"/>
            <w:bottom w:val="none" w:sz="0" w:space="0" w:color="auto"/>
            <w:right w:val="none" w:sz="0" w:space="0" w:color="auto"/>
          </w:divBdr>
          <w:divsChild>
            <w:div w:id="250429967">
              <w:marLeft w:val="0"/>
              <w:marRight w:val="0"/>
              <w:marTop w:val="0"/>
              <w:marBottom w:val="0"/>
              <w:divBdr>
                <w:top w:val="none" w:sz="0" w:space="0" w:color="auto"/>
                <w:left w:val="none" w:sz="0" w:space="0" w:color="auto"/>
                <w:bottom w:val="none" w:sz="0" w:space="0" w:color="auto"/>
                <w:right w:val="none" w:sz="0" w:space="0" w:color="auto"/>
              </w:divBdr>
              <w:divsChild>
                <w:div w:id="939339232">
                  <w:marLeft w:val="0"/>
                  <w:marRight w:val="0"/>
                  <w:marTop w:val="0"/>
                  <w:marBottom w:val="0"/>
                  <w:divBdr>
                    <w:top w:val="none" w:sz="0" w:space="0" w:color="auto"/>
                    <w:left w:val="none" w:sz="0" w:space="0" w:color="auto"/>
                    <w:bottom w:val="none" w:sz="0" w:space="0" w:color="auto"/>
                    <w:right w:val="none" w:sz="0" w:space="0" w:color="auto"/>
                  </w:divBdr>
                  <w:divsChild>
                    <w:div w:id="164688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261408">
      <w:bodyDiv w:val="1"/>
      <w:marLeft w:val="0"/>
      <w:marRight w:val="0"/>
      <w:marTop w:val="0"/>
      <w:marBottom w:val="0"/>
      <w:divBdr>
        <w:top w:val="none" w:sz="0" w:space="0" w:color="auto"/>
        <w:left w:val="none" w:sz="0" w:space="0" w:color="auto"/>
        <w:bottom w:val="none" w:sz="0" w:space="0" w:color="auto"/>
        <w:right w:val="none" w:sz="0" w:space="0" w:color="auto"/>
      </w:divBdr>
    </w:div>
    <w:div w:id="344209627">
      <w:bodyDiv w:val="1"/>
      <w:marLeft w:val="0"/>
      <w:marRight w:val="0"/>
      <w:marTop w:val="0"/>
      <w:marBottom w:val="0"/>
      <w:divBdr>
        <w:top w:val="none" w:sz="0" w:space="0" w:color="auto"/>
        <w:left w:val="none" w:sz="0" w:space="0" w:color="auto"/>
        <w:bottom w:val="none" w:sz="0" w:space="0" w:color="auto"/>
        <w:right w:val="none" w:sz="0" w:space="0" w:color="auto"/>
      </w:divBdr>
    </w:div>
    <w:div w:id="372852281">
      <w:bodyDiv w:val="1"/>
      <w:marLeft w:val="0"/>
      <w:marRight w:val="0"/>
      <w:marTop w:val="0"/>
      <w:marBottom w:val="0"/>
      <w:divBdr>
        <w:top w:val="none" w:sz="0" w:space="0" w:color="auto"/>
        <w:left w:val="none" w:sz="0" w:space="0" w:color="auto"/>
        <w:bottom w:val="none" w:sz="0" w:space="0" w:color="auto"/>
        <w:right w:val="none" w:sz="0" w:space="0" w:color="auto"/>
      </w:divBdr>
      <w:divsChild>
        <w:div w:id="629166575">
          <w:marLeft w:val="0"/>
          <w:marRight w:val="0"/>
          <w:marTop w:val="0"/>
          <w:marBottom w:val="0"/>
          <w:divBdr>
            <w:top w:val="none" w:sz="0" w:space="0" w:color="auto"/>
            <w:left w:val="none" w:sz="0" w:space="0" w:color="auto"/>
            <w:bottom w:val="none" w:sz="0" w:space="0" w:color="auto"/>
            <w:right w:val="none" w:sz="0" w:space="0" w:color="auto"/>
          </w:divBdr>
          <w:divsChild>
            <w:div w:id="1411393486">
              <w:marLeft w:val="0"/>
              <w:marRight w:val="0"/>
              <w:marTop w:val="0"/>
              <w:marBottom w:val="0"/>
              <w:divBdr>
                <w:top w:val="none" w:sz="0" w:space="0" w:color="auto"/>
                <w:left w:val="none" w:sz="0" w:space="0" w:color="auto"/>
                <w:bottom w:val="none" w:sz="0" w:space="0" w:color="auto"/>
                <w:right w:val="none" w:sz="0" w:space="0" w:color="auto"/>
              </w:divBdr>
            </w:div>
          </w:divsChild>
        </w:div>
        <w:div w:id="1339967827">
          <w:marLeft w:val="0"/>
          <w:marRight w:val="0"/>
          <w:marTop w:val="0"/>
          <w:marBottom w:val="0"/>
          <w:divBdr>
            <w:top w:val="none" w:sz="0" w:space="0" w:color="auto"/>
            <w:left w:val="none" w:sz="0" w:space="0" w:color="auto"/>
            <w:bottom w:val="none" w:sz="0" w:space="0" w:color="auto"/>
            <w:right w:val="none" w:sz="0" w:space="0" w:color="auto"/>
          </w:divBdr>
          <w:divsChild>
            <w:div w:id="1180972478">
              <w:marLeft w:val="0"/>
              <w:marRight w:val="0"/>
              <w:marTop w:val="0"/>
              <w:marBottom w:val="0"/>
              <w:divBdr>
                <w:top w:val="none" w:sz="0" w:space="0" w:color="auto"/>
                <w:left w:val="none" w:sz="0" w:space="0" w:color="auto"/>
                <w:bottom w:val="none" w:sz="0" w:space="0" w:color="auto"/>
                <w:right w:val="none" w:sz="0" w:space="0" w:color="auto"/>
              </w:divBdr>
              <w:divsChild>
                <w:div w:id="265771036">
                  <w:marLeft w:val="0"/>
                  <w:marRight w:val="0"/>
                  <w:marTop w:val="0"/>
                  <w:marBottom w:val="0"/>
                  <w:divBdr>
                    <w:top w:val="none" w:sz="0" w:space="0" w:color="auto"/>
                    <w:left w:val="none" w:sz="0" w:space="0" w:color="auto"/>
                    <w:bottom w:val="none" w:sz="0" w:space="0" w:color="auto"/>
                    <w:right w:val="none" w:sz="0" w:space="0" w:color="auto"/>
                  </w:divBdr>
                  <w:divsChild>
                    <w:div w:id="15939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342519">
              <w:marLeft w:val="0"/>
              <w:marRight w:val="0"/>
              <w:marTop w:val="0"/>
              <w:marBottom w:val="0"/>
              <w:divBdr>
                <w:top w:val="none" w:sz="0" w:space="0" w:color="auto"/>
                <w:left w:val="none" w:sz="0" w:space="0" w:color="auto"/>
                <w:bottom w:val="none" w:sz="0" w:space="0" w:color="auto"/>
                <w:right w:val="none" w:sz="0" w:space="0" w:color="auto"/>
              </w:divBdr>
              <w:divsChild>
                <w:div w:id="1760321792">
                  <w:marLeft w:val="0"/>
                  <w:marRight w:val="0"/>
                  <w:marTop w:val="0"/>
                  <w:marBottom w:val="0"/>
                  <w:divBdr>
                    <w:top w:val="none" w:sz="0" w:space="0" w:color="auto"/>
                    <w:left w:val="none" w:sz="0" w:space="0" w:color="auto"/>
                    <w:bottom w:val="none" w:sz="0" w:space="0" w:color="auto"/>
                    <w:right w:val="none" w:sz="0" w:space="0" w:color="auto"/>
                  </w:divBdr>
                  <w:divsChild>
                    <w:div w:id="193378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585723">
      <w:bodyDiv w:val="1"/>
      <w:marLeft w:val="0"/>
      <w:marRight w:val="0"/>
      <w:marTop w:val="0"/>
      <w:marBottom w:val="0"/>
      <w:divBdr>
        <w:top w:val="none" w:sz="0" w:space="0" w:color="auto"/>
        <w:left w:val="none" w:sz="0" w:space="0" w:color="auto"/>
        <w:bottom w:val="none" w:sz="0" w:space="0" w:color="auto"/>
        <w:right w:val="none" w:sz="0" w:space="0" w:color="auto"/>
      </w:divBdr>
    </w:div>
    <w:div w:id="398405659">
      <w:bodyDiv w:val="1"/>
      <w:marLeft w:val="0"/>
      <w:marRight w:val="0"/>
      <w:marTop w:val="0"/>
      <w:marBottom w:val="0"/>
      <w:divBdr>
        <w:top w:val="none" w:sz="0" w:space="0" w:color="auto"/>
        <w:left w:val="none" w:sz="0" w:space="0" w:color="auto"/>
        <w:bottom w:val="none" w:sz="0" w:space="0" w:color="auto"/>
        <w:right w:val="none" w:sz="0" w:space="0" w:color="auto"/>
      </w:divBdr>
    </w:div>
    <w:div w:id="425657939">
      <w:bodyDiv w:val="1"/>
      <w:marLeft w:val="0"/>
      <w:marRight w:val="0"/>
      <w:marTop w:val="0"/>
      <w:marBottom w:val="0"/>
      <w:divBdr>
        <w:top w:val="none" w:sz="0" w:space="0" w:color="auto"/>
        <w:left w:val="none" w:sz="0" w:space="0" w:color="auto"/>
        <w:bottom w:val="none" w:sz="0" w:space="0" w:color="auto"/>
        <w:right w:val="none" w:sz="0" w:space="0" w:color="auto"/>
      </w:divBdr>
    </w:div>
    <w:div w:id="444809641">
      <w:bodyDiv w:val="1"/>
      <w:marLeft w:val="0"/>
      <w:marRight w:val="0"/>
      <w:marTop w:val="0"/>
      <w:marBottom w:val="0"/>
      <w:divBdr>
        <w:top w:val="none" w:sz="0" w:space="0" w:color="auto"/>
        <w:left w:val="none" w:sz="0" w:space="0" w:color="auto"/>
        <w:bottom w:val="none" w:sz="0" w:space="0" w:color="auto"/>
        <w:right w:val="none" w:sz="0" w:space="0" w:color="auto"/>
      </w:divBdr>
    </w:div>
    <w:div w:id="475680491">
      <w:bodyDiv w:val="1"/>
      <w:marLeft w:val="0"/>
      <w:marRight w:val="0"/>
      <w:marTop w:val="0"/>
      <w:marBottom w:val="0"/>
      <w:divBdr>
        <w:top w:val="none" w:sz="0" w:space="0" w:color="auto"/>
        <w:left w:val="none" w:sz="0" w:space="0" w:color="auto"/>
        <w:bottom w:val="none" w:sz="0" w:space="0" w:color="auto"/>
        <w:right w:val="none" w:sz="0" w:space="0" w:color="auto"/>
      </w:divBdr>
    </w:div>
    <w:div w:id="511115888">
      <w:bodyDiv w:val="1"/>
      <w:marLeft w:val="0"/>
      <w:marRight w:val="0"/>
      <w:marTop w:val="0"/>
      <w:marBottom w:val="0"/>
      <w:divBdr>
        <w:top w:val="none" w:sz="0" w:space="0" w:color="auto"/>
        <w:left w:val="none" w:sz="0" w:space="0" w:color="auto"/>
        <w:bottom w:val="none" w:sz="0" w:space="0" w:color="auto"/>
        <w:right w:val="none" w:sz="0" w:space="0" w:color="auto"/>
      </w:divBdr>
    </w:div>
    <w:div w:id="647713075">
      <w:bodyDiv w:val="1"/>
      <w:marLeft w:val="0"/>
      <w:marRight w:val="0"/>
      <w:marTop w:val="0"/>
      <w:marBottom w:val="0"/>
      <w:divBdr>
        <w:top w:val="none" w:sz="0" w:space="0" w:color="auto"/>
        <w:left w:val="none" w:sz="0" w:space="0" w:color="auto"/>
        <w:bottom w:val="none" w:sz="0" w:space="0" w:color="auto"/>
        <w:right w:val="none" w:sz="0" w:space="0" w:color="auto"/>
      </w:divBdr>
    </w:div>
    <w:div w:id="666787727">
      <w:bodyDiv w:val="1"/>
      <w:marLeft w:val="0"/>
      <w:marRight w:val="0"/>
      <w:marTop w:val="0"/>
      <w:marBottom w:val="0"/>
      <w:divBdr>
        <w:top w:val="none" w:sz="0" w:space="0" w:color="auto"/>
        <w:left w:val="none" w:sz="0" w:space="0" w:color="auto"/>
        <w:bottom w:val="none" w:sz="0" w:space="0" w:color="auto"/>
        <w:right w:val="none" w:sz="0" w:space="0" w:color="auto"/>
      </w:divBdr>
    </w:div>
    <w:div w:id="703214959">
      <w:bodyDiv w:val="1"/>
      <w:marLeft w:val="0"/>
      <w:marRight w:val="0"/>
      <w:marTop w:val="0"/>
      <w:marBottom w:val="0"/>
      <w:divBdr>
        <w:top w:val="none" w:sz="0" w:space="0" w:color="auto"/>
        <w:left w:val="none" w:sz="0" w:space="0" w:color="auto"/>
        <w:bottom w:val="none" w:sz="0" w:space="0" w:color="auto"/>
        <w:right w:val="none" w:sz="0" w:space="0" w:color="auto"/>
      </w:divBdr>
    </w:div>
    <w:div w:id="722102548">
      <w:bodyDiv w:val="1"/>
      <w:marLeft w:val="0"/>
      <w:marRight w:val="0"/>
      <w:marTop w:val="0"/>
      <w:marBottom w:val="0"/>
      <w:divBdr>
        <w:top w:val="none" w:sz="0" w:space="0" w:color="auto"/>
        <w:left w:val="none" w:sz="0" w:space="0" w:color="auto"/>
        <w:bottom w:val="none" w:sz="0" w:space="0" w:color="auto"/>
        <w:right w:val="none" w:sz="0" w:space="0" w:color="auto"/>
      </w:divBdr>
    </w:div>
    <w:div w:id="780220168">
      <w:bodyDiv w:val="1"/>
      <w:marLeft w:val="0"/>
      <w:marRight w:val="0"/>
      <w:marTop w:val="0"/>
      <w:marBottom w:val="0"/>
      <w:divBdr>
        <w:top w:val="none" w:sz="0" w:space="0" w:color="auto"/>
        <w:left w:val="none" w:sz="0" w:space="0" w:color="auto"/>
        <w:bottom w:val="none" w:sz="0" w:space="0" w:color="auto"/>
        <w:right w:val="none" w:sz="0" w:space="0" w:color="auto"/>
      </w:divBdr>
    </w:div>
    <w:div w:id="845367533">
      <w:bodyDiv w:val="1"/>
      <w:marLeft w:val="0"/>
      <w:marRight w:val="0"/>
      <w:marTop w:val="0"/>
      <w:marBottom w:val="0"/>
      <w:divBdr>
        <w:top w:val="none" w:sz="0" w:space="0" w:color="auto"/>
        <w:left w:val="none" w:sz="0" w:space="0" w:color="auto"/>
        <w:bottom w:val="none" w:sz="0" w:space="0" w:color="auto"/>
        <w:right w:val="none" w:sz="0" w:space="0" w:color="auto"/>
      </w:divBdr>
    </w:div>
    <w:div w:id="926352643">
      <w:bodyDiv w:val="1"/>
      <w:marLeft w:val="0"/>
      <w:marRight w:val="0"/>
      <w:marTop w:val="0"/>
      <w:marBottom w:val="0"/>
      <w:divBdr>
        <w:top w:val="none" w:sz="0" w:space="0" w:color="auto"/>
        <w:left w:val="none" w:sz="0" w:space="0" w:color="auto"/>
        <w:bottom w:val="none" w:sz="0" w:space="0" w:color="auto"/>
        <w:right w:val="none" w:sz="0" w:space="0" w:color="auto"/>
      </w:divBdr>
    </w:div>
    <w:div w:id="929778704">
      <w:bodyDiv w:val="1"/>
      <w:marLeft w:val="0"/>
      <w:marRight w:val="0"/>
      <w:marTop w:val="0"/>
      <w:marBottom w:val="0"/>
      <w:divBdr>
        <w:top w:val="none" w:sz="0" w:space="0" w:color="auto"/>
        <w:left w:val="none" w:sz="0" w:space="0" w:color="auto"/>
        <w:bottom w:val="none" w:sz="0" w:space="0" w:color="auto"/>
        <w:right w:val="none" w:sz="0" w:space="0" w:color="auto"/>
      </w:divBdr>
    </w:div>
    <w:div w:id="998583963">
      <w:bodyDiv w:val="1"/>
      <w:marLeft w:val="0"/>
      <w:marRight w:val="0"/>
      <w:marTop w:val="0"/>
      <w:marBottom w:val="0"/>
      <w:divBdr>
        <w:top w:val="none" w:sz="0" w:space="0" w:color="auto"/>
        <w:left w:val="none" w:sz="0" w:space="0" w:color="auto"/>
        <w:bottom w:val="none" w:sz="0" w:space="0" w:color="auto"/>
        <w:right w:val="none" w:sz="0" w:space="0" w:color="auto"/>
      </w:divBdr>
    </w:div>
    <w:div w:id="1038045317">
      <w:bodyDiv w:val="1"/>
      <w:marLeft w:val="0"/>
      <w:marRight w:val="0"/>
      <w:marTop w:val="0"/>
      <w:marBottom w:val="0"/>
      <w:divBdr>
        <w:top w:val="none" w:sz="0" w:space="0" w:color="auto"/>
        <w:left w:val="none" w:sz="0" w:space="0" w:color="auto"/>
        <w:bottom w:val="none" w:sz="0" w:space="0" w:color="auto"/>
        <w:right w:val="none" w:sz="0" w:space="0" w:color="auto"/>
      </w:divBdr>
      <w:divsChild>
        <w:div w:id="878710888">
          <w:marLeft w:val="0"/>
          <w:marRight w:val="0"/>
          <w:marTop w:val="0"/>
          <w:marBottom w:val="0"/>
          <w:divBdr>
            <w:top w:val="none" w:sz="0" w:space="0" w:color="auto"/>
            <w:left w:val="none" w:sz="0" w:space="0" w:color="auto"/>
            <w:bottom w:val="none" w:sz="0" w:space="0" w:color="auto"/>
            <w:right w:val="none" w:sz="0" w:space="0" w:color="auto"/>
          </w:divBdr>
          <w:divsChild>
            <w:div w:id="251743312">
              <w:marLeft w:val="0"/>
              <w:marRight w:val="0"/>
              <w:marTop w:val="0"/>
              <w:marBottom w:val="0"/>
              <w:divBdr>
                <w:top w:val="none" w:sz="0" w:space="0" w:color="auto"/>
                <w:left w:val="none" w:sz="0" w:space="0" w:color="auto"/>
                <w:bottom w:val="none" w:sz="0" w:space="0" w:color="auto"/>
                <w:right w:val="none" w:sz="0" w:space="0" w:color="auto"/>
              </w:divBdr>
            </w:div>
          </w:divsChild>
        </w:div>
        <w:div w:id="1395465696">
          <w:marLeft w:val="0"/>
          <w:marRight w:val="0"/>
          <w:marTop w:val="0"/>
          <w:marBottom w:val="0"/>
          <w:divBdr>
            <w:top w:val="none" w:sz="0" w:space="0" w:color="auto"/>
            <w:left w:val="none" w:sz="0" w:space="0" w:color="auto"/>
            <w:bottom w:val="none" w:sz="0" w:space="0" w:color="auto"/>
            <w:right w:val="none" w:sz="0" w:space="0" w:color="auto"/>
          </w:divBdr>
          <w:divsChild>
            <w:div w:id="965429715">
              <w:marLeft w:val="0"/>
              <w:marRight w:val="0"/>
              <w:marTop w:val="0"/>
              <w:marBottom w:val="0"/>
              <w:divBdr>
                <w:top w:val="none" w:sz="0" w:space="0" w:color="auto"/>
                <w:left w:val="none" w:sz="0" w:space="0" w:color="auto"/>
                <w:bottom w:val="none" w:sz="0" w:space="0" w:color="auto"/>
                <w:right w:val="none" w:sz="0" w:space="0" w:color="auto"/>
              </w:divBdr>
            </w:div>
          </w:divsChild>
        </w:div>
        <w:div w:id="1499420113">
          <w:marLeft w:val="0"/>
          <w:marRight w:val="0"/>
          <w:marTop w:val="0"/>
          <w:marBottom w:val="0"/>
          <w:divBdr>
            <w:top w:val="none" w:sz="0" w:space="0" w:color="auto"/>
            <w:left w:val="none" w:sz="0" w:space="0" w:color="auto"/>
            <w:bottom w:val="none" w:sz="0" w:space="0" w:color="auto"/>
            <w:right w:val="none" w:sz="0" w:space="0" w:color="auto"/>
          </w:divBdr>
          <w:divsChild>
            <w:div w:id="1662151960">
              <w:marLeft w:val="0"/>
              <w:marRight w:val="0"/>
              <w:marTop w:val="0"/>
              <w:marBottom w:val="0"/>
              <w:divBdr>
                <w:top w:val="none" w:sz="0" w:space="0" w:color="auto"/>
                <w:left w:val="none" w:sz="0" w:space="0" w:color="auto"/>
                <w:bottom w:val="none" w:sz="0" w:space="0" w:color="auto"/>
                <w:right w:val="none" w:sz="0" w:space="0" w:color="auto"/>
              </w:divBdr>
              <w:divsChild>
                <w:div w:id="200369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86036">
          <w:marLeft w:val="0"/>
          <w:marRight w:val="0"/>
          <w:marTop w:val="0"/>
          <w:marBottom w:val="0"/>
          <w:divBdr>
            <w:top w:val="none" w:sz="0" w:space="0" w:color="auto"/>
            <w:left w:val="none" w:sz="0" w:space="0" w:color="auto"/>
            <w:bottom w:val="none" w:sz="0" w:space="0" w:color="auto"/>
            <w:right w:val="none" w:sz="0" w:space="0" w:color="auto"/>
          </w:divBdr>
          <w:divsChild>
            <w:div w:id="876048411">
              <w:marLeft w:val="0"/>
              <w:marRight w:val="0"/>
              <w:marTop w:val="0"/>
              <w:marBottom w:val="0"/>
              <w:divBdr>
                <w:top w:val="none" w:sz="0" w:space="0" w:color="auto"/>
                <w:left w:val="none" w:sz="0" w:space="0" w:color="auto"/>
                <w:bottom w:val="none" w:sz="0" w:space="0" w:color="auto"/>
                <w:right w:val="none" w:sz="0" w:space="0" w:color="auto"/>
              </w:divBdr>
              <w:divsChild>
                <w:div w:id="111267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1916">
      <w:bodyDiv w:val="1"/>
      <w:marLeft w:val="0"/>
      <w:marRight w:val="0"/>
      <w:marTop w:val="0"/>
      <w:marBottom w:val="0"/>
      <w:divBdr>
        <w:top w:val="none" w:sz="0" w:space="0" w:color="auto"/>
        <w:left w:val="none" w:sz="0" w:space="0" w:color="auto"/>
        <w:bottom w:val="none" w:sz="0" w:space="0" w:color="auto"/>
        <w:right w:val="none" w:sz="0" w:space="0" w:color="auto"/>
      </w:divBdr>
      <w:divsChild>
        <w:div w:id="9456660">
          <w:marLeft w:val="0"/>
          <w:marRight w:val="0"/>
          <w:marTop w:val="0"/>
          <w:marBottom w:val="0"/>
          <w:divBdr>
            <w:top w:val="none" w:sz="0" w:space="0" w:color="auto"/>
            <w:left w:val="none" w:sz="0" w:space="0" w:color="auto"/>
            <w:bottom w:val="none" w:sz="0" w:space="0" w:color="auto"/>
            <w:right w:val="none" w:sz="0" w:space="0" w:color="auto"/>
          </w:divBdr>
          <w:divsChild>
            <w:div w:id="1212762451">
              <w:marLeft w:val="0"/>
              <w:marRight w:val="0"/>
              <w:marTop w:val="0"/>
              <w:marBottom w:val="0"/>
              <w:divBdr>
                <w:top w:val="none" w:sz="0" w:space="0" w:color="auto"/>
                <w:left w:val="none" w:sz="0" w:space="0" w:color="auto"/>
                <w:bottom w:val="none" w:sz="0" w:space="0" w:color="auto"/>
                <w:right w:val="none" w:sz="0" w:space="0" w:color="auto"/>
              </w:divBdr>
            </w:div>
          </w:divsChild>
        </w:div>
        <w:div w:id="561256311">
          <w:marLeft w:val="0"/>
          <w:marRight w:val="0"/>
          <w:marTop w:val="0"/>
          <w:marBottom w:val="0"/>
          <w:divBdr>
            <w:top w:val="none" w:sz="0" w:space="0" w:color="auto"/>
            <w:left w:val="none" w:sz="0" w:space="0" w:color="auto"/>
            <w:bottom w:val="none" w:sz="0" w:space="0" w:color="auto"/>
            <w:right w:val="none" w:sz="0" w:space="0" w:color="auto"/>
          </w:divBdr>
          <w:divsChild>
            <w:div w:id="112435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33119">
      <w:bodyDiv w:val="1"/>
      <w:marLeft w:val="0"/>
      <w:marRight w:val="0"/>
      <w:marTop w:val="0"/>
      <w:marBottom w:val="0"/>
      <w:divBdr>
        <w:top w:val="none" w:sz="0" w:space="0" w:color="auto"/>
        <w:left w:val="none" w:sz="0" w:space="0" w:color="auto"/>
        <w:bottom w:val="none" w:sz="0" w:space="0" w:color="auto"/>
        <w:right w:val="none" w:sz="0" w:space="0" w:color="auto"/>
      </w:divBdr>
    </w:div>
    <w:div w:id="1084376038">
      <w:bodyDiv w:val="1"/>
      <w:marLeft w:val="0"/>
      <w:marRight w:val="0"/>
      <w:marTop w:val="0"/>
      <w:marBottom w:val="0"/>
      <w:divBdr>
        <w:top w:val="none" w:sz="0" w:space="0" w:color="auto"/>
        <w:left w:val="none" w:sz="0" w:space="0" w:color="auto"/>
        <w:bottom w:val="none" w:sz="0" w:space="0" w:color="auto"/>
        <w:right w:val="none" w:sz="0" w:space="0" w:color="auto"/>
      </w:divBdr>
      <w:divsChild>
        <w:div w:id="644704675">
          <w:marLeft w:val="0"/>
          <w:marRight w:val="0"/>
          <w:marTop w:val="0"/>
          <w:marBottom w:val="0"/>
          <w:divBdr>
            <w:top w:val="none" w:sz="0" w:space="0" w:color="auto"/>
            <w:left w:val="none" w:sz="0" w:space="0" w:color="auto"/>
            <w:bottom w:val="none" w:sz="0" w:space="0" w:color="auto"/>
            <w:right w:val="none" w:sz="0" w:space="0" w:color="auto"/>
          </w:divBdr>
          <w:divsChild>
            <w:div w:id="726344974">
              <w:marLeft w:val="0"/>
              <w:marRight w:val="0"/>
              <w:marTop w:val="0"/>
              <w:marBottom w:val="0"/>
              <w:divBdr>
                <w:top w:val="none" w:sz="0" w:space="0" w:color="auto"/>
                <w:left w:val="none" w:sz="0" w:space="0" w:color="auto"/>
                <w:bottom w:val="none" w:sz="0" w:space="0" w:color="auto"/>
                <w:right w:val="none" w:sz="0" w:space="0" w:color="auto"/>
              </w:divBdr>
            </w:div>
          </w:divsChild>
        </w:div>
        <w:div w:id="739716264">
          <w:marLeft w:val="0"/>
          <w:marRight w:val="0"/>
          <w:marTop w:val="0"/>
          <w:marBottom w:val="0"/>
          <w:divBdr>
            <w:top w:val="none" w:sz="0" w:space="0" w:color="auto"/>
            <w:left w:val="none" w:sz="0" w:space="0" w:color="auto"/>
            <w:bottom w:val="none" w:sz="0" w:space="0" w:color="auto"/>
            <w:right w:val="none" w:sz="0" w:space="0" w:color="auto"/>
          </w:divBdr>
          <w:divsChild>
            <w:div w:id="1932422743">
              <w:marLeft w:val="0"/>
              <w:marRight w:val="0"/>
              <w:marTop w:val="0"/>
              <w:marBottom w:val="0"/>
              <w:divBdr>
                <w:top w:val="none" w:sz="0" w:space="0" w:color="auto"/>
                <w:left w:val="none" w:sz="0" w:space="0" w:color="auto"/>
                <w:bottom w:val="none" w:sz="0" w:space="0" w:color="auto"/>
                <w:right w:val="none" w:sz="0" w:space="0" w:color="auto"/>
              </w:divBdr>
            </w:div>
          </w:divsChild>
        </w:div>
        <w:div w:id="1742874830">
          <w:marLeft w:val="0"/>
          <w:marRight w:val="0"/>
          <w:marTop w:val="0"/>
          <w:marBottom w:val="0"/>
          <w:divBdr>
            <w:top w:val="none" w:sz="0" w:space="0" w:color="auto"/>
            <w:left w:val="none" w:sz="0" w:space="0" w:color="auto"/>
            <w:bottom w:val="none" w:sz="0" w:space="0" w:color="auto"/>
            <w:right w:val="none" w:sz="0" w:space="0" w:color="auto"/>
          </w:divBdr>
          <w:divsChild>
            <w:div w:id="530145877">
              <w:marLeft w:val="0"/>
              <w:marRight w:val="0"/>
              <w:marTop w:val="0"/>
              <w:marBottom w:val="0"/>
              <w:divBdr>
                <w:top w:val="none" w:sz="0" w:space="0" w:color="auto"/>
                <w:left w:val="none" w:sz="0" w:space="0" w:color="auto"/>
                <w:bottom w:val="none" w:sz="0" w:space="0" w:color="auto"/>
                <w:right w:val="none" w:sz="0" w:space="0" w:color="auto"/>
              </w:divBdr>
              <w:divsChild>
                <w:div w:id="415632699">
                  <w:marLeft w:val="0"/>
                  <w:marRight w:val="0"/>
                  <w:marTop w:val="0"/>
                  <w:marBottom w:val="0"/>
                  <w:divBdr>
                    <w:top w:val="none" w:sz="0" w:space="0" w:color="auto"/>
                    <w:left w:val="none" w:sz="0" w:space="0" w:color="auto"/>
                    <w:bottom w:val="none" w:sz="0" w:space="0" w:color="auto"/>
                    <w:right w:val="none" w:sz="0" w:space="0" w:color="auto"/>
                  </w:divBdr>
                  <w:divsChild>
                    <w:div w:id="71600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026644">
              <w:marLeft w:val="0"/>
              <w:marRight w:val="0"/>
              <w:marTop w:val="0"/>
              <w:marBottom w:val="0"/>
              <w:divBdr>
                <w:top w:val="none" w:sz="0" w:space="0" w:color="auto"/>
                <w:left w:val="none" w:sz="0" w:space="0" w:color="auto"/>
                <w:bottom w:val="none" w:sz="0" w:space="0" w:color="auto"/>
                <w:right w:val="none" w:sz="0" w:space="0" w:color="auto"/>
              </w:divBdr>
              <w:divsChild>
                <w:div w:id="1829900570">
                  <w:marLeft w:val="0"/>
                  <w:marRight w:val="0"/>
                  <w:marTop w:val="0"/>
                  <w:marBottom w:val="0"/>
                  <w:divBdr>
                    <w:top w:val="none" w:sz="0" w:space="0" w:color="auto"/>
                    <w:left w:val="none" w:sz="0" w:space="0" w:color="auto"/>
                    <w:bottom w:val="none" w:sz="0" w:space="0" w:color="auto"/>
                    <w:right w:val="none" w:sz="0" w:space="0" w:color="auto"/>
                  </w:divBdr>
                  <w:divsChild>
                    <w:div w:id="8653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366568">
              <w:marLeft w:val="0"/>
              <w:marRight w:val="0"/>
              <w:marTop w:val="0"/>
              <w:marBottom w:val="0"/>
              <w:divBdr>
                <w:top w:val="none" w:sz="0" w:space="0" w:color="auto"/>
                <w:left w:val="none" w:sz="0" w:space="0" w:color="auto"/>
                <w:bottom w:val="none" w:sz="0" w:space="0" w:color="auto"/>
                <w:right w:val="none" w:sz="0" w:space="0" w:color="auto"/>
              </w:divBdr>
              <w:divsChild>
                <w:div w:id="1911113110">
                  <w:marLeft w:val="0"/>
                  <w:marRight w:val="0"/>
                  <w:marTop w:val="0"/>
                  <w:marBottom w:val="0"/>
                  <w:divBdr>
                    <w:top w:val="none" w:sz="0" w:space="0" w:color="auto"/>
                    <w:left w:val="none" w:sz="0" w:space="0" w:color="auto"/>
                    <w:bottom w:val="none" w:sz="0" w:space="0" w:color="auto"/>
                    <w:right w:val="none" w:sz="0" w:space="0" w:color="auto"/>
                  </w:divBdr>
                  <w:divsChild>
                    <w:div w:id="20645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940298">
              <w:marLeft w:val="0"/>
              <w:marRight w:val="0"/>
              <w:marTop w:val="0"/>
              <w:marBottom w:val="0"/>
              <w:divBdr>
                <w:top w:val="none" w:sz="0" w:space="0" w:color="auto"/>
                <w:left w:val="none" w:sz="0" w:space="0" w:color="auto"/>
                <w:bottom w:val="none" w:sz="0" w:space="0" w:color="auto"/>
                <w:right w:val="none" w:sz="0" w:space="0" w:color="auto"/>
              </w:divBdr>
              <w:divsChild>
                <w:div w:id="945622503">
                  <w:marLeft w:val="0"/>
                  <w:marRight w:val="0"/>
                  <w:marTop w:val="0"/>
                  <w:marBottom w:val="0"/>
                  <w:divBdr>
                    <w:top w:val="none" w:sz="0" w:space="0" w:color="auto"/>
                    <w:left w:val="none" w:sz="0" w:space="0" w:color="auto"/>
                    <w:bottom w:val="none" w:sz="0" w:space="0" w:color="auto"/>
                    <w:right w:val="none" w:sz="0" w:space="0" w:color="auto"/>
                  </w:divBdr>
                  <w:divsChild>
                    <w:div w:id="177971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271967">
              <w:marLeft w:val="0"/>
              <w:marRight w:val="0"/>
              <w:marTop w:val="0"/>
              <w:marBottom w:val="0"/>
              <w:divBdr>
                <w:top w:val="none" w:sz="0" w:space="0" w:color="auto"/>
                <w:left w:val="none" w:sz="0" w:space="0" w:color="auto"/>
                <w:bottom w:val="none" w:sz="0" w:space="0" w:color="auto"/>
                <w:right w:val="none" w:sz="0" w:space="0" w:color="auto"/>
              </w:divBdr>
              <w:divsChild>
                <w:div w:id="1651325435">
                  <w:marLeft w:val="0"/>
                  <w:marRight w:val="0"/>
                  <w:marTop w:val="0"/>
                  <w:marBottom w:val="0"/>
                  <w:divBdr>
                    <w:top w:val="none" w:sz="0" w:space="0" w:color="auto"/>
                    <w:left w:val="none" w:sz="0" w:space="0" w:color="auto"/>
                    <w:bottom w:val="none" w:sz="0" w:space="0" w:color="auto"/>
                    <w:right w:val="none" w:sz="0" w:space="0" w:color="auto"/>
                  </w:divBdr>
                  <w:divsChild>
                    <w:div w:id="134775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37456">
              <w:marLeft w:val="0"/>
              <w:marRight w:val="0"/>
              <w:marTop w:val="0"/>
              <w:marBottom w:val="0"/>
              <w:divBdr>
                <w:top w:val="none" w:sz="0" w:space="0" w:color="auto"/>
                <w:left w:val="none" w:sz="0" w:space="0" w:color="auto"/>
                <w:bottom w:val="none" w:sz="0" w:space="0" w:color="auto"/>
                <w:right w:val="none" w:sz="0" w:space="0" w:color="auto"/>
              </w:divBdr>
              <w:divsChild>
                <w:div w:id="453865476">
                  <w:marLeft w:val="0"/>
                  <w:marRight w:val="0"/>
                  <w:marTop w:val="0"/>
                  <w:marBottom w:val="0"/>
                  <w:divBdr>
                    <w:top w:val="none" w:sz="0" w:space="0" w:color="auto"/>
                    <w:left w:val="none" w:sz="0" w:space="0" w:color="auto"/>
                    <w:bottom w:val="none" w:sz="0" w:space="0" w:color="auto"/>
                    <w:right w:val="none" w:sz="0" w:space="0" w:color="auto"/>
                  </w:divBdr>
                  <w:divsChild>
                    <w:div w:id="106988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14119">
      <w:bodyDiv w:val="1"/>
      <w:marLeft w:val="0"/>
      <w:marRight w:val="0"/>
      <w:marTop w:val="0"/>
      <w:marBottom w:val="0"/>
      <w:divBdr>
        <w:top w:val="none" w:sz="0" w:space="0" w:color="auto"/>
        <w:left w:val="none" w:sz="0" w:space="0" w:color="auto"/>
        <w:bottom w:val="none" w:sz="0" w:space="0" w:color="auto"/>
        <w:right w:val="none" w:sz="0" w:space="0" w:color="auto"/>
      </w:divBdr>
    </w:div>
    <w:div w:id="1262101429">
      <w:bodyDiv w:val="1"/>
      <w:marLeft w:val="0"/>
      <w:marRight w:val="0"/>
      <w:marTop w:val="0"/>
      <w:marBottom w:val="0"/>
      <w:divBdr>
        <w:top w:val="none" w:sz="0" w:space="0" w:color="auto"/>
        <w:left w:val="none" w:sz="0" w:space="0" w:color="auto"/>
        <w:bottom w:val="none" w:sz="0" w:space="0" w:color="auto"/>
        <w:right w:val="none" w:sz="0" w:space="0" w:color="auto"/>
      </w:divBdr>
    </w:div>
    <w:div w:id="1295719344">
      <w:bodyDiv w:val="1"/>
      <w:marLeft w:val="0"/>
      <w:marRight w:val="0"/>
      <w:marTop w:val="0"/>
      <w:marBottom w:val="0"/>
      <w:divBdr>
        <w:top w:val="none" w:sz="0" w:space="0" w:color="auto"/>
        <w:left w:val="none" w:sz="0" w:space="0" w:color="auto"/>
        <w:bottom w:val="none" w:sz="0" w:space="0" w:color="auto"/>
        <w:right w:val="none" w:sz="0" w:space="0" w:color="auto"/>
      </w:divBdr>
    </w:div>
    <w:div w:id="1301812591">
      <w:bodyDiv w:val="1"/>
      <w:marLeft w:val="0"/>
      <w:marRight w:val="0"/>
      <w:marTop w:val="0"/>
      <w:marBottom w:val="0"/>
      <w:divBdr>
        <w:top w:val="none" w:sz="0" w:space="0" w:color="auto"/>
        <w:left w:val="none" w:sz="0" w:space="0" w:color="auto"/>
        <w:bottom w:val="none" w:sz="0" w:space="0" w:color="auto"/>
        <w:right w:val="none" w:sz="0" w:space="0" w:color="auto"/>
      </w:divBdr>
    </w:div>
    <w:div w:id="1439526832">
      <w:bodyDiv w:val="1"/>
      <w:marLeft w:val="0"/>
      <w:marRight w:val="0"/>
      <w:marTop w:val="0"/>
      <w:marBottom w:val="0"/>
      <w:divBdr>
        <w:top w:val="none" w:sz="0" w:space="0" w:color="auto"/>
        <w:left w:val="none" w:sz="0" w:space="0" w:color="auto"/>
        <w:bottom w:val="none" w:sz="0" w:space="0" w:color="auto"/>
        <w:right w:val="none" w:sz="0" w:space="0" w:color="auto"/>
      </w:divBdr>
    </w:div>
    <w:div w:id="1463886198">
      <w:bodyDiv w:val="1"/>
      <w:marLeft w:val="0"/>
      <w:marRight w:val="0"/>
      <w:marTop w:val="0"/>
      <w:marBottom w:val="0"/>
      <w:divBdr>
        <w:top w:val="none" w:sz="0" w:space="0" w:color="auto"/>
        <w:left w:val="none" w:sz="0" w:space="0" w:color="auto"/>
        <w:bottom w:val="none" w:sz="0" w:space="0" w:color="auto"/>
        <w:right w:val="none" w:sz="0" w:space="0" w:color="auto"/>
      </w:divBdr>
    </w:div>
    <w:div w:id="1565752985">
      <w:bodyDiv w:val="1"/>
      <w:marLeft w:val="0"/>
      <w:marRight w:val="0"/>
      <w:marTop w:val="0"/>
      <w:marBottom w:val="0"/>
      <w:divBdr>
        <w:top w:val="none" w:sz="0" w:space="0" w:color="auto"/>
        <w:left w:val="none" w:sz="0" w:space="0" w:color="auto"/>
        <w:bottom w:val="none" w:sz="0" w:space="0" w:color="auto"/>
        <w:right w:val="none" w:sz="0" w:space="0" w:color="auto"/>
      </w:divBdr>
    </w:div>
    <w:div w:id="1575967467">
      <w:bodyDiv w:val="1"/>
      <w:marLeft w:val="0"/>
      <w:marRight w:val="0"/>
      <w:marTop w:val="0"/>
      <w:marBottom w:val="0"/>
      <w:divBdr>
        <w:top w:val="none" w:sz="0" w:space="0" w:color="auto"/>
        <w:left w:val="none" w:sz="0" w:space="0" w:color="auto"/>
        <w:bottom w:val="none" w:sz="0" w:space="0" w:color="auto"/>
        <w:right w:val="none" w:sz="0" w:space="0" w:color="auto"/>
      </w:divBdr>
    </w:div>
    <w:div w:id="1582981977">
      <w:bodyDiv w:val="1"/>
      <w:marLeft w:val="0"/>
      <w:marRight w:val="0"/>
      <w:marTop w:val="0"/>
      <w:marBottom w:val="0"/>
      <w:divBdr>
        <w:top w:val="none" w:sz="0" w:space="0" w:color="auto"/>
        <w:left w:val="none" w:sz="0" w:space="0" w:color="auto"/>
        <w:bottom w:val="none" w:sz="0" w:space="0" w:color="auto"/>
        <w:right w:val="none" w:sz="0" w:space="0" w:color="auto"/>
      </w:divBdr>
    </w:div>
    <w:div w:id="1607687398">
      <w:bodyDiv w:val="1"/>
      <w:marLeft w:val="0"/>
      <w:marRight w:val="0"/>
      <w:marTop w:val="0"/>
      <w:marBottom w:val="0"/>
      <w:divBdr>
        <w:top w:val="none" w:sz="0" w:space="0" w:color="auto"/>
        <w:left w:val="none" w:sz="0" w:space="0" w:color="auto"/>
        <w:bottom w:val="none" w:sz="0" w:space="0" w:color="auto"/>
        <w:right w:val="none" w:sz="0" w:space="0" w:color="auto"/>
      </w:divBdr>
    </w:div>
    <w:div w:id="1626621121">
      <w:bodyDiv w:val="1"/>
      <w:marLeft w:val="0"/>
      <w:marRight w:val="0"/>
      <w:marTop w:val="0"/>
      <w:marBottom w:val="0"/>
      <w:divBdr>
        <w:top w:val="none" w:sz="0" w:space="0" w:color="auto"/>
        <w:left w:val="none" w:sz="0" w:space="0" w:color="auto"/>
        <w:bottom w:val="none" w:sz="0" w:space="0" w:color="auto"/>
        <w:right w:val="none" w:sz="0" w:space="0" w:color="auto"/>
      </w:divBdr>
    </w:div>
    <w:div w:id="1658340297">
      <w:bodyDiv w:val="1"/>
      <w:marLeft w:val="0"/>
      <w:marRight w:val="0"/>
      <w:marTop w:val="0"/>
      <w:marBottom w:val="0"/>
      <w:divBdr>
        <w:top w:val="none" w:sz="0" w:space="0" w:color="auto"/>
        <w:left w:val="none" w:sz="0" w:space="0" w:color="auto"/>
        <w:bottom w:val="none" w:sz="0" w:space="0" w:color="auto"/>
        <w:right w:val="none" w:sz="0" w:space="0" w:color="auto"/>
      </w:divBdr>
    </w:div>
    <w:div w:id="1670401844">
      <w:bodyDiv w:val="1"/>
      <w:marLeft w:val="0"/>
      <w:marRight w:val="0"/>
      <w:marTop w:val="0"/>
      <w:marBottom w:val="0"/>
      <w:divBdr>
        <w:top w:val="none" w:sz="0" w:space="0" w:color="auto"/>
        <w:left w:val="none" w:sz="0" w:space="0" w:color="auto"/>
        <w:bottom w:val="none" w:sz="0" w:space="0" w:color="auto"/>
        <w:right w:val="none" w:sz="0" w:space="0" w:color="auto"/>
      </w:divBdr>
    </w:div>
    <w:div w:id="1690987847">
      <w:bodyDiv w:val="1"/>
      <w:marLeft w:val="0"/>
      <w:marRight w:val="0"/>
      <w:marTop w:val="0"/>
      <w:marBottom w:val="0"/>
      <w:divBdr>
        <w:top w:val="none" w:sz="0" w:space="0" w:color="auto"/>
        <w:left w:val="none" w:sz="0" w:space="0" w:color="auto"/>
        <w:bottom w:val="none" w:sz="0" w:space="0" w:color="auto"/>
        <w:right w:val="none" w:sz="0" w:space="0" w:color="auto"/>
      </w:divBdr>
    </w:div>
    <w:div w:id="1750345059">
      <w:bodyDiv w:val="1"/>
      <w:marLeft w:val="0"/>
      <w:marRight w:val="0"/>
      <w:marTop w:val="0"/>
      <w:marBottom w:val="0"/>
      <w:divBdr>
        <w:top w:val="none" w:sz="0" w:space="0" w:color="auto"/>
        <w:left w:val="none" w:sz="0" w:space="0" w:color="auto"/>
        <w:bottom w:val="none" w:sz="0" w:space="0" w:color="auto"/>
        <w:right w:val="none" w:sz="0" w:space="0" w:color="auto"/>
      </w:divBdr>
    </w:div>
    <w:div w:id="1772045802">
      <w:bodyDiv w:val="1"/>
      <w:marLeft w:val="0"/>
      <w:marRight w:val="0"/>
      <w:marTop w:val="0"/>
      <w:marBottom w:val="0"/>
      <w:divBdr>
        <w:top w:val="none" w:sz="0" w:space="0" w:color="auto"/>
        <w:left w:val="none" w:sz="0" w:space="0" w:color="auto"/>
        <w:bottom w:val="none" w:sz="0" w:space="0" w:color="auto"/>
        <w:right w:val="none" w:sz="0" w:space="0" w:color="auto"/>
      </w:divBdr>
      <w:divsChild>
        <w:div w:id="1528330842">
          <w:marLeft w:val="0"/>
          <w:marRight w:val="0"/>
          <w:marTop w:val="0"/>
          <w:marBottom w:val="0"/>
          <w:divBdr>
            <w:top w:val="none" w:sz="0" w:space="0" w:color="auto"/>
            <w:left w:val="none" w:sz="0" w:space="0" w:color="auto"/>
            <w:bottom w:val="none" w:sz="0" w:space="0" w:color="auto"/>
            <w:right w:val="none" w:sz="0" w:space="0" w:color="auto"/>
          </w:divBdr>
          <w:divsChild>
            <w:div w:id="74405760">
              <w:marLeft w:val="0"/>
              <w:marRight w:val="0"/>
              <w:marTop w:val="0"/>
              <w:marBottom w:val="0"/>
              <w:divBdr>
                <w:top w:val="none" w:sz="0" w:space="0" w:color="auto"/>
                <w:left w:val="none" w:sz="0" w:space="0" w:color="auto"/>
                <w:bottom w:val="none" w:sz="0" w:space="0" w:color="auto"/>
                <w:right w:val="none" w:sz="0" w:space="0" w:color="auto"/>
              </w:divBdr>
            </w:div>
          </w:divsChild>
        </w:div>
        <w:div w:id="1956401021">
          <w:marLeft w:val="0"/>
          <w:marRight w:val="0"/>
          <w:marTop w:val="0"/>
          <w:marBottom w:val="0"/>
          <w:divBdr>
            <w:top w:val="none" w:sz="0" w:space="0" w:color="auto"/>
            <w:left w:val="none" w:sz="0" w:space="0" w:color="auto"/>
            <w:bottom w:val="none" w:sz="0" w:space="0" w:color="auto"/>
            <w:right w:val="none" w:sz="0" w:space="0" w:color="auto"/>
          </w:divBdr>
          <w:divsChild>
            <w:div w:id="204093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442715">
      <w:bodyDiv w:val="1"/>
      <w:marLeft w:val="0"/>
      <w:marRight w:val="0"/>
      <w:marTop w:val="0"/>
      <w:marBottom w:val="0"/>
      <w:divBdr>
        <w:top w:val="none" w:sz="0" w:space="0" w:color="auto"/>
        <w:left w:val="none" w:sz="0" w:space="0" w:color="auto"/>
        <w:bottom w:val="none" w:sz="0" w:space="0" w:color="auto"/>
        <w:right w:val="none" w:sz="0" w:space="0" w:color="auto"/>
      </w:divBdr>
    </w:div>
    <w:div w:id="1986660161">
      <w:bodyDiv w:val="1"/>
      <w:marLeft w:val="0"/>
      <w:marRight w:val="0"/>
      <w:marTop w:val="0"/>
      <w:marBottom w:val="0"/>
      <w:divBdr>
        <w:top w:val="none" w:sz="0" w:space="0" w:color="auto"/>
        <w:left w:val="none" w:sz="0" w:space="0" w:color="auto"/>
        <w:bottom w:val="none" w:sz="0" w:space="0" w:color="auto"/>
        <w:right w:val="none" w:sz="0" w:space="0" w:color="auto"/>
      </w:divBdr>
    </w:div>
    <w:div w:id="2045133997">
      <w:bodyDiv w:val="1"/>
      <w:marLeft w:val="0"/>
      <w:marRight w:val="0"/>
      <w:marTop w:val="0"/>
      <w:marBottom w:val="0"/>
      <w:divBdr>
        <w:top w:val="none" w:sz="0" w:space="0" w:color="auto"/>
        <w:left w:val="none" w:sz="0" w:space="0" w:color="auto"/>
        <w:bottom w:val="none" w:sz="0" w:space="0" w:color="auto"/>
        <w:right w:val="none" w:sz="0" w:space="0" w:color="auto"/>
      </w:divBdr>
    </w:div>
    <w:div w:id="2138914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16504A025F56429A6E17351BB868AA" ma:contentTypeVersion="18" ma:contentTypeDescription="Create a new document." ma:contentTypeScope="" ma:versionID="b2b0ce97dc09563ff3e388a3caa5331e">
  <xsd:schema xmlns:xsd="http://www.w3.org/2001/XMLSchema" xmlns:xs="http://www.w3.org/2001/XMLSchema" xmlns:p="http://schemas.microsoft.com/office/2006/metadata/properties" xmlns:ns2="de996aa1-5117-40ea-acfd-7228c3ca8ae2" xmlns:ns3="cc2c3a37-5bbf-42df-95a3-3b3e92758812" targetNamespace="http://schemas.microsoft.com/office/2006/metadata/properties" ma:root="true" ma:fieldsID="2cff7a56f51815615e3c600ea794624a" ns2:_="" ns3:_="">
    <xsd:import namespace="de996aa1-5117-40ea-acfd-7228c3ca8ae2"/>
    <xsd:import namespace="cc2c3a37-5bbf-42df-95a3-3b3e927588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96aa1-5117-40ea-acfd-7228c3ca8a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e1e6c7-74e1-4b5e-99cc-5a19607835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2c3a37-5bbf-42df-95a3-3b3e927588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aebcb2-29b3-43b5-bfbd-9115261761e5}" ma:internalName="TaxCatchAll" ma:showField="CatchAllData" ma:web="cc2c3a37-5bbf-42df-95a3-3b3e927588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11.xml><?xml version="1.0" encoding="utf-8"?>
<n-document xmlns:xsd="http://www.w3.org/2001/XMLSchema" xmlns:xsi="http://www.w3.org/2001/XMLSchema-instance" guid="0" synced="true" validated="true">
  <n-docbody>
    <standard.doc precedenttype="agreement">
      <prelim>
        <product.name>product.name0</product.name>
        <title>Long term incentive plan (LTIP): rules</title>
        <author>
          <link href="http://uk.practicallaw.com/about/our-team/uk-share-schemes-incentives" style="ACTLinkURL">
            <ital>Practical Law Share Schemes &amp; Incentives</ital>
          </link>
           with assistance from Graham Rowlands-Hempel, Neil Sharpe of Linklaters and Nicholas Stretch of Ashurst
        </author>
        <resource.type>Standard documents</resource.type>
        <juris>juris0</juris>
        <juris>juris1</juris>
      </prelim>
      <abstract>
        <para>
          <paratext>Template standard rules for a listed company's long term incentive plan (LTIP), sometimes called a performance share plan (PSP). These rules provide for non tax-advantaged market value options and nil-cost options, conditional shares (restricted share units), forfeitable shares, phantom shares, phantom options and share appreciation rights. It includes schedules to allow the grant of tax-advantaged CSOP options and US incentive stock options (ISOs).</paratext>
        </para>
      </abstract>
      <toc.identifier hasToc="true"/>
      <body>
        <drafting.note id="a917088" jurisdiction="">
          <head align="left" preservecase="true">
            <headtext>About this document</headtext>
          </head>
          <division id="a000007" level="1">
            <para>
              <paratext>
                This document is designed to constitute an 
                <link href="6-107-6213" style="ACTLinkPLCtoPLC">
                  <bold>
                    <ital>employees' share scheme</ital>
                  </bold>
                </link>
                . It is for use by a 
                <link href="6-203-2398" style="ACTLinkPLCtoPLC">
                  <bold>
                    <ital>listed company</ital>
                  </bold>
                </link>
                 which wishes to establish a flexible omnibus 
                <link href="0-107-6796" style="ACTLinkPLCtoPLC">
                  <bold>
                    <ital>long term incentive plan</ital>
                  </bold>
                </link>
                 (LTIP). An LTIP can also be called a performance share plan (PSP), although PSPs tend to use only Conditional Share Awards.
              </paratext>
            </para>
            <para>
              <paratext>
                The Plan is intended to comply with the 
                <link href="7-107-6774" style="ACTLinkPLCtoPLC">
                  <bold>
                    <ital>Listing Rules</ital>
                  </bold>
                </link>
                 (LR) and 
                <link href="2-205-8149" style="ACTLinkPLCtoPLC">
                  <bold>
                    <ital>The Investment Association principles of remuneration</ital>
                  </bold>
                </link>
                .
              </paratext>
            </para>
            <para>
              <paratext>
                For further information about LTIPs, see 
                <link href="3-604-1205" style="ACTLinkPLCtoPLC">
                  <ital>Practice note, Long term incentive plans (LTIPs)</ital>
                </link>
                .
              </paratext>
            </para>
          </division>
          <division id="a275908" level="1">
            <head align="left" preservecase="true">
              <headtext>Types of award</headtext>
            </head>
            <para>
              <paratext>The plan provides for the following types of award:</paratext>
            </para>
            <list type="bulleted">
              <list.item>
                <para>
                  <paratext>Non tax-advantaged Options (at nil-cost or with an Exercise Price).</paratext>
                </para>
              </list.item>
              <list.item>
                <para>
                  <paratext>Conditional Share Awards (sometimes called restricted share units, performance shares or deferred shares).</paratext>
                </para>
              </list.item>
              <list.item>
                <para>
                  <paratext>Forfeitable Share Awards (sometimes called restricted shares).</paratext>
                </para>
              </list.item>
              <list.item>
                <para>
                  <paratext>Phantom Share Awards.</paratext>
                </para>
              </list.item>
              <list.item>
                <para>
                  <paratext>
                    <link href="3-376-5197" style="ACTLinkPLCtoPLC">
                      <bold>
                        <ital>Phantom Options</ital>
                      </bold>
                    </link>
                     (see 
                    <link href="0-585-2565" style="ACTLinkPLCtoPLC">
                      <ital>Practice note, Phantom shares and options</ital>
                    </link>
                    ).
                  </paratext>
                </para>
              </list.item>
              <list.item>
                <para>
                  <paratext>
                    Share Appreciation Rights (SARs) (see 
                    <link href="8-205-2979" style="ACTLinkPLCtoPLC">
                      <ital>Practice note, Share appreciation rights (SARs)</ital>
                    </link>
                    ).
                  </paratext>
                </para>
              </list.item>
            </list>
            <para>
              <paratext>
                It includes schedules to allow the grant of tax-advantaged 
                <link href="1-107-5956" style="ACTLinkPLCtoPLC">
                  <bold>
                    <ital>CSOP</ital>
                  </bold>
                </link>
                 options and 
                <link href="1-502-4585" style="ACTLinkPLCtoPLC">
                  <bold>
                    <ital>Incentive Stock Options</ital>
                  </bold>
                </link>
                 (ISOs) for US taxpayers.
              </paratext>
            </para>
            <para>
              <paratext>The type of Award that will be appropriate in any situation will depend on what the company wants to achieve. The types of Award can be categorised according to three characteristics:</paratext>
            </para>
            <list type="bulleted">
              <list.item>
                <para>
                  <paratext>
                    <bold>Shares or cash?</bold>
                     Cash-settled Awards are intended be settled only in cash while Share-settled Awards are settled in Shares. Cash-settled Awards are typically used for employees who reside in countries where there are exchange control or securities law obstacles to using real Shares.
                  </paratext>
                </para>
              </list.item>
              <list.item>
                <para>
                  <paratext>
                    <bold>Whole value or growth?</bold>
                     Some types of Award deliver the whole value of a Share while others deliver only the growth in value of a Share above a certain amount, known as the Exercise Price or Base Price depending on the Award type.
                  </paratext>
                </para>
              </list.item>
              <list.item>
                <para>
                  <paratext>
                    <bold>Automatic release or option?</bold>
                     Non-Option Awards are settled by an automatic delivery of value to the Award Holder on the Release Date while Options do not deliver value until the Award Holder exercises them.
                  </paratext>
                </para>
              </list.item>
            </list>
            <para>
              <paratext>
                These features are summarised in 
                <link anchor="a171010" href="3-604-1205" style="ACTLinkPLCtoPLC">
                  <ital>Practice note, Long term incentive plans (LTIPs): Comparison table</ital>
                </link>
                .
              </paratext>
            </para>
            <para>
              <paratext>The most common type of Awards granted to UK resident employees of a listed company are Nil Cost Options or Conditional Shares. Market practice differs over time and which Award type is used may depend on the economic climate and the tax regime in force.</paratext>
            </para>
            <para>
              <paratext>Currently we understand that Nil Cost Options are favoured because they allow the Award Holder to decide when to exercise and trigger an income tax liability. This is particularly important in allowing the Award Holder to exercise either before an increase in tax rates or after a reduction.</paratext>
            </para>
            <para>
              <paratext>The disadvantages are that the company has less control over its exposure to Employer NICs on Options compared with Conditional Shares (although it is possible to transfer this exposure to the Award Holder), and there is a timing advantage for the corporation tax deduction for Conditional Shares.</paratext>
            </para>
            <division id="a917523" level="2">
              <head align="left" preservecase="true">
                <headtext>Transfer Only Awards</headtext>
              </head>
              <para>
                <paratext>
                  The five types of Award that can be settled in shares can be designated as Transfer Only Awards. This means that they must be settled by the transfer of existing Shares from a shareholder (such as an 
                  <link href="6-205-8072" style="ACTLinkPLCtoPLC">
                    <bold>
                      <ital>employee benefit trust</ital>
                    </bold>
                  </link>
                   (EBT), rather than by the issue of new Shares or the transfer of 
                  <link href="1-107-7413" style="ACTLinkPLCtoPLC">
                    <bold>
                      <ital>treasury shares</ital>
                    </bold>
                  </link>
                  . The designation as a Transfer Only Award can be removed, as long as this does not cause a breach of the dilution limits in 
                  <internal.reference refid="a56752">rule 5.3</internal.reference>
                  .
                </paratext>
              </para>
            </division>
          </division>
          <division id="a921212" level="1">
            <head align="left" preservecase="true">
              <headtext>Timing issues</headtext>
            </head>
            <division id="a162528" level="2">
              <head align="left" preservecase="true">
                <headtext>Employment Period, Performance Period and Holding Period</headtext>
              </head>
              <para>
                <paratext>The rules refer to three different periods:</paratext>
              </para>
              <list type="bulleted">
                <list.item>
                  <para>
                    <paratext>
                      The Employment Period is the period during which the Award Holder is required to work for the Group. It starts on the Grant Date and continues for at least three years. The relevance of the Employment Period is to time-apportion the Awards of early leavers and on a change of Control. An Award Holder who leaves during the Employment Period will usually forfeit their Award, unless they are a good leaver, in which case it will be time-apportioned. The Investment Association principles of remuneration refer to a "service period" which lasts three years from the grant date; the Employment Period gives effect to this. (
                      <link href="4-209-4976" style="ACTLinkPLCtoPLC">
                        <ital>The Investment Association: Guidance for remuneration committees: Section C2 (x)</ital>
                      </link>
                      .)
                    </paratext>
                  </para>
                </list.item>
                <list.item>
                  <para>
                    <paratext>
                      The Performance Period is the period over which performance is measured to see whether the Performance Condition has been met. It will often start before the Grant Date and finish before the end of the Employment Period. For example, the Performance Period might be three consecutive financial years, but the Grant Date might not occur until a few months after the beginning of the first of those financial years. The Investment Association principles of remuneration require that the Performance Period should not be less than three years. (
                      <link href="4-209-4976" style="ACTLinkPLCtoPLC">
                        <ital>The Investment Association: Guidance for remuneration committees: Section C2 (ii)(a)</ital>
                      </link>
                      .)
                    </paratext>
                  </para>
                </list.item>
                <list.item>
                  <para>
                    <paratext>
                      The Holding Period is the period during which the Award Holder must continue to hold Shares after they have been Released. It starts on the Release Date and continues until (at the earliest), the fifth anniversary of the Grant Date. Award Holders can sell enough Shares to cover the Tax Liability arising on Release (or exercise in the case of an Option) but must retain the remaining Shares. This gives effect to the requirement of 
                      <link anchor="a283006" href="w-014-0498" style="ACTLinkPLCtoPLC">
                        <ital>Provision 36</ital>
                      </link>
                       of the 
                      <link href="2-502-1888" style="ACTLinkPLCtoPLC">
                        <ital>UK Corporate Governance Code</ital>
                      </link>
                       that share awards should be subject to a total vesting and holding period of five years or more.
                    </paratext>
                  </para>
                </list.item>
              </list>
            </division>
            <division id="a858245" level="2">
              <head align="left" preservecase="true">
                <headtext>Performance Measurement Date and Release Date</headtext>
              </head>
              <para>
                <paratext>The Performance Measurement Date is the date when the Board meets to consider whether the Performance Condition has been achieved.</paratext>
              </para>
              <para>
                <paratext>The Release Date is the date on which the Award is Released. This means that the Award Holder can exercise an Option, and the Shares subject to a Non-Option Award are delivered to the Nominee to be held for the Award Holder until the end of the Holding Period.</paratext>
              </para>
              <para>
                <paratext>Normally the Performance Measurement Date and the Release Date will be the same, but it is possible that they will be different if, for example, the Performance Measurement Date occurs in a Closed Period.</paratext>
              </para>
            </division>
            <division id="a793572" level="2">
              <head align="left" preservecase="true">
                <headtext>Vest and vesting</headtext>
              </head>
              <para>
                <paratext>This document intentionally does not use the words "vest" or "vesting". This is because this term is often misunderstood. All Awards are subject to:</paratext>
              </para>
              <list type="bulleted">
                <list.item>
                  <para>
                    <paratext>The requirement to stay in employment throughout the Employment Period.</paratext>
                  </para>
                </list.item>
                <list.item>
                  <para>
                    <paratext>The Performance Condition.</paratext>
                  </para>
                </list.item>
                <list.item>
                  <para>
                    <paratext>Malus and clawback.</paratext>
                  </para>
                </list.item>
              </list>
            </division>
          </division>
          <division id="a900503" level="1">
            <head align="left" preservecase="true">
              <headtext>Market practice</headtext>
            </head>
            <para>
              <paratext>Market practice in relation to LTIPs is evolving. As practice develops, Practical Law will update this document and, where relevant, give examples of companies that have adopted particular approaches.</paratext>
            </para>
          </division>
        </drafting.note>
        <cover.sheet>
          <head align="left" preservecase="true">
            <headtext>Name of Company</headtext>
          </head>
          <subject.intro>Long term incentive plan</subject.intro>
        </cover.sheet>
        <preamble>
          <drafting.note id="a626782" jurisdiction="">
            <head align="left" preservecase="true">
              <headtext>Shareholder approval</headtext>
            </head>
            <division id="a000008" level="1">
              <para>
                <paratext>
                  It is a requirement of the LR that a long-term incentive scheme (as defined in the LR) must be approved by shareholders. It is also a requirement under US tax law for a plan that permits the grant of ISOs. For more information on the LR, see 
                  <link href="4-382-0184" style="ACTLinkPLCtoPLC">
                    <ital>Practice note, Listing Rules: employee share schemes aspects</ital>
                  </link>
                  .
                </paratext>
              </para>
              <para>
                <paratext>
                  For specimen wording describing the Plan to be contained in a 
                  <link href="5-200-1420" style="ACTLinkPLCtoPLC">
                    <ital>circular</ital>
                  </link>
                   to shareholders, an 
                  <link href="3-203-1164" style="ACTLinkPLCtoPLC">
                    <ital>AIM admission document</ital>
                  </link>
                   or a 
                  <link href="5-107-7072" style="ACTLinkPLCtoPLC">
                    <ital>prospectus</ital>
                  </link>
                  , see 
                  <link href="w-016-9014" style="ACTLinkPLCtoPLC">
                    <ital>Standard document, Summary of proposed long term incentive plan</ital>
                  </link>
                  .
                </paratext>
              </para>
            </division>
          </drafting.note>
          <para>
            <paratext>Rules of the [COMPANY NAME] Long term incentive plan.</paratext>
          </para>
          <para>
            <paratext>Established by resolution of the board of directors of the Company on [DATE].</paratext>
          </para>
          <para>
            <paratext>Approved at a general meeting of shareholders on [DATE].</paratext>
          </para>
        </preamble>
        <operative xrefname="rule">
          <clause id="a474021">
            <identifier>1.</identifier>
            <head align="left" preservecase="true">
              <headtext>Interpretation</headtext>
            </head>
            <para>
              <paratext>The following definitions and rules of interpretation apply in the Plan.</paratext>
            </para>
            <subclause1 id="a336895">
              <identifier>1.1</identifier>
              <para>
                <paratext>Definitions</paratext>
              </para>
              <defn.item id="a154425">
                <defn.term>Acceptance Notice</defn.term>
                <defn>
                  <para>
                    <paratext>a document in a form approved by the Board that the Award Holder must sign and return to the Company as a condition of the Release of a Non-Option Award.</paratext>
                  </para>
                </defn>
                <drafting.note id="a323660" jurisdiction="">
                  <head align="left" preservecase="true">
                    <headtext>Acceptance Notice</headtext>
                  </head>
                  <division id="a000009" level="1">
                    <para>
                      <paratext>This is a notice that the Award Holder must sign as a condition of the Release of a Non-Option Award. It includes the Award Holder's acceptance of the clawback provisions and a power of attorney allowing the Company to sell sufficient shares to cover a Tax Liability. The Exercise Notice fulfils the same role for an Option.</paratext>
                    </para>
                  </division>
                </drafting.note>
              </defn.item>
              <defn.item id="a242108">
                <defn.term>Acquiror</defn.term>
                <defn>
                  <para>
                    <paratext>a person who obtains Control of the Company either alone or together with persons Acting in Concert.</paratext>
                  </para>
                </defn>
              </defn.item>
              <defn.item id="a337576">
                <defn.term>Acting in Concert</defn.term>
                <defn>
                  <para>
                    <paratext>has the meaning given to it in the City Code on Takeovers and Mergers published by the Panel on Takeovers and Mergers.</paratext>
                  </para>
                </defn>
                <drafting.note id="a862357" jurisdiction="">
                  <head align="left" preservecase="true">
                    <headtext>Acting in Concert</headtext>
                  </head>
                  <division id="a000010" level="1">
                    <para>
                      <paratext>This definition is principally used in the definition of Acquiror.</paratext>
                    </para>
                  </division>
                </drafting.note>
              </defn.item>
              <defn.item id="a918149">
                <defn.term>Adoption Date</defn.term>
                <defn>
                  <para>
                    <paratext>the date of the approval of the Plan by the Company's shareholders.</paratext>
                  </para>
                </defn>
              </defn.item>
              <defn.item id="a280550">
                <defn.term>Award</defn.term>
                <defn>
                  <para>
                    <paratext>any of the following:</paratext>
                  </para>
                  <list type="loweralpha">
                    <list.item>
                      <para>
                        <paratext>a Cash-settled Share Appreciation Right;</paratext>
                      </para>
                    </list.item>
                    <list.item>
                      <para>
                        <paratext>a Conditional Share Award;</paratext>
                      </para>
                    </list.item>
                    <list.item>
                      <para>
                        <paratext>a Forfeitable Share Award;</paratext>
                      </para>
                    </list.item>
                    <list.item>
                      <para>
                        <paratext>a Market Value Option;</paratext>
                      </para>
                    </list.item>
                    <list.item>
                      <para>
                        <paratext>a Nil Cost Option;</paratext>
                      </para>
                    </list.item>
                    <list.item>
                      <para>
                        <paratext>a Nominal Cost Option;</paratext>
                      </para>
                    </list.item>
                    <list.item>
                      <para>
                        <paratext>a Phantom Option;</paratext>
                      </para>
                    </list.item>
                    <list.item>
                      <para>
                        <paratext>a Phantom Share Award; or</paratext>
                      </para>
                    </list.item>
                    <list.item>
                      <para>
                        <paratext>a Share-settled Share Appreciation Right.</paratext>
                      </para>
                    </list.item>
                  </list>
                </defn>
              </defn.item>
              <defn.item id="a969369">
                <defn.term>Award Certificate</defn.term>
                <defn>
                  <para>
                    <paratext>
                      a certificate setting out the terms of an Award, in accordance with 
                      <internal.reference refid="a959101">rule 2.4</internal.reference>
                      .
                    </paratext>
                  </para>
                </defn>
              </defn.item>
              <defn.item id="a910198">
                <defn.term>Award Holder</defn.term>
                <defn>
                  <para>
                    <paratext>an individual who holds an Award or, where applicable, that individual's personal representatives.</paratext>
                  </para>
                </defn>
              </defn.item>
              <defn.item id="a714690">
                <defn.term>Base Price</defn.term>
                <defn>
                  <para>
                    <paratext>the amount (if any) which is deducted from the Market Value of a Share in order to determine the amount due to the Award Holder who exercises a Phantom Option or when a Share Appreciation Right is Released. For the avoidance of doubt, the Base Price in relation to a Phantom Option may be nil.</paratext>
                  </para>
                </defn>
                <drafting.note id="a1011688" jurisdiction="">
                  <head align="left" preservecase="true">
                    <headtext>Base Price</headtext>
                  </head>
                  <division id="a000011" level="1">
                    <para>
                      <paratext>Base Price is used to calculate the amount of value due to an Award Holder who exercises a Phantom Option, or when a Share Appreciation Right is Released.</paratext>
                    </para>
                  </division>
                </drafting.note>
              </defn.item>
              <defn.item id="a284081">
                <defn.term>Board</defn.term>
                <defn>
                  <para>
                    <paratext>the board of directors of the Company or a committee of directors appointed by that board to carry out any of its functions under the Plan.</paratext>
                  </para>
                </defn>
                <drafting.note id="a197316" jurisdiction="">
                  <head align="left" preservecase="true">
                    <headtext>Board</headtext>
                  </head>
                  <division id="a000012" level="1">
                    <para>
                      <paratext>An appropriately constituted remuneration committee should be responsible for most decisions relating to share incentives awarded to directors and senior managers by companies subject to the Investment Association principles of remuneration. This definition includes a remuneration committee, or any other type of committee to whom the board of directors delegate their functions under the Plan.</paratext>
                    </para>
                  </division>
                </drafting.note>
              </defn.item>
              <defn.item id="a676033">
                <defn.term>Business Day</defn.term>
                <defn>
                  <para>
                    <paratext>a day other than a Saturday, Sunday or public holiday in England when banks in London are open for business.</paratext>
                  </para>
                </defn>
                <drafting.note id="a903033" jurisdiction="">
                  <head align="left" preservecase="true">
                    <headtext>Business Day</headtext>
                  </head>
                  <division id="a000013" level="1">
                    <para>
                      <paratext>
                        This is only used in 
                        <internal.reference refid="a360067">rule 25</internal.reference>
                         (Notices).
                      </paratext>
                    </para>
                  </division>
                </drafting.note>
              </defn.item>
              <defn.item id="a651148">
                <defn.term>Cash-settled Award</defn.term>
                <defn>
                  <para>
                    <paratext>any of the following:</paratext>
                  </para>
                  <list type="loweralpha">
                    <list.item>
                      <para>
                        <paratext>a Cash-settled Share Appreciation Right;</paratext>
                      </para>
                    </list.item>
                    <list.item>
                      <para>
                        <paratext>a Phantom Option; or</paratext>
                      </para>
                    </list.item>
                    <list.item>
                      <para>
                        <paratext>a Phantom Share Award.</paratext>
                      </para>
                    </list.item>
                  </list>
                </defn>
              </defn.item>
              <defn.item id="a684250">
                <defn.term>Cash-settled Share Appreciation Right</defn.term>
                <defn>
                  <para>
                    <paratext>a right to receive a cash payment on the Release Date equal to the Market Value of a specified number (N) of Shares minus the Base Price of those Shares.</paratext>
                  </para>
                </defn>
                <drafting.note id="a470985" jurisdiction="">
                  <head align="left" preservecase="true">
                    <headtext>Cash-settled Share Appreciation Right</headtext>
                  </head>
                  <division id="a000014" level="1">
                    <para>
                      <paratext>This is a right to receive a cash payment on the Release Date. The cash payment is calculated as the Market Value of a number (N) of Shares minus a Base Price. For example:</paratext>
                    </para>
                    <list type="bulleted">
                      <list.item>
                        <para>
                          <paratext>The Award Holder receives a Cash-settled Share Appreciation Right over 20,000 Shares with a Base Price of £10 per Share.</paratext>
                        </para>
                      </list.item>
                      <list.item>
                        <para>
                          <paratext>On the Release Date, the Market Value of a Share is £15.</paratext>
                        </para>
                      </list.item>
                      <list.item>
                        <para>
                          <paratext>The payment due under the Cash-settled Share Appreciation Right is £100,000, calculated as (£15 - £10) x 20,000.</paratext>
                        </para>
                      </list.item>
                    </list>
                  </division>
                </drafting.note>
              </defn.item>
              <defn.item id="a418292">
                <defn.term>Clawback Amount</defn.term>
                <defn>
                  <para>
                    <paratext>
                      an amount of value determined in accordance with 
                      <internal.reference refid="a391918">rule 11</internal.reference>
                      .
                    </paratext>
                  </para>
                </defn>
              </defn.item>
              <defn.item id="a157429">
                <defn.term>Closed Period</defn.term>
                <defn>
                  <para>
                    <paratext>has the same meaning as in UK MAR.</paratext>
                  </para>
                </defn>
              </defn.item>
              <defn.item id="a170979">
                <defn.term>Company</defn.term>
                <defn>
                  <para>
                    <paratext>[FULL COMPANY NAME] incorporated and registered in [COUNTRY OF INCORPORATION] with number [NUMBER].</paratext>
                  </para>
                </defn>
              </defn.item>
              <defn.item id="a600353">
                <defn.term>Conditional Share Award</defn.term>
                <defn>
                  <para>
                    <paratext>a right to acquire for no cost a specified number of Shares on the Release Date.</paratext>
                  </para>
                </defn>
                <drafting.note id="a795470" jurisdiction="">
                  <head align="left" preservecase="true">
                    <headtext>Conditional Share Award</headtext>
                  </head>
                  <division id="a000015" level="1">
                    <para>
                      <paratext>
                        This is a right to acquire a specified number of Shares in future. The Shares must be delivered to the Award Holder on the Release Date. No payment is due from the Award Holder for the Shares. At first sight this conflicts with the requirement in 
                        <link href="2-506-2001" style="ACTLinkPLCtoPLC">
                          <ital>section 580</ital>
                        </link>
                         of the Companies Act 2006 that a company cannot issue shares at a discount to their nominal value. This is generally dealt with by funding an EBT to subscribe for new shares, or acquire shares in the market, and transfer them to the Award Holder. For more information, see 
                        <link href="8-205-0145#a400044" style="ACTLinkPLCtoPLC">
                          <ital>Practice note, Sourcing shares and hedging for share plans: Sourcing shares is a particular issue for LTIPs</ital>
                        </link>
                        .
                      </paratext>
                    </para>
                    <para>
                      <paratext>
                        Another reason for using an EBT to acquire the Shares is to ensure that the Award falls outside the definition of a "discounted option" and therefore does not require shareholder approval under 
                        <link href="https://www.handbook.fca.org.uk/handbook/LR/9/4.html" style="ACTLinkURL">
                          <ital>LR 9.4.4</ital>
                        </link>
                        . For a detailed discussion of the issues surrounding shareholder approval for Conditional Shares, see 
                        <link href="4-382-0184#a103485" style="ACTLinkPLCtoPLC">
                          <ital>Practice note, Listing Rules: employee share schemes aspects: Is a nil cost option a "discounted option" requiring shareholder approval?</ital>
                        </link>
                        .
                      </paratext>
                    </para>
                  </division>
                </drafting.note>
              </defn.item>
              <defn.item id="a206655">
                <defn.term>Control</defn.term>
                <defn>
                  <para>
                    <paratext>
                      shall be as defined in section 719 of ITEPA 2003 and the expression 
                      <defn.term>change of Control</defn.term>
                       shall be construed accordingly.
                    </paratext>
                  </para>
                </defn>
                <drafting.note id="a253561" jurisdiction="">
                  <head align="left" preservecase="true">
                    <headtext>Control</headtext>
                  </head>
                  <division id="a000016" level="1">
                    <para>
                      <paratext>
                        We suggest using the definition of Control in 
                        <link href="6-513-5492" style="ACTLinkPLCtoPLC">
                          <ital>section 719</ital>
                        </link>
                         of ITEPA 2003, since this definition must be used in any tax-advantaged plans that the Company operates. For ease of reference, it reads as follows:
                      </paratext>
                    </para>
                    <display.quote>
                      <para>
                        <paratext>"In relation to a body corporate ("company A"), "control" means the power of a person ("P") to secure–</paratext>
                      </para>
                    </display.quote>
                    <display.quote>
                      <para>
                        <paratext>(a) by means of the holding of shares or the possession of voting power in relation to that or any other body corporate, or</paratext>
                      </para>
                    </display.quote>
                    <display.quote>
                      <para>
                        <paratext>(b) as a result of any powers conferred by the articles of association or other document regulating that or any other body corporate,</paratext>
                      </para>
                    </display.quote>
                    <display.quote>
                      <para>
                        <paratext>that the affairs of company A are conducted in accordance with P's wishes."</paratext>
                      </para>
                    </display.quote>
                  </division>
                </drafting.note>
              </defn.item>
              <defn.item condition="optional" id="a340764">
                <defn.term>CSOP Option</defn.term>
                <defn>
                  <para>
                    <paratext>
                      a Market Value Option granted under the terms of 
                      <internal.reference refid="a426489">Schedule 1</internal.reference>
                      .
                    </paratext>
                  </para>
                </defn>
                <drafting.note id="a343056" jurisdiction="">
                  <head align="left" preservecase="true">
                    <headtext>CSOP Option (optional definition)</headtext>
                  </head>
                  <division id="a000017" level="1">
                    <para>
                      <paratext>This definition is optional and can be deleted if the Company does not want to use a CSOP sub-plan.</paratext>
                    </para>
                  </division>
                </drafting.note>
              </defn.item>
              <defn.item id="a412777">
                <defn.term>Dealing Day</defn.term>
                <defn>
                  <para>
                    <paratext>a day on which the London Stock Exchange is open for business.</paratext>
                  </para>
                </defn>
              </defn.item>
              <defn.item id="a864027">
                <defn.term>Dilutive Shares</defn.term>
                <defn>
                  <para>
                    <paratext>on any date, all shares of the Company which:</paratext>
                  </para>
                  <para>
                    <paratext>a. have been issued, or transferred out of treasury, on the exercise of options granted, or in satisfaction of any other awards made, under any Share Incentive Scheme (including the Plan) during [the shorter of]:</paratext>
                  </para>
                  <para>
                    <paratext>i. the ten years ending on (and including) that date[; and</paratext>
                  </para>
                  <para>
                    <paratext>ii. [the period since such shares were first admitted to the Official List maintained by the Financial Conduct Authority; and]</paratext>
                  </para>
                  <para>
                    <paratext>b. remain capable of issue, or transfer out of treasury, under any Existing Award.</paratext>
                  </para>
                  <para>
                    <paratext>For the avoidance of doubt, Shares subject to Cash-settled Awards and Transfer Only Awards are not Dilutive Shares.</paratext>
                  </para>
                </defn>
                <drafting.note id="a265952" jurisdiction="">
                  <head align="left" preservecase="true">
                    <headtext>Dilutive Shares</headtext>
                  </head>
                  <division id="a000018" level="1">
                    <para>
                      <paratext>
                        This definition is required for compliance with the Investment Association principles of remuneration and is used in 
                        <internal.reference refid="a272740">rule 5</internal.reference>
                        .
                      </paratext>
                    </para>
                    <para>
                      <paratext>Shares under Options which can no longer be exercised and Non-Option Awards that have lapsed are excluded from the definition of Dilutive Shares, because this means that the headroom for further new Awards to be granted under the Plan will increase accordingly as soon as an Award either:</paratext>
                    </para>
                    <list type="bulleted">
                      <list.item>
                        <para>
                          <paratext>
                            Lapses (in whole or in part), for example because of failure to meet, or only partial satisfaction of, Performance Conditions (see 
                            <internal.reference refid="a740292">rule 3.6</internal.reference>
                            ).
                          </paratext>
                        </para>
                      </list.item>
                      <list.item>
                        <para>
                          <paratext>
                            Becomes subject to pro-rated limits under 
                            <internal.reference refid="a818297">rule 18.2</internal.reference>
                             or 
                            <internal.reference refid="a576911">rule 19.2</internal.reference>
                            .
                          </paratext>
                        </para>
                      </list.item>
                    </list>
                    <para>
                      <paratext>
                        Paragraph (a)(ii) of the definition of Dilutive Shares may be useful if the Plan is to be implemented immediately before or some time after an 
                        <link href="9-107-6264" style="ACTLinkPLCtoPLC">
                          <bold>
                            <ital>initial public offer</ital>
                          </bold>
                        </link>
                        . The company might decide that investors have been put on notice of existing outstanding awards by appropriate statements in the listing circular, so the percentage limit set under 
                        <internal.reference refid="a272740">rule 5</internal.reference>
                         only needs to apply to options granted after the date of admission.
                      </paratext>
                    </para>
                  </division>
                </drafting.note>
              </defn.item>
              <defn.item id="a941389">
                <defn.term>Discretionary Dilutive Shares</defn.term>
                <defn>
                  <para>
                    <paratext>Dilutive Shares which:</paratext>
                  </para>
                  <list type="loweralpha">
                    <list.item>
                      <para>
                        <paratext>were acquired under; or</paratext>
                      </para>
                    </list.item>
                    <list.item>
                      <para>
                        <paratext>remain subject to Existing Awards granted under,</paratext>
                      </para>
                    </list.item>
                  </list>
                  <para>
                    <paratext>any Share Incentive Scheme (including the Plan) under which awards:</paratext>
                  </para>
                  <list type="loweralpha">
                    <list.item>
                      <para>
                        <paratext>are made at the discretion of the Board or any other grantor; and</paratext>
                      </para>
                    </list.item>
                    <list.item>
                      <para>
                        <paratext>do not have to be offered to all, or substantially all, employees who are eligible to participate.</paratext>
                      </para>
                    </list.item>
                  </list>
                </defn>
                <drafting.note id="a84370" jurisdiction="">
                  <head align="left" preservecase="true">
                    <headtext>Discretionary Dilutive Shares</headtext>
                  </head>
                  <division id="a000019" level="1">
                    <para>
                      <paratext>
                        This definition is required for compliance with the Investment Association principles of remuneration. It is used in 
                        <internal.reference refid="a762844">rule 5.2</internal.reference>
                        .
                      </paratext>
                    </para>
                  </division>
                </drafting.note>
              </defn.item>
              <defn.item id="a144438">
                <defn.term>Dividend Equivalent</defn.term>
                <defn>
                  <para>
                    <paratext>
                      has the meaning set out in 
                      <internal.reference refid="a62542">rule 4</internal.reference>
                      .
                    </paratext>
                  </para>
                </defn>
              </defn.item>
              <defn.item id="a931618">
                <defn.term>Employee</defn.term>
                <defn>
                  <para>
                    <paratext>any individual who is an employee (including an executive director) of a Group Company.</paratext>
                  </para>
                </defn>
              </defn.item>
              <defn.item id="a876732">
                <defn.term>Employer Company</defn.term>
                <defn>
                  <para>
                    <paratext>the Award Holder's employer or former employer as applicable.</paratext>
                  </para>
                </defn>
                <drafting.note id="a599247" jurisdiction="">
                  <head align="left" preservecase="true">
                    <headtext>Employer Company</headtext>
                  </head>
                  <division id="a000020" level="1">
                    <para>
                      <paratext>The employee's employing company, or former employing company, is primarily responsible for accounting for income tax under PAYE to HMRC.</paratext>
                    </para>
                  </division>
                </drafting.note>
              </defn.item>
              <defn.item id="a428462">
                <defn.term>Employer NICs</defn.term>
                <defn>
                  <para>
                    <paratext>
                      any secondary class 1 (employer) NICs (or the equivalent in any jurisdiction) that any Employer Company is liable to pay (or reasonably believes it is liable to pay) as a result of any Taxable Event (or which it would be liable to pay in the absence of an election referred to in 
                      <internal.reference refid="a260250">rule 23.4</internal.reference>
                      ) and which may be lawfully recovered from the Award Holder.
                    </paratext>
                  </para>
                </defn>
              </defn.item>
              <defn.item id="a452337">
                <defn.term>Employment Period</defn.term>
                <defn>
                  <para>
                    <paratext>the period that starts on the Grant Date and ends on such date as the Board may specify, not being earlier than the [third] anniversary of the Grant Date.</paratext>
                  </para>
                </defn>
                <drafting.note id="a703915" jurisdiction="">
                  <head align="left" preservecase="true">
                    <headtext>Employment Period</headtext>
                  </head>
                  <division id="a000021" level="1">
                    <para>
                      <paratext>The Investment Association principles of remuneration say that Awards should be subject to the Award Holder remaining in employment for at least three years.</paratext>
                    </para>
                  </division>
                </drafting.note>
              </defn.item>
              <defn.item id="a127719">
                <defn.term>Exercise Date</defn.term>
                <defn>
                  <para>
                    <paratext>in relation to an Option, the date on which it is exercised.</paratext>
                  </para>
                </defn>
              </defn.item>
              <defn.item id="a401428">
                <defn.term>Exercise Notice</defn.term>
                <defn>
                  <para>
                    <paratext>a document in a form approved by the Board that the Award Holder must sign and return to the Company in order to exercise an Option.</paratext>
                  </para>
                </defn>
              </defn.item>
              <defn.item id="a831774">
                <defn.term>Exercise Price</defn.term>
                <defn>
                  <para>
                    <paratext>the price at which each Share subject to a Market Value Option or Nominal Cost Option may be acquired on the exercise of that Option.</paratext>
                  </para>
                </defn>
              </defn.item>
              <defn.item id="a286297">
                <defn.term>Existing Award</defn.term>
                <defn>
                  <para>
                    <paratext>an option or any other right or award under which shares in the Company may be acquired or received, granted under any Share Incentive Scheme (including the Plan).</paratext>
                  </para>
                </defn>
              </defn.item>
              <defn.item id="a933662">
                <defn.term>Forfeitable Share Award</defn.term>
                <defn>
                  <para>
                    <paratext>
                      an award of Shares which are subject to forfeiture, as set out in 
                      <internal.reference refid="a152884">rule 7</internal.reference>
                      .
                    </paratext>
                  </para>
                </defn>
                <drafting.note id="a714568" jurisdiction="">
                  <head align="left" preservecase="true">
                    <headtext>Forfeitable Share Award</headtext>
                  </head>
                  <division id="a000022" level="1">
                    <para>
                      <paratext>Under this type of Award, the Shares are delivered to the Award Holder on the Grant Date. If the Award lapses, the Shares are forfeited. The Shares are registered in the name of a trustee or nominee so that the Award Holder cannot dispose of them before the Release Date.</paratext>
                    </para>
                    <para>
                      <paratext>
                        No payment is due from the Award Holder for the Shares. For a discussion of the company law issues this raises, see 
                        <internal.reference refid="a795470">Drafting note, Conditional share award</internal.reference>
                        .
                      </paratext>
                    </para>
                    <para>
                      <paratext>
                        Assuming that the maximum period of forfeiture is less than five years, there will generally not be an income tax charge on award of Forfeitable Shares. Instead, the value of the shares will be taxed when the forfeiture restriction is lifted. For a more detailed discussion of the UK tax issues, see 
                        <link href="3-364-2007" style="ACTLinkPLCtoPLC">
                          <ital>Practice note, Restricted securities</ital>
                        </link>
                        .
                      </paratext>
                    </para>
                  </division>
                </drafting.note>
              </defn.item>
              <defn.item id="a665049">
                <defn.term>Grant Date</defn.term>
                <defn>
                  <para>
                    <paratext>the date on which an Award is, was, or is to be granted.</paratext>
                  </para>
                </defn>
              </defn.item>
              <defn.item id="a252466">
                <defn.term>Group</defn.term>
                <defn>
                  <para>
                    <paratext>the Company and any Subsidiary from time to time.</paratext>
                  </para>
                </defn>
              </defn.item>
              <defn.item id="a654583">
                <defn.term>Group Company</defn.term>
                <defn>
                  <para>
                    <paratext>any member of the Group.</paratext>
                  </para>
                </defn>
              </defn.item>
              <defn.item id="a490461">
                <defn.term>HMRC</defn.term>
                <defn>
                  <para>
                    <paratext>Her Majesty's Revenue &amp; Customs.</paratext>
                  </para>
                </defn>
              </defn.item>
              <defn.item id="a653324">
                <defn.term>Holding Period</defn.term>
                <defn>
                  <para>
                    <paratext>the period that starts on the Release Date and ends on such date as the Board may specify, not being earlier than the [fifth] anniversary of the Grant Date.</paratext>
                  </para>
                </defn>
                <drafting.note id="a878862" jurisdiction="">
                  <head align="left" preservecase="true">
                    <headtext>Holding Period</headtext>
                  </head>
                  <division id="a000023" level="1">
                    <para>
                      <paratext>
                        <link anchor="a283006" href="w-014-0498" style="ACTLinkPLCtoPLC">
                          <ital>Provision 36</ital>
                        </link>
                         of the UK Corporate Governance Code requires a total period of at least five years between the Award being granted and the Award Holder being allowed to sell the Shares. During this period, the Shares are held by the Nominee and the Award Holder is permitted to sell only sufficient Shares to cover tax and acquisition costs.
                      </paratext>
                    </para>
                  </division>
                </drafting.note>
              </defn.item>
              <defn.item id="a599857">
                <defn.term>Incentive Stock Option</defn.term>
                <defn>
                  <para>
                    <paratext>
                      a Market Value Option granted under the terms of 
                      <internal.reference refid="a415369">Schedule 2</internal.reference>
                       of 
                      <internal.reference refid="a415369">Schedule 2</internal.reference>
                      .
                    </paratext>
                  </para>
                </defn>
                <drafting.note id="a999347" jurisdiction="">
                  <head align="left" preservecase="true">
                    <headtext>Incentive Stock Option (optional definition)</headtext>
                  </head>
                  <division id="a000024" level="1">
                    <para>
                      <paratext>This is needed only if the Company wishes to grant ISOs to US taxpayers.</paratext>
                    </para>
                  </division>
                </drafting.note>
              </defn.item>
              <defn.item id="a223120">
                <defn.term>ITEPA 2003</defn.term>
                <defn>
                  <para>
                    <paratext>the Income Tax (Earnings and Pensions) Act 2003.</paratext>
                  </para>
                </defn>
              </defn.item>
              <defn.item id="a518404">
                <defn.term>Listing Rules</defn.term>
                <defn>
                  <para>
                    <paratext>the Listing Rules issued by the Financial Conduct Authority, as amended from time to time.</paratext>
                  </para>
                </defn>
              </defn.item>
              <defn.item id="a885893">
                <defn.term>Market Value</defn.term>
                <defn>
                  <para>
                    <paratext>whichever of the following applies:</paratext>
                  </para>
                  <list type="loweralpha">
                    <list.item>
                      <para>
                        <paratext>
                          For the purposes of determining on any Grant Date on which Shares are listed on the London Stock Exchange either the Exercise Price of a Market Value Option; or the Market Value of an Award for the purposes of 
                          <internal.reference refid="a341102">rule 6</internal.reference>
                          , Market Value means the average of the middle market quotations for a Share for the [three OR five] immediately preceding Dealing Days (but excluding any Dealing Days that fall in a Closed Period).
                        </paratext>
                      </para>
                    </list.item>
                    <list.item>
                      <para>
                        <paratext>
                          For the purposes of calculating on any Exercise Date or Release Date on which Shares are listed on the London Stock Exchange: the payment due from a Cash-settled Share Appreciation Right, Phantom Option or Phantom Share Award; the Market Value of Shares subject to a Share-settled Share Appreciation Right; or the Market Value of a Share for the purposes of 
                          <internal.reference refid="a309757">rule 16</internal.reference>
                          , the Company may use any actual price or the average price at which transactions in Shares took place on the London Stock Exchange on that day.
                        </paratext>
                      </para>
                    </list.item>
                    <list.item>
                      <para>
                        <paratext>
                          For the purposes of calculating the Market Value of Shares for the purposes of 
                          <internal.reference refid="a391918">rule 11</internal.reference>
                          , Market Value means the middle-market quotation of a Share on the day on which the Market Value is measured (if Shares were listed on the London Stock Exchange on that day) or if that day is not a Dealing Day, on the immediately preceding Dealing Day.
                        </paratext>
                      </para>
                    </list.item>
                    <list.item>
                      <para>
                        <paratext>If Market Value has to be determined in relation to any day on which Shares are not listed on the London Stock Exchange, the Board shall determine it to its satisfaction in accordance with the applicable provisions of Part VIII of the Taxation of Chargeable Gains Act 1992.</paratext>
                      </para>
                    </list.item>
                  </list>
                </defn>
                <drafting.note id="a1009599" jurisdiction="">
                  <head align="left" preservecase="true">
                    <headtext>Market Value</headtext>
                  </head>
                  <division id="a000025" level="1">
                    <para>
                      <paratext>Market Value is used in several contexts in the Plan. It can mean different things in different contexts.</paratext>
                    </para>
                    <para>
                      <paratext>Paragraph (a) deals with Market Value for the purposes of:</paratext>
                    </para>
                    <list type="bulleted">
                      <list.item>
                        <para>
                          <paratext>Determining the Exercise Price of a Market Value Option.</paratext>
                        </para>
                      </list.item>
                      <list.item>
                        <para>
                          <paratext>
                            Determining the value of an Award for the purposes of the individual limit in 
                            <internal.reference refid="a341102">rule 6</internal.reference>
                            .
                          </paratext>
                        </para>
                      </list.item>
                    </list>
                    <para>
                      <paratext>For these purposes, Market Value is averaged over a period of three to five days, depending on the drafting choices. Averaging is used so as to reduce the risk of testing Market Value on a day on which there is a spike or trough in the quoted price. There is no requirement in MAR or the IA principles of remuneration requiring the exclusion of any Dealing Days falling within a Closed Period, but this is considered best practice. If not excluded and results are better than the market expects, the share price could rise significantly after the announcement, meaning that a price taken during the Closed Period would not reflect the "true" market value.</paratext>
                    </para>
                    <para>
                      <paratext>
                        Paragraph (b) deals with the settlement of Share Appreciation Rights, Phantom Options and Phantom Share Awards, and alternative forms of settlement under 
                        <internal.reference refid="a309757">rule 16</internal.reference>
                        . The Company can use any listed price on that day. This allows the Company to align the value as closely as possible with the position of an Award Holder who sells Shares immediately following Release. So, for example if some Award Holders with Conditional Shares sell them immediately after Release, the same price can be used for the settlement of Phantom Awards.
                      </paratext>
                    </para>
                    <para>
                      <paratext>
                        This is needed in relation to alternative forms of settlement in order to deal with a practical problem with settling awards on a net basis. It would not be fair to use an averaging formula, because the Award Holder may not be able to sell the Shares at that historical average price, since the actual price will move around during the day. In practice, the Company should plan the process with its brokers so that the Award Holders are protected as far as possible. (See 
                        <link href="4-566-1776#a301546" style="ACTLinkPLCtoPLC">
                          <ital>Practice note, Net settling employee share options: The role of the broker</ital>
                        </link>
                        .)
                      </paratext>
                    </para>
                    <para>
                      <paratext>Paragraph (c) deals with valuing Shares for the purposes of Clawback. The Board uses the middle market quotation for the day on which the value has to be measured.</paratext>
                    </para>
                    <para>
                      <paratext>
                        Paragraph (d) is relevant if the Market Value has to be determined at a time when the Shares are no longer listed on the main market, the Market Value is determined in accordance with 
                        <link href="4-513-7048" style="ACTLinkPLCtoPLC">
                          <ital>section 273</ital>
                        </link>
                         of the Taxation of Chargeable Gains Act 1992, which deals with "unquoted" shares and securities. If the shares are traded on any market, this is likely to be strongly indicative of their Market Value, but this is not always the case.
                      </paratext>
                    </para>
                    <para>
                      <paratext>
                        There is no statutory requirement for Market Value to be determined in accordance with Part VIII of the Taxation of Chargeable Gains Act 1992 when setting the exercise price for a share option. However, the Part VIII definition sets out a valuation approach that is very widely used and understood in share plan practice, and has also been considered in case law. For more information, see 
                        <link href="4-605-4565" style="ACTLinkPLCtoPLC">
                          <ital>Practice note, Valuing employee shares</ital>
                        </link>
                        .
                      </paratext>
                    </para>
                  </division>
                </drafting.note>
              </defn.item>
              <defn.item id="a750196">
                <defn.term>Market Value Option</defn.term>
                <defn>
                  <para>
                    <paratext>an Option to acquire Shares of which the Exercise Price is not less than the Market Value of a Share on its Grant Date.</paratext>
                  </para>
                </defn>
                <drafting.note id="a1041643" jurisdiction="">
                  <head align="left" preservecase="true">
                    <headtext>Market Value Option</headtext>
                  </head>
                  <division id="a000026" level="1">
                    <para>
                      <paratext>This is a classic employee share option. The Award Holder is granted an Option over a number of Shares. The Exercise Price for the Option cannot be less than the Market Value of the Shares on its Grant Date. The Award Holder can exercise the Option at any time after its Release Date.</paratext>
                    </para>
                  </division>
                </drafting.note>
              </defn.item>
              <defn.item id="a538746">
                <defn.term>NICs</defn.term>
                <defn>
                  <para>
                    <paratext>National Insurance contributions.</paratext>
                  </para>
                </defn>
              </defn.item>
              <defn.item id="a610983">
                <defn.term>Nil Cost Option</defn.term>
                <defn>
                  <para>
                    <paratext>an Option to acquire Shares for no payment.</paratext>
                  </para>
                </defn>
                <drafting.note id="a924149" jurisdiction="">
                  <head align="left" preservecase="true">
                    <headtext>Nil Cost Option</headtext>
                  </head>
                  <division id="a000027" level="1">
                    <para>
                      <paratext>This type of award is very similar to a Conditional Share Award. The difference is that Conditional Shares are delivered automatically on the Release Date but Shares subject to a Nil Cost Option are not delivered to the Award Holder until the Option is exercised.</paratext>
                    </para>
                    <para>
                      <paratext>
                        No payment is due from the Award Holder for the Shares. For a discussion of the company law issues and LR issues this raises, see 
                        <internal.reference refid="a795470">Drafting note, Conditional Share Award</internal.reference>
                        .
                      </paratext>
                    </para>
                  </division>
                </drafting.note>
              </defn.item>
              <defn.item id="a486919">
                <defn.term>Nominal Cost Option</defn.term>
                <defn>
                  <para>
                    <paratext>an Option to acquire Shares for payment of an Exercise Price equal to their nominal value.</paratext>
                  </para>
                </defn>
                <drafting.note id="a316460" jurisdiction="">
                  <head align="left" preservecase="true">
                    <headtext>Nominal Cost Option</headtext>
                  </head>
                  <division id="a000028" level="1">
                    <para>
                      <paratext>
                        This type of award is the same as a Nil Cost Option except that there is an Exercise Price equal to the nominal value. A Nominal Cost Option is strictly a "discounted option" requiring shareholder approval under 
                        <link href="https://www.handbook.fca.org.uk/handbook/LR/9/4.html" style="ACTLinkURL">
                          <ital>LR 9.4.4</ital>
                        </link>
                        . It would normally be granted as a Transfer Only Award. For a detailed discussion of the issues this raises, see 
                        <link href="4-382-0184#a558364" style="ACTLinkPLCtoPLC">
                          <ital>Practice note, Listing Rules: employee share schemes aspects: Shareholder approval required for discounted option arrangements</ital>
                        </link>
                        .
                      </paratext>
                    </para>
                  </division>
                </drafting.note>
              </defn.item>
              <defn.item id="a773299">
                <defn.term>Nominee</defn.term>
                <defn>
                  <para>
                    <paratext>the person (including a trustee) nominated by the Board to hold the Shares on behalf of the Award Holder subject to the rules.</paratext>
                  </para>
                </defn>
                <drafting.note id="a515697" jurisdiction="">
                  <head align="left" preservecase="true">
                    <headtext>Nominee</headtext>
                  </head>
                  <division id="a000029" level="1">
                    <para>
                      <paratext>The Nominee is a person appointed by the Board to hold Shares in one of two circumstances:</paratext>
                    </para>
                    <list type="bulleted">
                      <list.item>
                        <para>
                          <paratext>In relation to Forfeitable Shares, throughout the whole period from the Grant Date to the end of the Holding Period.</paratext>
                        </para>
                      </list.item>
                      <list.item>
                        <para>
                          <paratext>In relation to all other Share-settled Awards, throughout the Holding Period.</paratext>
                        </para>
                      </list.item>
                    </list>
                    <para>
                      <paratext>The purpose of this is to police the restrictions on the sale of Shares.</paratext>
                    </para>
                  </division>
                </drafting.note>
              </defn.item>
              <defn.item id="a832039">
                <defn.term>Nominee Agreement</defn.term>
                <defn>
                  <para>
                    <paratext>a document in a form approved by the Board and executed by the Nominee, the Award Holder and the Company that sets out the terms on which the Nominee holds Shares.</paratext>
                  </para>
                </defn>
                <drafting.note id="a916088" jurisdiction="">
                  <head align="left" preservecase="true">
                    <headtext>Nominee Agreement</headtext>
                  </head>
                  <division id="a000030" level="1">
                    <para>
                      <paratext>
                        For a specimen Nominee Agreement, see 
                        <link href="8-621-8249" style="ACTLinkPLCtoPLC">
                          <ital>Standard document, Long term incentive plan (LTIP): nominee agreement</ital>
                        </link>
                        .
                      </paratext>
                    </para>
                  </division>
                </drafting.note>
              </defn.item>
              <defn.item id="a650407">
                <defn.term>Non-Option Award</defn.term>
                <defn>
                  <para>
                    <paratext>any of the following:</paratext>
                  </para>
                  <list type="loweralpha">
                    <list.item>
                      <para>
                        <paratext>a Cash-settled Share Appreciation Right;</paratext>
                      </para>
                    </list.item>
                    <list.item>
                      <para>
                        <paratext>a Conditional Share Award;</paratext>
                      </para>
                    </list.item>
                    <list.item>
                      <para>
                        <paratext>a Forfeitable Share Award;</paratext>
                      </para>
                    </list.item>
                    <list.item>
                      <para>
                        <paratext>a Phantom Share Award; or</paratext>
                      </para>
                    </list.item>
                    <list.item>
                      <para>
                        <paratext>a Share-settled Share Appreciation Right.</paratext>
                      </para>
                    </list.item>
                  </list>
                </defn>
              </defn.item>
              <defn.item id="a541559">
                <defn.term>Option</defn.term>
                <defn>
                  <para>
                    <paratext>a Market Value Option, a Nil Cost Option, a Nominal Cost Option or a Phantom Option.</paratext>
                  </para>
                </defn>
              </defn.item>
              <defn.item id="a728966">
                <defn.term>Performance Condition</defn.term>
                <defn>
                  <para>
                    <paratext>
                      a condition that complies with 
                      <internal.reference refid="a920421">rule 3</internal.reference>
                       and:
                    </paratext>
                  </para>
                  <list type="loweralpha">
                    <list.item>
                      <para>
                        <paratext>must be satisfied before an Award can be Released;</paratext>
                      </para>
                    </list.item>
                    <list.item>
                      <para>
                        <paratext>is linked to the achievement of challenging performance over a period of at least three years and has the intention of enhancing shareholder value; and</paratext>
                      </para>
                    </list.item>
                    <list.item>
                      <para>
                        <paratext>
                          is specified in the Award Certificate under 
                          <internal.reference refid="a959101">rule 2.4</internal.reference>
                          .
                        </paratext>
                      </para>
                    </list.item>
                  </list>
                </defn>
              </defn.item>
              <defn.item id="a508988">
                <defn.term>Performance Measurement Date</defn.term>
                <defn>
                  <para>
                    <paratext>the date on which the Board determines that any Performance Condition on the Release of the Award has been satisfied, unless an earlier event occurs to cause the Award to lapse or be Released. This date may not be:</paratext>
                  </para>
                  <list type="loweralpha">
                    <list.item>
                      <para>
                        <paratext>earlier than the first day after the end of the Performance Period; or</paratext>
                      </para>
                    </list.item>
                    <list.item>
                      <para>
                        <paratext>later than the tenth anniversary of the Grant Date.</paratext>
                      </para>
                    </list.item>
                  </list>
                  <para>
                    <paratext>For the avoidance of doubt, an Award may have more than one Performance Measurement Date.</paratext>
                  </para>
                </defn>
                <drafting.note id="a774610" jurisdiction="">
                  <head align="left" preservecase="true">
                    <headtext>Performance Measurement Date</headtext>
                  </head>
                  <division id="a000031" level="1">
                    <para>
                      <paratext>An Award can have more than one Performance Measurement Date. For example, one-third of the Award might be subject to a three year Performance Condition, one-third subject to four year Performance Condition and one-third subject to a five year Performance Condition. Such an Award would have three Performance Measurement Dates.</paratext>
                    </para>
                    <para>
                      <paratext>A Performance Measurement Date is linked to a Performance Condition. For example, if the Performance Condition is that the Company must achieve a certain financial target in its accounts for a particular year, the Performance Measurement Date cannot be earlier than the date on which the audited accounts for that year are published.</paratext>
                    </para>
                  </division>
                </drafting.note>
              </defn.item>
              <defn.item id="a303970">
                <defn.term>Performance Period</defn.term>
                <defn>
                  <para>
                    <paratext>the period over which performance is measured to determine whether a Performance Condition has been achieved, which shall not be less than three years.</paratext>
                  </para>
                </defn>
                <drafting.note id="a798821" jurisdiction="">
                  <head align="left" preservecase="true">
                    <headtext>Performance Period</headtext>
                  </head>
                  <division id="a000032" level="1">
                    <para>
                      <paratext>An Award can have more than one Performance Period.</paratext>
                    </para>
                    <para>
                      <paratext>The Investment Association principles of remuneration require performance conditions to be tested over at least three years and express a preference for a longer testing period.</paratext>
                    </para>
                  </division>
                </drafting.note>
              </defn.item>
              <defn.item id="a967923">
                <defn.term>Phantom Option</defn.term>
                <defn>
                  <para>
                    <paratext>an Option to receive a cash payment on exercise equal to the Market Value of a specified number of Shares minus the Base Price.</paratext>
                  </para>
                </defn>
                <drafting.note id="a49735" jurisdiction="">
                  <head align="left" preservecase="true">
                    <headtext>Phantom Option</headtext>
                  </head>
                  <division id="a000033" level="1">
                    <para>
                      <paratext>
                        This is similar to a Cash-settled Share Appreciation Right. The difference is that no payment is due to the Award Holder under the Phantom Option until the Award Holder exercises it. The Base Price for a Phantom Option could be nil, which would make it a "whole value" award. For more information, see
                        <ital> </ital>
                        <link href="0-585-2565" style="ACTLinkPLCtoPLC">
                          <ital>Practice note, Phantom shares and options</ital>
                        </link>
                        .
                      </paratext>
                    </para>
                  </division>
                </drafting.note>
              </defn.item>
              <defn.item id="a869952">
                <defn.term>Phantom Share Award</defn.term>
                <defn>
                  <para>
                    <paratext>a right to receive a cash payment on the Release Date equal to the Market Value of a specified number of Shares.</paratext>
                  </para>
                </defn>
                <drafting.note id="a380856" jurisdiction="">
                  <head align="left" preservecase="true">
                    <headtext>Phantom Share Award</headtext>
                  </head>
                  <division id="a000034" level="1">
                    <para>
                      <paratext>
                        This is similar to a Cash-settled Share Appreciation Right. The difference is that there is no Base Price so the whole value of the Shares is delivered to the Award Holder on the Release Date. The distinction between a Phantom Option and a Phantom Share is that a Phantom Share delivers the cash payment automatically with no exercise being required. For more information, see 
                        <link href="0-585-2565" style="ACTLinkPLCtoPLC">
                          <ital>Practice note, Phantom shares and options</ital>
                        </link>
                        .
                      </paratext>
                    </para>
                  </division>
                </drafting.note>
              </defn.item>
              <defn.item id="a441532">
                <defn.term>Plan</defn.term>
                <defn>
                  <para>
                    <paratext>the employee share plan constituted and governed by these rules, as amended from time to time.</paratext>
                  </para>
                </defn>
              </defn.item>
              <defn.item id="a328920">
                <defn.term>Redundancy</defn.term>
                <defn>
                  <para>
                    <paratext>has the meaning given by the Employment Rights Act 1996.</paratext>
                  </para>
                </defn>
              </defn.item>
              <defn.item id="a607221">
                <defn.term>Release</defn.term>
                <defn>
                  <para>
                    <paratext>means</paratext>
                  </para>
                  <list type="loweralpha">
                    <list.item>
                      <para>
                        <paratext>
                          in relation to an Option, that it becomes exercisable in accordance with 
                          <internal.reference refid="a995024">rule 12</internal.reference>
                          ;
                        </paratext>
                      </para>
                    </list.item>
                    <list.item>
                      <para>
                        <paratext>
                          in relation to a Conditional Share Award or a Share-settled Share Appreciation Right, that the Award Holder is entitled to beneficial ownership of the Shares subject to the Award in accordance with 
                          <internal.reference refid="a497277">rule 8</internal.reference>
                          ;
                        </paratext>
                      </para>
                    </list.item>
                    <list.item>
                      <para>
                        <paratext>
                          in relation to a Forfeitable Share Award, that the Shares subject to the Award cease to be subject to forfeiture in accordance with 
                          <internal.reference refid="a152884">rule 7</internal.reference>
                          ; and
                        </paratext>
                      </para>
                    </list.item>
                    <list.item>
                      <para>
                        <paratext>
                          in relation to a Cash-settled Share Appreciation Right or a Phantom Share Award, that the Award Holder is entitled to payment of the amount due under the Award in accordance with 
                          <internal.reference refid="a497277">rule 8</internal.reference>
                          .
                        </paratext>
                      </para>
                    </list.item>
                  </list>
                </defn>
              </defn.item>
              <defn.item id="a946238">
                <defn.term>Releasable Number</defn.term>
                <defn>
                  <para>
                    <paratext>
                      has the meaning given in 
                      <internal.reference refid="a324210">rule 20.1</internal.reference>
                      .
                    </paratext>
                  </para>
                </defn>
              </defn.item>
              <defn.item id="a630237">
                <defn.term>Release Date</defn.term>
                <defn>
                  <para>
                    <paratext>
                      is the date on which Release takes place and is determined in 
                      <internal.reference refid="a390464">rule 8.3</internal.reference>
                      .
                    </paratext>
                  </para>
                </defn>
              </defn.item>
              <defn.item id="a678265">
                <defn.term>Relevant Restriction</defn.term>
                <defn>
                  <para>
                    <paratext>a restriction stated in an Award Certificate that applies to Shares issued or transferred pursuant to the Award.</paratext>
                  </para>
                </defn>
                <drafting.note id="a356015" jurisdiction="">
                  <head align="left" preservecase="true">
                    <headtext>Relevant Restriction</headtext>
                  </head>
                  <division id="a000035" level="1">
                    <para>
                      <paratext>The Board may attach conditions to Shares that take effect after they have been issued or transferred to the Award Holder. All Share-settled Awards will be subject to restrictions on sale during the Holding Period and also subject to clawback.</paratext>
                    </para>
                  </division>
                </drafting.note>
              </defn.item>
              <defn.item id="a913589">
                <defn.term>Rollover Period</defn.term>
                <defn>
                  <para>
                    <paratext>
                      the period determined by the Acquiror during which an Award Holder can release an Award as set out in 
                      <internal.reference refid="a580292">rule 21</internal.reference>
                      .
                    </paratext>
                  </para>
                </defn>
              </defn.item>
              <defn.item id="a516735">
                <defn.term>Salary</defn.term>
                <defn>
                  <para>
                    <paratext>in relation to an Employee at any time means the rate of basic annual salary payable to that Employee by Group Companies.</paratext>
                  </para>
                </defn>
              </defn.item>
              <defn.item id="a914508">
                <defn.term>Share-settled Share Appreciation Right</defn.term>
                <defn>
                  <para>
                    <paratext>a right to receive on the Release Date a number of Shares whose Market Value is equal to the Market Value on the Release Date of a specified number (N) of Shares minus the Base Price of those Shares, rounded down to the nearest whole number.</paratext>
                  </para>
                </defn>
                <drafting.note id="a346221" jurisdiction="">
                  <head align="left" preservecase="true">
                    <headtext>Share-settled Share Appreciation Right</headtext>
                  </head>
                  <division id="a000036" level="1">
                    <para>
                      <paratext>This is a right to receive a number of Shares on the Release Date. The number is calculated from the value of a different number (N) of Shares minus a Base Price. For example:</paratext>
                    </para>
                    <list type="bulleted">
                      <list.item>
                        <para>
                          <paratext>The Award Holder receives a Share-settled Share Appreciation Right over 20,000 Shares with a Base Price of £10 per Share.</paratext>
                        </para>
                      </list.item>
                      <list.item>
                        <para>
                          <paratext>On the Release Date, the Market Value of a Share is £15.</paratext>
                        </para>
                      </list.item>
                      <list.item>
                        <para>
                          <paratext>The Market Value of the Shares due under the Share-settled Share Appreciation Right is £100,000, calculated as (£15 - £10) x 20,000.</paratext>
                        </para>
                      </list.item>
                      <list.item>
                        <para>
                          <paratext>This is divided by the Market Value of a single Share to calculate the number of Shares due to the Award Holder, that is: £100,000 / £15 = 6,666 Shares after rounding down.</paratext>
                        </para>
                      </list.item>
                    </list>
                  </division>
                </drafting.note>
              </defn.item>
              <defn.item id="a158475">
                <defn.term>Share-settled Award</defn.term>
                <defn>
                  <para>
                    <paratext>any of the following:</paratext>
                  </para>
                  <list type="loweralpha">
                    <list.item>
                      <para>
                        <paratext>a Conditional Share Award;</paratext>
                      </para>
                    </list.item>
                    <list.item>
                      <para>
                        <paratext>a Forfeitable Share Award;</paratext>
                      </para>
                    </list.item>
                    <list.item>
                      <para>
                        <paratext>a Market Value Option;</paratext>
                      </para>
                    </list.item>
                    <list.item>
                      <para>
                        <paratext>a Nil Cost Option;</paratext>
                      </para>
                    </list.item>
                    <list.item>
                      <para>
                        <paratext>a Nominal Cost Option;</paratext>
                      </para>
                    </list.item>
                    <list.item>
                      <para>
                        <paratext>a Share-settled Share Appreciation Right.</paratext>
                      </para>
                    </list.item>
                  </list>
                </defn>
              </defn.item>
              <defn.item id="a900693">
                <defn.term>Share Appreciation Right</defn.term>
                <defn>
                  <para>
                    <paratext>a Cash-settled Share Appreciation Right or a Share-settled Share Appreciation Right.</paratext>
                  </para>
                </defn>
                <drafting.note id="a886645" jurisdiction="">
                  <head align="left" preservecase="true">
                    <headtext>Share Appreciation Right</headtext>
                  </head>
                  <division id="a000037" level="1">
                    <para>
                      <paratext>
                        For more information on Share Appreciation Rights, see 
                        <link href="8-205-2979" style="ACTLinkPLCtoPLC">
                          <ital>Practice note, Share appreciation rights (SARs)</ital>
                        </link>
                        .
                      </paratext>
                    </para>
                  </division>
                </drafting.note>
              </defn.item>
              <defn.item id="a158298">
                <defn.term>Share Incentive Scheme</defn.term>
                <defn>
                  <para>
                    <paratext>any arrangement to provide Employees with Shares.</paratext>
                  </para>
                </defn>
              </defn.item>
              <defn.item id="a494153">
                <defn.term>Shares</defn.term>
                <defn>
                  <para>
                    <paratext>
                      [NUMBER] [CURRENCY UNIT] ordinary shares in the Company (subject to 
                      <internal.reference refid="a129837">rule 22</internal.reference>
                      ).
                    </paratext>
                  </para>
                </defn>
              </defn.item>
              <defn.item id="a799763">
                <defn.term>Subsidiary</defn.term>
                <defn>
                  <para>
                    <paratext>a subsidiary as defined in section 1159 of the Companies Act 2006.</paratext>
                  </para>
                </defn>
              </defn.item>
              <defn.item id="a591965">
                <defn.term>Tax Authority</defn.term>
                <defn>
                  <para>
                    <paratext>HMRC or, where relevant, its equivalent in another jurisdiction.</paratext>
                  </para>
                </defn>
              </defn.item>
              <defn.item id="a727487">
                <defn.term>Taxable Event</defn.term>
                <defn>
                  <para>
                    <paratext>any event or circumstance that gives rise to a liability for the Award Holder to pay income tax and NICs or either of them (or their equivalents in any jurisdiction) in respect of:</paratext>
                  </para>
                  <para>
                    <paratext>a. the Award, including its Release, exercise, assignment or surrender for consideration, or the receipt of any benefit in connection with it;</paratext>
                  </para>
                  <para>
                    <paratext>b. any Shares (or other securities or assets):</paratext>
                  </para>
                  <para>
                    <paratext>(i)earmarked (as defined in Part 7A of ITEPA 2003) or held to satisfy the Award;</paratext>
                  </para>
                  <para>
                    <paratext>(ii)acquired on Release or exercise of the Award;</paratext>
                  </para>
                  <para>
                    <paratext>(iii)acquired as a result of holding the Award; or</paratext>
                  </para>
                  <para>
                    <paratext>(iv)acquired in consideration of the assignment or surrender of the Award;</paratext>
                  </para>
                  <para>
                    <paratext>c. any securities (or other assets) acquired or earmarked as a result of holding Shares (or other securities or assets) mentioned in paragraph (b);</paratext>
                  </para>
                  <para>
                    <paratext>d. entering into an election under section 430 or 431 of ITEPA 2003; or</paratext>
                  </para>
                  <para>
                    <paratext>e. any amount due under PAYE in respect of securities or assets within paragraph (a) to paragraph (d), including any failure by the Award Holder to make good such an amount within the time limit specified in section 222 of ITEPA 2003.</paratext>
                  </para>
                </defn>
              </defn.item>
              <defn.item id="a603118">
                <defn.term>Tax Liability</defn.term>
                <defn>
                  <para>
                    <paratext>the total of:</paratext>
                  </para>
                  <list type="loweralpha">
                    <list.item>
                      <para>
                        <paratext>
                          any income tax and primary class 1 (employee) NICs (or their equivalents in any jurisdiction) for which any Employer Company is or may be liable to account (or reasonably believes it is or may be liable to account) as a result of any Taxable Event[; and 
                          <bold>OR</bold>
                          .]
                        </paratext>
                      </para>
                    </list.item>
                    <list.item>
                      <para>
                        <paratext>
                          [unless the Employer Company[, or the Company on behalf of the Employer Company,] directs otherwise under 
                          <internal.reference refid="a880110">rule 23.5</internal.reference>
                           any Employer NICs (or similar liability in any other jurisdiction) that any Employer Company is or may be liable to pay (or reasonably believes it is or may be liable to pay) as a result of any Taxable Event and that can be recovered lawfully from the Award Holder.]
                        </paratext>
                      </para>
                    </list.item>
                  </list>
                </defn>
                <drafting.note id="a780110" jurisdiction="">
                  <head align="left" preservecase="true">
                    <headtext>Tax Liability</headtext>
                  </head>
                  <division id="a000038" level="1">
                    <para>
                      <paratext>
                        The definition of Tax Liability is intended to cover any income tax and NICs liabilities that might arise in relation to the Option. For more information about tax indemnities, see 
                        <link href="5-595-6990" style="ACTLinkPLCtoPLC">
                          <ital>Practice note, Tax indemnities in share schemes documents</ital>
                        </link>
                        .
                      </paratext>
                    </para>
                    <para>
                      <paratext>
                        Generally, employers are not permitted to recover secondary class 1 NICs from employees (
                        <link href="8-509-0124" style="ACTLinkPLCtoPLC">
                          <ital>paragraph 3A</ital>
                        </link>
                        <ital>, Schedule 1, Social Security Contributions and Benefits Act 1992</ital>
                        ). However, there is an exception for class 1 Employer NICs that arise on rights to acquire shares and certain post-acquisition charges on restricted and convertible securities if the employee agrees to reimburse the NICs or jointly elects with the employer to assume responsibility for them. If an employee bears responsibility for Employer NICs, the employee is entitled to income tax relief (
                        <link href="5-513-6722" style="ACTLinkPLCtoPLC">
                          <ital>section 481</ital>
                        </link>
                        <ital>, ITEPA 2003</ital>
                        ).
                      </paratext>
                    </para>
                    <para>
                      <paratext>It is not possible to recover secondary class 1 NICs from employees in respect of Cash-settled Awards.</paratext>
                    </para>
                    <para>
                      <paratext>The definition of Tax Liability assumes that Employer NICs are to be borne by Award Holders, but this is a matter for the employer to decide. It is probably best to set the transfer of Employer NICs as the default position, as under these rules, as it will be easier to give this up after granting an Award than to get the employee to agree to take up the Employer NICs burden at that time. The Employer Company can direct at the time of grant, or at a later point, that the Tax Liability will not include Employer NICs under our standard tax indemnity clauses.</paratext>
                    </para>
                    <para>
                      <paratext>If the employer is confident it will not wish to pass on liability for Employer NICs to the employee, rule (b) can be amended so that the Tax Liability will only include Employer NICs if the Employer Company specifies this when the Award is granted.</paratext>
                    </para>
                  </division>
                </drafting.note>
              </defn.item>
              <defn.item id="a164600">
                <defn.term>UK MAR</defn.term>
                <defn>
                  <para>
                    <paratext>the retained EU law version of the Market Abuse Regulation which applies in the UK from the end of the Brexit transition period.</paratext>
                  </para>
                </defn>
                <drafting.note id="a663098" jurisdiction="">
                  <head align="left" preservecase="true">
                    <headtext>UK MAR</headtext>
                  </head>
                  <division id="a000039" level="1">
                    <para>
                      <paratext>
                        The 
                        <link href="https://uk.practicallaw.thomsonreuters.com/5-626-6147?originationContext=document&amp;amp;transitionType=DocumentItem&amp;amp;contextData=(sc.Default)" style="ACTLinkURL">
                          <ital>EU Market Abuse Regulation</ital>
                        </link>
                         (EU MAR) was automatically incorporated into domestic law via the 
                        <link href="5-508-4474" style="ACTLinkPLCtoPLC">
                          <ital>European Communities Act 1972</ital>
                        </link>
                         (ECA 1972). At the end of the transition period following the UK's exit from the EU, the 
                        <link href="w-015-5564" style="ACTLinkPLCtoPLC">
                          <ital>European Union (Withdrawal) Act 2018</ital>
                        </link>
                         (EUWA 2018) (as amended by the 
                        <link href="w-023-7644" style="ACTLinkPLCtoPLC">
                          <ital>European Union (Withdrawal Agreement) Act 2020</ital>
                        </link>
                        ) repealed the ECA 1972 and simultaneously incorporated EU MAR into UK domestic legislation, becoming 
                        <link href="w-028-7792" style="ACTLinkPLCtoPLC">
                          <ital>UK MAR</ital>
                        </link>
                        .
                      </paratext>
                    </para>
                    <para>
                      <paratext>
                        UK MAR has certain consequential changes, such as the transfer of powers and functions previously held by the 
                        <link href="https://uk.practicallaw.thomsonreuters.com/5-504-6849?originationContext=document&amp;amp;transitionType=DocumentItem&amp;amp;contextData=(sc.Default)" style="ACTLinkURL">
                          <ital>European Securities and Markets Authority</ital>
                        </link>
                         (ESMA) to the 
                        <link href="https://uk.practicallaw.thomsonreuters.com/5-107-5761?originationContext=document&amp;amp;transitionType=DocumentItem&amp;amp;contextData=(sc.Default)" style="ACTLinkURL">
                          <ital>Financial Conduct Authority</ital>
                        </link>
                         (FCA), but broadly the legislative regime remains the same.
                      </paratext>
                    </para>
                    <para>
                      <paratext>
                        For more information, see 
                        <link href="4-629-6710" style="ACTLinkPLCtoPLC">
                          <ital>Practice note, UK MAR: share schemes issues: overview</ital>
                        </link>
                        .
                      </paratext>
                    </para>
                  </division>
                </drafting.note>
              </defn.item>
              <defn.item id="a867016">
                <defn.term>Transfer Only Award</defn.term>
                <defn>
                  <para>
                    <paratext>an Award which the Board has designated can be satisfied only by the transfer of Shares, other than treasury shares. An Award is not a Transfer Only Award if it can be satisfied using Shares which have been issued to a person who holds those Shares in a fiduciary capacity for the purposes of a Share Incentive Scheme.</paratext>
                  </para>
                </defn>
                <drafting.note id="a199273" jurisdiction="">
                  <head align="left" preservecase="true">
                    <headtext>Transfer Only Award</headtext>
                  </head>
                  <division id="a000040" level="1">
                    <para>
                      <paratext>
                        The Board can designate an Award as a Transfer Only Award. This means that it can be satisfied only by the transfer of existing Shares. Shares subject to a Transfer Only Award are not Dilutive Shares and therefore do not count against the overall limits in 
                        <internal.reference refid="a272740">rule 5</internal.reference>
                        .
                      </paratext>
                    </para>
                    <para>
                      <paratext>Sometimes a company will issue shares to an EBT, which then transfers them to an Award Holder. The second sentence is intended to state that an Award that is settled in this way will not be a Transfer Only Award. For an Award satisfied by an EBT to be a Transfer Only Award, the EBT must acquire the Shares in the market.</paratext>
                    </para>
                  </division>
                </drafting.note>
              </defn.item>
              <defn.item id="a953151">
                <defn.term>Year</defn.term>
                <defn>
                  <para>
                    <paratext>a financial year of the Company as defined in section 390 of the Companies Act 2006.</paratext>
                  </para>
                </defn>
              </defn.item>
            </subclause1>
            <subclause1 id="a363538">
              <identifier>1.2</identifier>
              <para>
                <paratext>Rule headings shall not affect the interpretation of the rules.</paratext>
              </para>
            </subclause1>
            <subclause1 id="a749520">
              <identifier>1.3</identifier>
              <para>
                <paratext>
                  A 
                  <bold>person</bold>
                   includes a natural person, corporate or unincorporated body (whether or not having separate legal personality).
                </paratext>
              </para>
            </subclause1>
            <subclause1 condition="optional" id="a794836">
              <identifier>1.4</identifier>
              <para>
                <paratext>The Schedules form part of the rules and shall have effect as if set out in full in the body of the rules. Any reference to the rules includes the Schedules.</paratext>
              </para>
              <drafting.note id="a372488" jurisdiction="">
                <head align="left" preservecase="true">
                  <headtext>Schedules</headtext>
                </head>
                <division id="a000041" level="1">
                  <para>
                    <paratext>Delete if there are no Schedules or put into singular if there is only one Schedule.</paratext>
                  </para>
                </division>
              </drafting.note>
            </subclause1>
            <subclause1 id="a190046">
              <identifier>1.5</identifier>
              <para>
                <paratext>
                  A reference to a 
                  <bold>company</bold>
                   shall include any company, corporation or other body corporate, wherever and however incorporated or established.
                </paratext>
              </para>
            </subclause1>
            <subclause1 id="a738838">
              <identifier>1.6</identifier>
              <para>
                <paratext>Unless the context otherwise requires, words in the singular shall include the plural and in the plural shall include the singular.</paratext>
              </para>
            </subclause1>
            <subclause1 id="a826880">
              <identifier>1.7</identifier>
              <para>
                <paratext>Unless the context otherwise requires, a reference to one gender shall include a reference to the other genders.</paratext>
              </para>
            </subclause1>
            <subclause1 id="a93914">
              <identifier>1.8</identifier>
              <para>
                <paratext>A reference to a statute or statutory provision is a reference to it as amended, extended or re-enacted from time to time.</paratext>
              </para>
            </subclause1>
            <subclause1 id="a1027234">
              <identifier>1.9</identifier>
              <para>
                <paratext>A reference to a statute or statutory provision shall include all subordinate legislation made from time to time under that statute or statutory provision.</paratext>
              </para>
            </subclause1>
            <subclause1 id="a696113">
              <identifier>1.10</identifier>
              <para>
                <paratext>
                  A reference to 
                  <bold>writing</bold>
                   or 
                  <bold>written</bold>
                   includes fax and email.
                </paratext>
              </para>
            </subclause1>
            <subclause1 id="a955056">
              <identifier>1.11</identifier>
              <para>
                <paratext>A reference to the Plan or to any other agreement or document referred to in the Plan is a reference to the Plan or such other agreement or document as varied or novated (in each case, other than in breach of the provisions of the Plan) from time to time.</paratext>
              </para>
            </subclause1>
            <subclause1 id="a443806">
              <identifier>1.12</identifier>
              <para>
                <paratext>References to rules are to rules of the Plan.</paratext>
              </para>
            </subclause1>
            <subclause1 id="a446398">
              <identifier>1.13</identifier>
              <para>
                <paratext>
                  Any words following the terms 
                  <bold>including</bold>
                  , 
                  <bold>include</bold>
                  , 
                  <bold>in particular</bold>
                  , 
                  <bold>for example</bold>
                   or any similar expression shall be construed as illustrative and shall not limit the sense of the words, description, definition, phrase or term preceding those terms.
                </paratext>
              </para>
            </subclause1>
          </clause>
          <clause id="a969782">
            <identifier>2.</identifier>
            <head align="left" preservecase="true">
              <headtext>Grant of Awards</headtext>
            </head>
            <subclause1 id="a134048">
              <identifier>2.1</identifier>
              <para>
                <paratext>Subject to the rules, the Company may grant an Award to any Employee it chooses during:</paratext>
              </para>
              <subclause2 id="a375673">
                <identifier>(a)</identifier>
                <para>
                  <paratext>the period of 42 days after the Adoption Date;</paratext>
                </para>
              </subclause2>
              <subclause2 id="a916376">
                <identifier>(b)</identifier>
                <para>
                  <paratext>any period of 42 days immediately following the end of a Closed Period; and</paratext>
                </para>
              </subclause2>
              <subclause2 id="a294268">
                <identifier>(c)</identifier>
                <para>
                  <paratext>any other period in which the Board has decided to grant an Award due to exceptional circumstances which justify such a decision.</paratext>
                </para>
                <drafting.note id="a895013" jurisdiction="">
                  <head align="left" preservecase="true">
                    <headtext>Grant period limitations expected by institutional shareholders</headtext>
                  </head>
                  <division id="a000042" level="1">
                    <para>
                      <paratext>Under the Investment Association principles of remuneration, Awards should generally only be granted within 42 days immediately following the end of a Closed Period.</paratext>
                    </para>
                  </division>
                </drafting.note>
              </subclause2>
            </subclause1>
            <subclause1 id="a702749">
              <identifier>2.2</identifier>
              <para>
                <paratext>The Company may not grant Awards:</paratext>
              </para>
              <subclause2 id="a200727">
                <identifier>(a)</identifier>
                <para>
                  <paratext>during a Closed Period; or</paratext>
                </para>
              </subclause2>
              <subclause2 id="a158002">
                <identifier>(b)</identifier>
                <para>
                  <paratext>after the tenth anniversary of the Adoption Date.</paratext>
                </para>
                <drafting.note id="a834970" jurisdiction="">
                  <head align="left" preservecase="true">
                    <headtext>Times when Options may not be granted</headtext>
                  </head>
                  <division id="a000043" level="1">
                    <para>
                      <paratext>
                        UK MAR does not prohibit the Company from granting Options during a Closed Period, but it is good practice not to do so, as the Company may have (or be suspected of having) inside information during this period (see 
                        <link href="4-629-6710" style="ACTLinkPLCtoPLC">
                          <ital>Practice note, UK MAR: share schemes issues: overview</ital>
                        </link>
                        ).
                      </paratext>
                    </para>
                    <para>
                      <paratext>There is no statutory requirement for the plan to have a maximum life of ten years, but it is a requirement of the Investment Association principles of remuneration.</paratext>
                    </para>
                  </division>
                </drafting.note>
              </subclause2>
            </subclause1>
            <subclause1 id="a631374">
              <identifier>2.3</identifier>
              <para>
                <paratext>
                  The Company may not grant an Award that does not comply with the directors' remuneration policy. In this rule, 
                  <defn.term>directors' remuneration policy</defn.term>
                   has the same meaning as in section 422A(6) of the Companies Act 2006.
                </paratext>
              </para>
              <drafting.note id="a958399" jurisdiction="">
                <head align="left" preservecase="true">
                  <headtext>Award that does not comply with the directors' remuneration policy</headtext>
                </head>
                <division id="a000044" level="1">
                  <para>
                    <paratext>
                      For a discussion of the consequences of breaking the directors' remuneration policy, see 
                      <link href="8-525-8509#a605070" style="ACTLinkPLCtoPLC">
                        <ital>Practice note, Directors' remuneration report: Consequences of breach</ital>
                      </link>
                      .
                    </paratext>
                  </para>
                </division>
              </drafting.note>
            </subclause1>
            <subclause1 id="a959101">
              <identifier>2.4</identifier>
              <para>
                <paratext>The Company shall grant an Award by executing an Award Certificate as a deed in a form approved by the Board. Each Award Certificate shall (without limitation):</paratext>
              </para>
              <subclause2 id="a166092">
                <identifier>(a)</identifier>
                <para>
                  <paratext>state the Grant Date of the Award;</paratext>
                </para>
              </subclause2>
              <subclause2 id="a279542">
                <identifier>(b)</identifier>
                <para>
                  <paratext>state the number and class of the Shares in relation to which the Award is granted;</paratext>
                </para>
              </subclause2>
              <subclause2 id="a204772">
                <identifier>(c)</identifier>
                <para>
                  <paratext>state the type of Award;</paratext>
                </para>
              </subclause2>
              <subclause2 id="a429080">
                <identifier>(d)</identifier>
                <para>
                  <paratext>if the Award is a Share-settled Award, state whether the Award is a Transfer Only Award;</paratext>
                </para>
              </subclause2>
              <subclause2 id="a756156">
                <identifier>(e)</identifier>
                <para>
                  <paratext>if the Award is a Market Value Option or Nominal Cost Option, state the Exercise Price;</paratext>
                </para>
              </subclause2>
              <subclause2 id="a1040506">
                <identifier>(f)</identifier>
                <para>
                  <paratext>if the Award is a Phantom Share Option or Share Appreciation Right, state the Base Price;</paratext>
                </para>
              </subclause2>
              <subclause2 id="a724176">
                <identifier>(g)</identifier>
                <para>
                  <paratext>if the Award is a Forfeitable Share Award:</paratext>
                </para>
                <subclause3 id="a666724">
                  <identifier>(i)</identifier>
                  <para>
                    <paratext>state the identity of the Nominee; and</paratext>
                  </para>
                </subclause3>
                <subclause3 id="a104659">
                  <identifier>(ii)</identifier>
                  <para>
                    <paratext>
                      state the terms on which the Nominee is required to deal with any dividends paid on the Shares in accordance with 
                      <internal.reference refid="a1037979">rule 7.6</internal.reference>
                      ;
                    </paratext>
                  </para>
                </subclause3>
              </subclause2>
              <subclause2 id="a295852">
                <identifier>(h)</identifier>
                <para>
                  <paratext>if the Award is not a Forfeitable Share Award and not an Option:</paratext>
                </para>
                <subclause3 id="a75589">
                  <identifier>(i)</identifier>
                  <para>
                    <paratext>state whether Dividend Equivalents will apply to the Award; and</paratext>
                  </para>
                </subclause3>
                <subclause3 id="a470798">
                  <identifier>(ii)</identifier>
                  <para>
                    <paratext>if they do, state the terms of the Dividend Equivalents;</paratext>
                  </para>
                </subclause3>
              </subclause2>
              <subclause2 id="a215454">
                <identifier>(i)</identifier>
                <para>
                  <paratext>if the Award is an Option, state the date when it will lapse, assuming that no event occurs to cause it to lapse earlier. This date may not be later than the tenth anniversary of the Grant Date;</paratext>
                </para>
              </subclause2>
              <subclause2 id="a397036">
                <identifier>(j)</identifier>
                <para>
                  <paratext>
                    specify the Performance Conditions set under 
                    <internal.reference refid="a920421">rule 3</internal.reference>
                    , any other conditions to which the Award is subject and the Performance Period;
                  </paratext>
                </para>
              </subclause2>
              <subclause2 id="a194940">
                <identifier>(k)</identifier>
                <para>
                  <paratext>specify the Employment Period;</paratext>
                </para>
              </subclause2>
              <subclause2 id="a595234">
                <identifier>(l)</identifier>
                <para>
                  <paratext>if the Award is a Share-settled Award, specify the Holding Period;</paratext>
                </para>
              </subclause2>
              <subclause2 id="a607477">
                <identifier>(m)</identifier>
                <para>
                  <paratext>if the Award is a Share-settled Award, state whether the Tax Liability will include Employer NICs;</paratext>
                </para>
              </subclause2>
              <subclause2 id="a852288">
                <identifier>(n)</identifier>
                <para>
                  <paratext>include a statement that the Award is subject to the rules (which shall be incorporated in the Award Certificate by reference);</paratext>
                </para>
              </subclause2>
              <subclause2 id="a111295">
                <identifier>(o)</identifier>
                <para>
                  <paratext>state any Relevant Restriction;</paratext>
                </para>
              </subclause2>
              <subclause2 id="a752111">
                <identifier>(p)</identifier>
                <para>
                  <paratext>
                    state that the Acceptance Notice or Exercise Notice shall include the terms required by 
                    <internal.reference refid="a548092">rule 11.9</internal.reference>
                     and 
                    <internal.reference refid="a353805">rule 23</internal.reference>
                    ; and
                  </paratext>
                </para>
              </subclause2>
              <subclause2 id="a318222">
                <identifier>(q)</identifier>
                <para>
                  <paratext>
                    include summaries of 
                    <internal.reference refid="a101498">rule 17</internal.reference>
                     and 
                    <internal.reference refid="a353805">rule 23</internal.reference>
                    .
                  </paratext>
                </para>
                <drafting.note id="a102004" jurisdiction="">
                  <head align="left" preservecase="true">
                    <headtext>Award Certificates</headtext>
                  </head>
                  <division id="a000045" level="1">
                    <para>
                      <paratext>Awards are granted by a unilateral deed of the Company. This means that practical difficulties with obtaining signed copies from employees can be avoided.</paratext>
                    </para>
                    <division id="a425035" level="2">
                      <head align="left" preservecase="true">
                        <headtext>Lapse date</headtext>
                      </head>
                      <para>
                        <paratext>The Investment Association principles of remuneration specify that options should not be exercisable more than ten years after grant.</paratext>
                      </para>
                      <para>
                        <paratext>It is common for employee share options to be granted with a ten-year term, but a shorter term may be preferable, especially for managing a company's headroom for new grants under the dilution limits which are often imposed on employee share schemes.</paratext>
                      </para>
                      <para>
                        <paratext>Awards that are not Options will typically either be Released or lapse at the end of a three to five-year Performance Period.</paratext>
                      </para>
                    </division>
                  </division>
                </drafting.note>
              </subclause2>
            </subclause1>
            <subclause1 id="a1033870">
              <identifier>2.5</identifier>
              <para>
                <paratext>No amount shall be paid by an Employee for the grant of an Award.</paratext>
              </para>
              <drafting.note id="a941783" jurisdiction="">
                <head align="left" preservecase="true">
                  <headtext>Payment for Award</headtext>
                </head>
                <division id="a000046" level="1">
                  <para>
                    <paratext>
                      Sometimes, a nominal amount is paid for an Award to ensure that it is a legally enforceable contract, but this will 
                      <bold>not</bold>
                       be required if Awards will be granted by deed, as is intended in these rules.
                    </paratext>
                  </para>
                  <para>
                    <paratext>
                      For more information, see 
                      <link href="9-577-1386" style="ACTLinkPLCtoPLC">
                        <ital>Practice note, Formalities for granting employee share options and awards</ital>
                      </link>
                      .
                    </paratext>
                  </para>
                </division>
              </drafting.note>
            </subclause1>
            <subclause1 id="a1036525">
              <identifier>2.6</identifier>
              <para>
                <paratext>
                  If the Company makes a Forfeitable Share Award, the Board will arrange for the Shares subject to the Award to be allotted and issued, or transferred, to the Nominee to be held in accordance with 
                  <internal.reference refid="a152884">rule 7</internal.reference>
                  .
                </paratext>
              </para>
            </subclause1>
          </clause>
          <clause id="a920421">
            <identifier>3.</identifier>
            <head align="left" preservecase="true">
              <headtext>Performance Condition</headtext>
            </head>
            <drafting.note id="a1016553" jurisdiction="">
              <head align="left" preservecase="true">
                <headtext>Performance Condition</headtext>
              </head>
              <division id="a000047" level="1">
                <para>
                  <paratext>
                    This rule sets out a framework for making Awards subject to Performance Conditions, such as that 
                    <link href="1-107-6183" style="ACTLinkPLCtoPLC">
                      <bold>
                        <ital>earnings per share</ital>
                      </bold>
                    </link>
                     (EPS) must be more than a certain amount. Companies that wish to comply with the Investment Association principles of remuneration should include Performance Conditions measured over a period of at least three years.
                  </paratext>
                </para>
                <para>
                  <paratext>
                    For more information on performance conditions, see 
                    <link href="8-205-5483" style="ACTLinkPLCtoPLC">
                      <ital>Practice note, Performance conditions: overview</ital>
                    </link>
                    .
                  </paratext>
                </para>
              </division>
            </drafting.note>
            <subclause1 id="a728157">
              <identifier>3.1</identifier>
              <para>
                <paratext>On the Grant Date of any Award, the Board shall specify one or more appropriate Performance Conditions for the Award.</paratext>
              </para>
            </subclause1>
            <subclause1 id="a858924">
              <identifier>3.2</identifier>
              <para>
                <paratext>The Board may vary or waive any Performance Condition, provided that any varied Performance Condition shall be (in the reasonable opinion of the Board):</paratext>
              </para>
              <subclause2 id="a997781">
                <identifier>(a)</identifier>
                <para>
                  <paratext>a fairer measure of performance than the original Performance Condition, as judged at the time of the variation;</paratext>
                </para>
              </subclause2>
              <subclause2 id="a50052">
                <identifier>(b)</identifier>
                <para>
                  <paratext>no more difficult to satisfy than the original Performance Condition was at the Grant Date; and</paratext>
                </para>
              </subclause2>
              <subclause2 id="a565346">
                <identifier>(c)</identifier>
                <para>
                  <paratext>not materially easier to satisfy than the original Performance Condition was at the Grant Date, unless the variation of the Performance Condition has been approved in advance by the Company in general meeting.</paratext>
                </para>
              </subclause2>
            </subclause1>
            <subclause1 id="a550620">
              <identifier>3.3</identifier>
              <para>
                <paratext>
                  <internal.reference refid="a858924">rule 3.2</internal.reference>
                   shall not permit the general waiver by the Board of Performance Conditions on:
                </paratext>
              </para>
              <subclause2 id="a860378">
                <identifier>(a)</identifier>
                <para>
                  <paratext>cessation of employment;</paratext>
                </para>
              </subclause2>
              <subclause2 id="a665523">
                <identifier>(b)</identifier>
                <para>
                  <paratext>
                    the occurrence of any event permitting the Release of Awards under 
                    <internal.reference refid="a1037750">rule 20</internal.reference>
                    ; or
                  </paratext>
                </para>
              </subclause2>
              <subclause2 id="a718930">
                <identifier>(c)</identifier>
                <para>
                  <paratext>
                    the exchange of Awards for New Awards under 
                    <internal.reference refid="a580292">rule 21</internal.reference>
                    .
                  </paratext>
                </para>
                <drafting.note id="a558710" jurisdiction="">
                  <head align="left" preservecase="true">
                    <headtext>Investment Association restriction on automatic waiver</headtext>
                  </head>
                  <division id="a000048" level="1">
                    <para>
                      <paratext>The Investment Association principles of remuneration require that there is no automatic waiving of performance conditions either where a change of control takes place or where subsisting Awards are rolled over in the event of a capital reconstruction or the early termination of the Award Holder's employment.</paratext>
                    </para>
                  </division>
                </drafting.note>
              </subclause2>
            </subclause1>
            <subclause1 id="a597390">
              <identifier>3.4</identifier>
              <para>
                <paratext>The Board shall determine whether, and to what extent, the Performance Condition has been satisfied:</paratext>
              </para>
              <subclause2 id="a188909">
                <identifier>(a)</identifier>
                <para>
                  <paratext>on the Performance Measurement Date, which shall be as soon as reasonably possible after the end of the Performance Period;</paratext>
                </para>
              </subclause2>
              <subclause2 id="a148775">
                <identifier>(b)</identifier>
                <para>
                  <paratext>
                    as soon as reasonably possible following the death of an Award Holder in order to apply the reduction required by 
                    <internal.reference refid="a343884">rule 18.3(b)</internal.reference>
                     or 
                    <internal.reference refid="a410055">rule 19.3(b)</internal.reference>
                    ; or
                  </paratext>
                </para>
              </subclause2>
              <subclause2 id="a800335">
                <identifier>(c)</identifier>
                <para>
                  <paratext>
                    in order to determine the Releasable Number in accordance with 
                    <internal.reference refid="a324210">rule 20.1</internal.reference>
                    .
                  </paratext>
                </para>
                <drafting.note id="a580073" jurisdiction="">
                  <head align="left" preservecase="true">
                    <headtext>Testing the Performance Condition</headtext>
                  </head>
                  <division id="a000049" level="1">
                    <para>
                      <paratext>
                        This 
                        <internal.reference refid="a597390">rule 3.4</internal.reference>
                         must be read in conjunction with 
                        <internal.reference refid="a818966">rule 18.8</internal.reference>
                         and 
                        <internal.reference refid="a852035">rule 19.7</internal.reference>
                        , that say that an Award with multiple performance conditions must be treated as separate Awards with possibly more than one Performance Measurement Date and Performance Period.
                      </paratext>
                    </para>
                    <para>
                      <paratext>For example, half the Award might have a Performance Condition that the Company must achieve a certain level of financial performance in a particular year. The Board should test this as soon as possible after the accounts for that year are signed off. The remainder of the Award might have a Performance Condition relating to performance in the following year and that is determined at the end of the following year.</paratext>
                    </para>
                  </division>
                </drafting.note>
              </subclause2>
            </subclause1>
            <subclause1 id="a789654">
              <identifier>3.5</identifier>
              <para>
                <paratext>The Board shall notify the Award Holder within a reasonable time after the Board becomes aware of the relevant information:</paratext>
              </para>
              <subclause2 id="a612117">
                <identifier>(a)</identifier>
                <para>
                  <paratext>whether (and, if relevant, to what extent) the Performance Condition has been satisfied;</paratext>
                </para>
              </subclause2>
              <subclause2 id="a879150">
                <identifier>(b)</identifier>
                <para>
                  <paratext>of any subsequent change in whether, or the extent to which, the Performance Condition has been satisfied;</paratext>
                </para>
              </subclause2>
              <subclause2 id="a78050">
                <identifier>(c)</identifier>
                <para>
                  <paratext>when that Performance Condition has become incapable of being satisfied, in whole or in part; and</paratext>
                </para>
              </subclause2>
              <subclause2 id="a746929">
                <identifier>(d)</identifier>
                <para>
                  <paratext>
                    of any waiver or variation of that Performance Condition under 
                    <internal.reference refid="a858924">rule 3.2</internal.reference>
                    .
                  </paratext>
                </para>
              </subclause2>
            </subclause1>
            <subclause1 id="a740292">
              <identifier>3.6</identifier>
              <para>
                <paratext>If the Board considers that a Performance Condition has become incapable of being satisfied, in whole or in part, that Award, or the appropriate part of it, shall lapse immediately.</paratext>
              </para>
            </subclause1>
          </clause>
          <clause id="a62542">
            <identifier>4.</identifier>
            <head align="left" preservecase="true">
              <headtext>Dividend Equivalents</headtext>
            </head>
            <drafting.note id="a550750" jurisdiction="">
              <head align="left" preservecase="true">
                <headtext>Dividend Equivalents</headtext>
              </head>
              <division id="a000050" level="1">
                <para>
                  <paratext>It is common for LTIPs to include Dividend Equivalents. These are amounts equal to the dividends that an Award Holder who had invested in the Shares that are Released would have received. The actual details of the calculation of the Dividend Equivalents can be stated in the Award Certificate.</paratext>
                </para>
                <para>
                  <paratext>
                    The Investment Association principles of remuneration state that Dividend Equivalents should not be paid on Options (
                    <link href="4-209-4976" style="ACTLinkPLCtoPLC">
                      <ital>The Investment Association: Guidance for remuneration committees: Section C2(ii)(c)</ital>
                    </link>
                    ).
                  </paratext>
                </para>
                <para>
                  <paratext>
                    Dividend Equivalents are not paid on Forfeitable Shares since it is possible to pay the actual dividend to the Award Holder (see 
                    <internal.reference refid="a1037979">rule 7.6</internal.reference>
                    ).
                  </paratext>
                </para>
                <para>
                  <paratext>Dividend Equivalents are taxable as employment income rather than dividend income.</paratext>
                </para>
              </division>
            </drafting.note>
            <subclause1 id="a884742">
              <identifier>4.1</identifier>
              <para>
                <paratext>On the Grant Date of any Award (other than an Option or a Forfeitable Share Award) the Board may specify that Dividend Equivalents apply to the Award.</paratext>
              </para>
            </subclause1>
            <subclause1 id="a336583">
              <identifier>4.2</identifier>
              <para>
                <paratext>A Dividend Equivalent is a right to receive a payment on the Release Date.</paratext>
              </para>
            </subclause1>
            <subclause1 id="a138318">
              <identifier>4.3</identifier>
              <para>
                <paratext>The payment is equivalent to the dividends that would have been paid during the period between the Grant Date and the Release Date on the number of Shares in relation to which the Award is Released.</paratext>
              </para>
            </subclause1>
            <subclause1 id="a58082">
              <identifier>4.4</identifier>
              <para>
                <paratext>The Board shall specify in the Award Certificate:</paratext>
              </para>
              <subclause2 id="a815604">
                <identifier>(a)</identifier>
                <para>
                  <paratext>whether the Dividend Equivalent shall be paid in cash or additional Shares; and</paratext>
                </para>
              </subclause2>
              <subclause2 id="a253539">
                <identifier>(b)</identifier>
                <para>
                  <paratext>whether the calculation of the Dividend Equivalent should assume that dividends paid on the Shares were reinvested in further Shares.</paratext>
                </para>
              </subclause2>
            </subclause1>
          </clause>
          <clause id="a272740">
            <identifier>5.</identifier>
            <head align="left" preservecase="true">
              <headtext>Overall grant limits</headtext>
            </head>
            <subclause1 id="a948472">
              <identifier>5.1</identifier>
              <para>
                <paratext>The Company may not grant an Award if that grant would result in the total number of Dilutive Shares exceeding 10% of the issued share capital of the Company.</paratext>
              </para>
              <drafting.note id="a492845" jurisdiction="">
                <head align="left" preservecase="true">
                  <headtext>10% in ten years rule</headtext>
                </head>
                <division id="a000051" level="1">
                  <para>
                    <paratext>The 10% in ten years rule limit is a requirement of the Investment Association principles of remuneration.</paratext>
                  </para>
                </division>
              </drafting.note>
            </subclause1>
            <subclause1 id="a762844">
              <identifier>5.2</identifier>
              <para>
                <paratext>The Company may not grant an Award if that grant would result in the total number of Discretionary Dilutive Shares exceeding 5% of the issued share capital of the Company.</paratext>
              </para>
              <drafting.note id="a556933" jurisdiction="">
                <head align="left" preservecase="true">
                  <headtext>5% in ten years rule</headtext>
                </head>
                <division id="a000052" level="1">
                  <para>
                    <paratext>The Investment Association principles of remuneration provide that executive or discretionary schemes should be subject to a limit of 5% dilution over ten years.</paratext>
                  </para>
                </division>
              </drafting.note>
            </subclause1>
            <subclause1 id="a56752">
              <identifier>5.3</identifier>
              <para>
                <paratext>
                  The Board may redesignate a Transfer Only Award as not being a Transfer Only Award, in which case the Shares subject to that Award will be Dilutive Shares. The Board may not do this if the consequence would be to break the limits in either 
                  <internal.reference refid="a948472">rule 5.1</internal.reference>
                   or 
                  <internal.reference refid="a762844">rule 5.2</internal.reference>
                  .
                </paratext>
              </para>
            </subclause1>
          </clause>
          <clause id="a341102">
            <identifier>6.</identifier>
            <head align="left" preservecase="true">
              <headtext>Individual grant limits</headtext>
            </head>
            <subclause1 id="a753629">
              <identifier>6.1</identifier>
              <para>
                <paratext>
                  Except where 
                  <internal.reference refid="a781627">rule 6.2</internal.reference>
                   applies, the Company may not grant an Award to any Employee if that grant would result in the aggregate Market Value of Shares subject to Awards made to that Employee in that Year exceeding [100]% of the Employee's Salary as at the proposed Grant Date.
                </paratext>
              </para>
              <para>
                <paratext>
                  For the purposes of this 
                  <internal.reference refid="a753629">rule 6.1</internal.reference>
                  , the Market Value of an Award shall be measured as at its Grant Date.
                </paratext>
              </para>
            </subclause1>
            <subclause1 id="a781627">
              <identifier>6.2</identifier>
              <para>
                <paratext>
                  If the Board considers that the circumstances of the proposed Award are exceptional, 
                  <internal.reference refid="a753629">rule 6.1</internal.reference>
                   shall apply with the substitution of [300%] for [100%].
                </paratext>
              </para>
            </subclause1>
            <subclause1 id="a963210">
              <identifier>6.3</identifier>
              <para>
                <paratext>
                  For the avoidance of doubt, Cash-settled Awards and Transfer Only Awards are included for the purposes of 
                  <internal.reference refid="a753629">rule 6.1</internal.reference>
                   and 
                  <internal.reference refid="a781627">rule 6.2</internal.reference>
                  .
                </paratext>
              </para>
            </subclause1>
          </clause>
          <clause id="a152884">
            <identifier>7.</identifier>
            <head align="left" preservecase="true">
              <headtext>Forfeitable Share Awards</headtext>
            </head>
            <drafting.note id="a889180" jurisdiction="">
              <head align="left" preservecase="true">
                <headtext>Forfeitable Share Awards</headtext>
              </head>
              <division id="a000053" level="1">
                <para>
                  <paratext>When a company awards Forfeitable Shares, the employee actually acquires beneficial ownership of the shares, but can forfeit the shares if they are never Released, whether because the Performance Condition is not achieved or because the employee leaves before the Release Date or they lapse for some other reason. The shares are actually registered in the name of a nominee, usually an EBT.</paratext>
                </para>
                <para>
                  <paratext>
                    Listed companies rarely use Forfeitable Shares for awards to UK employees because of their unattractive tax treatment. There are no particular advantages in the UK except where the employee wishes to make a section 431 election in the expectation that the value of the shares will rise substantially, but this will mean an upfront dry charge to income tax and NICs. For more information on the UK taxation of Forfeitable Shares, see 
                    <link href="3-364-2007" style="ACTLinkPLCtoPLC">
                      <ital>Practice note, Restricted securities</ital>
                    </link>
                    .
                  </paratext>
                </para>
                <para>
                  <paratext>Companies may nevertheless want to include the possibility of granting Forfeitable Shares because they may be more appropriate for employees in other jurisdictions, for example if there are tax advantages in establishing beneficial ownership at grant.</paratext>
                </para>
              </division>
            </drafting.note>
            <subclause1 id="a1052706">
              <identifier>7.1</identifier>
              <para>
                <paratext>
                  On or as soon as practicable after the Grant Date of a Forfeitable Share Award, the proposed Award Holder shall sign an Acceptance Notice and a Nominee Agreement which shall give effect to the following provisions of this 
                  <internal.reference refid="a152884">rule 7</internal.reference>
                  . If the Award Holder fails to sign and return the Acceptance Notice and Nominee Agreement to the Company within 30 days after the Grant Date, the Award Holder shall forfeit for no consideration all interest in the Forfeitable Shares.
                </paratext>
              </para>
              <drafting.note id="a560650" jurisdiction="">
                <head align="left" preservecase="true">
                  <headtext>Forfeitable Shares: Acceptance Notice</headtext>
                </head>
                <division id="a000054" level="1">
                  <para>
                    <paratext>The Award Holder must sign an Acceptance Notice agreeing to the terms of the Award. This is important as it secures the Award Holder's agreement to matters such as withholding of tax and possible clawback of the Award.</paratext>
                  </para>
                  <para>
                    <paratext>The rules state that the Award will lapse if the Award Holder does not sign this within 30 days of the Grant Date. However, in practice it may be better to get the Award Holder to sign the Acceptance Notice on or before the Grant Date.</paratext>
                  </para>
                </division>
              </drafting.note>
            </subclause1>
            <subclause1 id="a618817">
              <identifier>7.2</identifier>
              <para>
                <paratext>The Forfeitable Shares shall be registered in the name of the Nominee until the end of the Holding Period.</paratext>
              </para>
            </subclause1>
            <subclause1 id="a920485">
              <identifier>7.3</identifier>
              <para>
                <paratext>
                  An Award Holder who attempts to transfer, assign, charge or otherwise dispose of the beneficial interest in the Forfeitable Shares before the Release Date (except where 
                  <internal.reference refid="a391918">rule 11</internal.reference>
                  , 
                  <internal.reference refid="a181702">rule 19</internal.reference>
                  , 
                  <internal.reference refid="a1037750">rule 20</internal.reference>
                   or 
                  <internal.reference refid="a580292">rule 21</internal.reference>
                   apply) shall forfeit for no consideration all interest in the Forfeitable Shares.
                </paratext>
              </para>
            </subclause1>
            <subclause1 id="a948263">
              <identifier>7.4</identifier>
              <para>
                <paratext>The Award Holder may not transfer, assign, charge or otherwise dispose of the beneficial interest in the Forfeitable Shares during the Holding Period except:</paratext>
              </para>
              <subclause2 id="a471649">
                <identifier>(a)</identifier>
                <para>
                  <paratext>with the permission of the Board;</paratext>
                </para>
              </subclause2>
              <subclause2 id="a901492">
                <identifier>(b)</identifier>
                <para>
                  <paratext>in order to raise sufficient funds to pay a Tax Liability in relation to the Forfeitable Shares; or</paratext>
                </para>
              </subclause2>
              <subclause2 id="a143119">
                <identifier>(c)</identifier>
                <para>
                  <paratext>
                    where 
                    <internal.reference refid="a391918">rule 11</internal.reference>
                    , 
                    <internal.reference refid="a1037750">rule 20</internal.reference>
                     or 
                    <internal.reference refid="a580292">rule 21</internal.reference>
                     apply.
                  </paratext>
                </para>
              </subclause2>
            </subclause1>
            <subclause1 id="a668178">
              <identifier>7.5</identifier>
              <para>
                <paratext>
                  If the Board decides in accordance with 
                  <internal.reference refid="a740292">rule 3.6</internal.reference>
                   that the Award is subject to a Performance Condition that has become incapable of being satisfied, in whole or in part, the Award Holder shall forfeit for no consideration all interest in the Forfeitable Shares, or the appropriate proportion of them.
                </paratext>
              </para>
            </subclause1>
            <subclause1 id="a1037979">
              <identifier>7.6</identifier>
              <para>
                <paratext>Dividends paid on the Forfeitable Shares where the record date occurs before the Release Date shall be dealt with in one or more of the following ways, as specified by the Board in the Award Certificate:</paratext>
              </para>
              <subclause2 id="a928575">
                <identifier>(a)</identifier>
                <para>
                  <paratext>paid by the Company to the Award Holder whenever the Company pays dividends on Shares generally, if so mandated by the Nominee;</paratext>
                </para>
              </subclause2>
              <subclause2 id="a725630">
                <identifier>(b)</identifier>
                <para>
                  <paratext>retained by the Nominee, held on the same terms as the Forfeitable Shares and paid to the Award Holder on the Release Date;</paratext>
                </para>
              </subclause2>
              <subclause2 id="a334466">
                <identifier>(c)</identifier>
                <para>
                  <paratext>invested by the Nominee in further Shares which the Nominee shall hold on the same terms as the Forfeitable Shares; or</paratext>
                </para>
              </subclause2>
              <subclause2 id="a507958">
                <identifier>(d)</identifier>
                <para>
                  <paratext>waived by the Nominee.</paratext>
                </para>
                <drafting.note id="a400616" jurisdiction="">
                  <head align="left" preservecase="true">
                    <headtext>Forfeitable shares: dividends</headtext>
                  </head>
                  <division id="a000055" level="1">
                    <para>
                      <paratext>A likely reason for using Forfeitable Shares will be to establish beneficial ownership of the Shares for tax purposes in a foreign jurisdiction. A right to receive dividends may be essential to show beneficial ownership. The Investment Association principles of remuneration do not expressly prohibit paying dividends on unvested Shares, but this is generally discouraged by institutional shareholders.</paratext>
                    </para>
                    <para>
                      <paratext>Dividends where the record date occurs after the Release Date should be paid to the Award Holder.</paratext>
                    </para>
                    <para>
                      <paratext>
                        <internal.reference refid="a1037979">rule 7.6</internal.reference>
                         sets out four different ways of dealing with dividends. These are:
                      </paratext>
                    </para>
                    <list type="bulleted">
                      <list.item>
                        <para>
                          <paratext>
                            The Nominee mandates the dividends so that the company pays them directly to the Award Holder. An Award Holder who is a UK resident, being the beneficial owner, will be taxed in the normal way on the dividends (see 
                            <link href="7-376-4737#a727516" style="ACTLinkPLCtoPLC">
                              <ital>Practice note, Dividends: tax overview: Tax issues for UK resident individuals</ital>
                            </link>
                            ). If the Award Holder is non-resident, see 
                            <link href="7-376-4737#a161253" style="ACTLinkPLCtoPLC">
                              <ital>Practice note, Dividends: tax overview: Non-residents</ital>
                            </link>
                            .
                          </paratext>
                        </para>
                      </list.item>
                      <list.item>
                        <para>
                          <paratext>
                            The Nominee retains the dividends as cash and pays them to the Award Holder on the Release Date (if any). In this scenario, the Award Holder's has no entitlement to dividends; if the Award Holder is a UK resident, the cash will be taxed as "dividend equivalents" which are employment income for tax purposes. Assuming the Nominee is an EBT, it will be taxed on the dividends. For details of the income tax treatment of an EBT, see 
                            <link href="8-574-6726#a943804" style="ACTLinkPLCtoPLC">
                              <ital>Practice note, Taxation of employee benefit trusts: Receipt of UK cash dividend</ital>
                            </link>
                            . There can be double taxation: for details of the relief from this, see 
                            <link href="8-574-6726#a128722" style="ACTLinkPLCtoPLC">
                              <ital>Practice note, Taxation of employee benefit trusts: Relief from double taxation</ital>
                            </link>
                            <ital>.</ital>
                          </paratext>
                        </para>
                      </list.item>
                      <list.item>
                        <para>
                          <paratext>The Nominee reinvests the dividends (after paying tax) in additional Shares which it holds as if they were Forfeitable Shares. The Nominee will be taxed on the dividends so can only reinvest the net amount. The Award Holder will be taxed on the Shares on the Release Date.</paratext>
                        </para>
                      </list.item>
                      <list.item>
                        <para>
                          <paratext>The dividends are waived.</paratext>
                        </para>
                      </list.item>
                    </list>
                    <para>
                      <paratext>It is possible to combine various methods. For example, the Nominee might waive dividends during the Performance Period but pay them to the Award Holder during the remainder of the Holding Period.</paratext>
                    </para>
                    <para>
                      <paratext>If the Nominee is an EBT, the terms of the trust deed and the nominee agreement should be carefully considered to determine whether the Shares are actually part of the settled property, or held separately as a nominee. If the Shares are part of the settled property, they may be subject to an automatic dividend waiver.</paratext>
                    </para>
                  </division>
                </drafting.note>
              </subclause2>
            </subclause1>
            <subclause1 id="a912568">
              <identifier>7.7</identifier>
              <para>
                <paratext>Dividends paid on the Forfeitable Shares where the record date falls after the Release Date shall be mandated by the Nominee to be paid to the Award Holder.</paratext>
              </para>
            </subclause1>
            <subclause1 id="a518640">
              <identifier>7.8</identifier>
              <para>
                <paratext>The Nominee shall not exercise voting rights on the Forfeitable Shares at any general meeting of members of the Company that occurs before the Release Date.</paratext>
              </para>
              <para>
                <paratext>The Nominee shall seek the Award Holder's directions as to how to exercise its voting rights at any general meeting of members of the Company that occurs after the Release Date and shall comply with those directions.</paratext>
              </para>
              <drafting.note id="a464704" jurisdiction="">
                <head align="left" preservecase="true">
                  <headtext>Forfeitable Shares: voting rights</headtext>
                </head>
                <division id="a000056" level="1">
                  <para>
                    <paratext>
                      <internal.reference refid="a518640">rule 7.8</internal.reference>
                       states that the Nominee will not exercise the voting rights on Forfeitable Shares at meetings before the Release Date. This is to comply with paragraph 2(xiii) of Section C of the Investment Association principles of remuneration, which says that unvested shares should not be voted at shareholder meetings.
                    </paratext>
                  </para>
                </division>
              </drafting.note>
            </subclause1>
            <subclause1 id="a881804">
              <identifier>7.9</identifier>
              <para>
                <paratext>If the Company makes an offer conferring any rights on its members to acquire (for payment) additional securities in a Group Company, the Nominee shall comply with any direction from the Award Holder concerning the exercise or sale of any rights or securities attributable to the Forfeitable Shares. However, the Nominee shall not be required to exercise any such rights unless:</paratext>
              </para>
              <subclause2 id="a131521">
                <identifier>(a)</identifier>
                <para>
                  <paratext>the Award Holder has paid the full amount payable (if any) on exercise; or</paratext>
                </para>
              </subclause2>
              <subclause2 id="a116794">
                <identifier>(b)</identifier>
                <para>
                  <paratext>the Award Holder has authorised the Nominee to sell sufficient of the rights, nil paid, to pay the full amount to acquire the balance of such rights.</paratext>
                </para>
              </subclause2>
              <para>
                <paratext>If no such direction is received at least [seven] Dealing Days before the last day on which such rights may be exercised, the Nominee shall take no action in relation to those rights.</paratext>
              </para>
              <para>
                <paratext>The Nominee shall hold any additional shares or securities so acquired on the same terms as the Forfeitable Shares.</paratext>
              </para>
            </subclause1>
            <subclause1 id="a426553">
              <identifier>7.10</identifier>
              <para>
                <paratext>
                  The Nominee shall comply with any direction from the Award Holder concerning a release of Awards in accordance with 
                  <internal.reference refid="a580292">rule 21</internal.reference>
                  .
                </paratext>
              </para>
            </subclause1>
            <subclause1 id="a510337">
              <identifier>7.11</identifier>
              <para>
                <paratext>The words "forfeit for no consideration" mean that the Award Holder's beneficial interest in the Forfeitable Shares ceases to exist and the Award Holder receives no consideration for the cessation of the beneficial interest.</paratext>
              </para>
            </subclause1>
          </clause>
          <clause id="a497277">
            <identifier>8.</identifier>
            <head align="left" preservecase="true">
              <headtext>Release Date</headtext>
            </head>
            <subclause1 id="a683821">
              <identifier>8.1</identifier>
              <para>
                <paratext>The Board shall specify in the Award Certificate the Employment Period, the Performance Period and (in relation to Share-settled Awards) the Holding Period.</paratext>
              </para>
            </subclause1>
            <subclause1 id="a550683">
              <identifier>8.2</identifier>
              <para>
                <paratext>
                  As soon as reasonably practicable after the end of the Performance Period, the Board will determine the extent to which the Performance Conditions have been satisfied. The date of that determination is the Performance Measurement Date and (subject to 
                  <internal.reference refid="a390464">rule 8.3</internal.reference>
                  , 
                  <internal.reference refid="a871123">rule 8.4</internal.reference>
                   and 
                  <internal.reference refid="a791230">rule 9.1</internal.reference>
                  ), the Awards will be Released on the Release Date or lapse accordingly, in whole or in part.
                </paratext>
              </para>
            </subclause1>
            <subclause1 id="a390464">
              <identifier>8.3</identifier>
              <para>
                <paratext>The Release Date shall be the later of the Performance Measurement Date, and the first Dealing Day following the end of the Employment Period. However, if that date falls in a Closed Period, the Release Date will be the first Dealing Day following the end of that Closed Period.</paratext>
              </para>
              <drafting.note id="a281985" jurisdiction="">
                <head align="left" preservecase="true">
                  <headtext>Release during a Closed Period</headtext>
                </head>
                <division id="a000057" level="1">
                  <para>
                    <paratext>It is unclear as to whether UK MAR strictly prohibits an automatic Release of Shares during a Closed Period.</paratext>
                  </para>
                  <para>
                    <paratext>
                      However, Release is a chargeable event for tax purposes, and the risk is that if it happened during a Closed Period, a 
                      <link href="4-200-9271" style="ACTLinkPLCtoPLC">
                        <bold>
                          <ital>person discharging managerial responsibilities</ital>
                        </bold>
                      </link>
                       (PDMR) would be unable to sell Shares to raise the funds to pay the tax.
                    </paratext>
                  </para>
                  <para>
                    <paratext>As a result, best practice is not to permit Release of Awards during a Closed Period.</paratext>
                  </para>
                  <para>
                    <paratext>
                      For more information, see 
                      <link anchor="a995778" href="2-629-8362" style="ACTLinkPLCtoPLC">
                        <ital>Practice note, UK MAR: operating employee share plans: Operating share schemes in a closed period</ital>
                      </link>
                      .
                    </paratext>
                  </para>
                </division>
              </drafting.note>
            </subclause1>
            <subclause1 id="a871123">
              <identifier>8.4</identifier>
              <para>
                <paratext>
                  It shall be a condition of Release of every Non-Option Award that the Award Holder agrees to the provisions of 
                  <internal.reference refid="a391918">rule 11</internal.reference>
                   and 
                  <internal.reference refid="a353805">rule 23</internal.reference>
                   by signing an Acceptance Notice.
                </paratext>
              </para>
              <drafting.note id="a884139" jurisdiction="">
                <head align="left" preservecase="true">
                  <headtext>Release is conditional on signing an Acceptance Notice</headtext>
                </head>
                <division id="a000058" level="1">
                  <para>
                    <paratext>The Award Holder must sign an Acceptance Notice which includes important terms, such as agreeing to pay the tax and the terms of clawback. For Non-Option Awards, this is a condition of Release. For Options, these terms are included in the Exercise Notice.</paratext>
                  </para>
                </division>
              </drafting.note>
            </subclause1>
          </clause>
          <clause id="a852550">
            <identifier>9.</identifier>
            <head align="left" preservecase="true">
              <headtext>Suspension of Awards</headtext>
            </head>
            <drafting.note id="a366510" jurisdiction="">
              <head align="left" preservecase="true">
                <headtext>Suspension of Awards</headtext>
              </head>
              <division id="a000059" level="1">
                <para>
                  <paratext>
                    <internal.reference refid="a791230">rule 9.1</internal.reference>
                     and 
                    <internal.reference refid="a702816">rule 9.2</internal.reference>
                     prevent an Award from being Released, or an Option from being exercised, at a time when the Award Holder is under investigation for misconduct or similar.
                  </paratext>
                </para>
                <para>
                  <paratext>This merely suspends the Award for the duration of the investigation and does not itself cause the Award to lapse. It allows malus to be applied to the Award if the Board considers that appropriate when the investigation concludes.</paratext>
                </para>
                <para>
                  <paratext>
                    If the investigation concludes with the Award Holder resigning or being dismissed, the Award will lapse in accordance with 
                    <internal.reference refid="a870810">rule 18</internal.reference>
                     or 
                    <internal.reference refid="a181702">rule 19</internal.reference>
                    .
                  </paratext>
                </para>
                <para>
                  <paratext>
                    If the Award Holder is not dismissed when the investigation concludes, 
                    <internal.reference refid="a791230">rule 9.1</internal.reference>
                     and 
                    <internal.reference refid="a702816">rule 9.2</internal.reference>
                     no longer apply.
                  </paratext>
                </para>
                <para>
                  <paratext>
                    <internal.reference refid="a772174">rule 9.4</internal.reference>
                     states that, if an Award Holder gives or receives notification of termination of employment, the right to exercise an Option is suspended during the notice period. If the notice is subsequently withdrawn, the suspension automatically lifts. This only applies before the Release Date. Once the Release Date has passed, the Award Holder is free to exercise the Option.
                  </paratext>
                </para>
                <para>
                  <paratext>
                    <internal.reference refid="a989438">rule 9.5</internal.reference>
                     states that, if an Award Holder gives or receives notification of termination of employment, the Release of the Award is suspended during the notice period. If the notice is subsequently withdrawn, the suspension automatically lifts.
                  </paratext>
                </para>
              </division>
            </drafting.note>
            <subclause1 id="a791230">
              <identifier>9.1</identifier>
              <para>
                <paratext>
                  Subject to 
                  <internal.reference refid="a702816">rule 9.2</internal.reference>
                  , an Award shall not be Released, and an Award Holder may not exercise an Option, at any time:
                </paratext>
              </para>
              <subclause2 id="a807035">
                <identifier>(a)</identifier>
                <para>
                  <paratext>while disciplinary proceedings by any Group Company are underway against the Award Holder; or</paratext>
                </para>
              </subclause2>
              <subclause2 id="a355829">
                <identifier>(b)</identifier>
                <para>
                  <paratext>while any Group Company is investigating the Award Holder's conduct and may as a result begin disciplinary proceedings.</paratext>
                </para>
              </subclause2>
            </subclause1>
            <subclause1 id="a702816">
              <identifier>9.2</identifier>
              <para>
                <paratext>
                  The Company shall not unfairly frustrate a valid Release of an Award or exercise of an Option by the inappropriate application of any provision of 
                  <internal.reference refid="a791230">rule 9.1</internal.reference>
                  .
                </paratext>
              </para>
            </subclause1>
            <subclause1 id="a60797">
              <identifier>9.3</identifier>
              <para>
                <paratext>
                  For the avoidance of doubt, and subject to 
                  <internal.reference refid="a390464">rule 8.3</internal.reference>
                  , 
                  <internal.reference refid="a871123">rule 8.4</internal.reference>
                   and 
                  <internal.reference refid="a181702">rule 19</internal.reference>
                  , an Award that was not Released on its expected Release Date due to the application of 
                  <internal.reference refid="a791230">rule 9.1</internal.reference>
                   shall be Released if the Board so determines following the conclusion of the disciplinary proceedings or investigation. The Release Date of that Award shall be the date of the Board's determination, or, if that date falls in a Closed Period, the first Dealing Day following the end of that Closed Period.
                </paratext>
              </para>
            </subclause1>
            <subclause1 id="a772174">
              <identifier>9.4</identifier>
              <para>
                <paratext>An Award Holder who gives or receives notice of termination of employment before the Release Date (whether or not lawful) may not exercise an Option at any time while the notice remains effective.</paratext>
              </para>
            </subclause1>
            <subclause1 id="a989438">
              <identifier>9.5</identifier>
              <para>
                <paratext>No Award shall be Released during a period when the Award Holder is on notice of termination of employment (whether or not lawful). An Award that would otherwise have been Released during such a period shall instead be Released when and if the notice ceases to be effective.</paratext>
              </para>
            </subclause1>
          </clause>
          <clause id="a714948">
            <identifier>10.</identifier>
            <head align="left" preservecase="true">
              <headtext>Circumstances in which malus and clawback can apply</headtext>
            </head>
            <drafting.note id="a163565" jurisdiction="">
              <head align="left" preservecase="true">
                <headtext>Circumstances in which malus and clawback can apply</headtext>
              </head>
              <division id="a1020662" level="1">
                <head align="left" preservecase="true">
                  <headtext>Malus and clawback of Awards: general principles</headtext>
                </head>
                <para>
                  <paratext>
                    <internal.reference refid="a714948">rule 10</internal.reference>
                     and 
                    <internal.reference refid="a391918">rule 11</internal.reference>
                     implement malus and clawback. These are relatively new features of share plans in the UK.
                  </paratext>
                </para>
                <para>
                  <paratext>Malus usually describes the downward adjustment of an Award in the event of a downturn in the company's performance or poor performance or misconduct by the employee. Malus arrangements adjust Awards before the Award has been Released (or, in the case of an Option, exercised).</paratext>
                </para>
                <para>
                  <paratext>
                    In 
                    <link href="D-102-1802" style="ACTLinkPLCtoPLC">
                      <ital>Daniels v Lloyds Bank Plc [2018] EWHC 660 (Comm) (27 March 2018)</ital>
                    </link>
                     the High Court found that shares were unlawfully withheld under a malus clause. For more information, see 
                    <link href="w-014-0044" style="ACTLinkPLCtoPLC">
                      <ital>Legal update, LTIP shares wrongfully withheld because malus clause unlawfully applied (High Court)</ital>
                    </link>
                    . In 
                    <link href="D-102-8369" style="ACTLinkPLCtoPLC">
                      <ital>Parmar v HSBC Pte Bank (UK) Ltd [2018] EWHC 2468 (QB) (24 September 2018)</ital>
                    </link>
                     the High Court awarded summary judgment to the defendant bank, finding that its process and decision to use a malus clause to reduce the claimant's award to zero were "entirely unimpeachable".
                  </paratext>
                </para>
                <para>
                  <paratext>Clawback means that an Award Holder is required to pay back all or some of an Award that has been Released because either the performance of the business is later found to be not as good as initially reported, or because the recipient has committed some kind of misconduct which is uncovered after the Award has been Released.</paratext>
                </para>
                <para>
                  <paratext>
                    Companies that are regulated by the 
                    <link href="5-107-5761" style="ACTLinkPLCtoPLC">
                      <bold>
                        <ital>Financial Conduct Authority</ital>
                      </bold>
                    </link>
                     (FCA) or the 
                    <link href="8-524-8233" style="ACTLinkPLCtoPLC">
                      <bold>
                        <ital>Prudential Regulation Authority</ital>
                      </bold>
                    </link>
                     (PRA) are required to have clawback or malus. Specific drafting for malus and clawback of bonuses is in 
                    <link href="1-563-3285" style="ACTLinkPLCtoPLC">
                      <ital>Standard clauses, Remuneration code</ital>
                    </link>
                     and these clauses are explained in 
                    <link href="1-563-3285#a433774" style="ACTLinkPLCtoPLC">
                      <ital>Drafting note, Performance adjustment</ital>
                    </link>
                    .
                  </paratext>
                </para>
                <para>
                  <paratext>
                    For other companies, the Corporate Governance Code states that remuneration schemes should include provisions enabling the company to recover and/or withhold awards (
                    <link anchor="a110553" href="w-014-0498" style="ACTLinkPLCtoPLC">
                      <ital>Provision 37</ital>
                    </link>
                    ).
                  </paratext>
                </para>
                <para>
                  <paratext>
                    The directors' remuneration policy may set out the company's policy on malus and clawback. If so, the provisions need to comply with that policy. For more information on the directors' remuneration policy, see 
                    <link href="8-525-8509" style="ACTLinkPLCtoPLC">
                      <ital>Practice note, Directors' remuneration report</ital>
                    </link>
                    .
                  </paratext>
                </para>
                <para>
                  <paratext>
                    <internal.reference refid="a714948">rule 10</internal.reference>
                     and 
                    <internal.reference refid="a391918">rule 11</internal.reference>
                     set out a process for the Board to implement malus and clawback as follows:
                  </paratext>
                </para>
                <list type="bulleted">
                  <list.item>
                    <para>
                      <paratext>
                        First, determine whether circumstances exist that have materially damaged the Group. These could relate to personal misconduct (
                        <internal.reference refid="a751038">rule 10.2</internal.reference>
                        ) or a more general problem (
                        <internal.reference refid="a323951">rule 10.3</internal.reference>
                        ).
                      </paratext>
                    </para>
                  </list.item>
                  <list.item>
                    <para>
                      <paratext>
                        Second, determine whether a particular Award was granted or Released in respect of more Shares than would have been the case if the Board had been fully aware of the circumstances at the time of grant or Release (
                        <internal.reference refid="a585683">rule 10.4</internal.reference>
                        ).
                      </paratext>
                    </para>
                  </list.item>
                  <list.item>
                    <para>
                      <paratext>Third, determine to:</paratext>
                    </para>
                    <list type="bulleted">
                      <list.item>
                        <para>
                          <paratext>
                            apply malus to an Award that has not yet been Released (or in the case of an Option, exercised) by cancelling or reducing it (
                            <internal.reference refid="a489265">rule 11.2</internal.reference>
                            ); or
                          </paratext>
                        </para>
                      </list.item>
                      <list.item>
                        <para>
                          <paratext>
                            determine a Clawback Amount in relation to an Award that has been Released (or in the case of an Option, exercised) (
                            <internal.reference refid="a274423">rule 11.3</internal.reference>
                            ).
                          </paratext>
                        </para>
                      </list.item>
                    </list>
                  </list.item>
                </list>
                <list type="bulleted">
                  <list.item>
                    <para>
                      <paratext>
                        Fourth, secure reimbursement of the Clawback Amount (
                        <internal.reference refid="a823216">rule 11.7</internal.reference>
                        ).
                      </paratext>
                    </para>
                  </list.item>
                </list>
                <para>
                  <paratext>
                    For more information on developing practice in this area, see 
                    <ital>Articles:</ital>
                  </paratext>
                </para>
                <list type="bulleted">
                  <list.item>
                    <para>
                      <paratext>
                        <link href="5-523-7684" style="ACTLinkPLCtoPLC">
                          <ital>Clawback provisions: design considerations and market practice</ital>
                        </link>
                        .
                      </paratext>
                    </para>
                  </list.item>
                  <list.item>
                    <para>
                      <paratext>
                        <link href="2-572-1446" style="ACTLinkPLCtoPLC">
                          <ital>Clawback of bonuses: the claws are out</ital>
                        </link>
                        .
                      </paratext>
                    </para>
                  </list.item>
                </list>
              </division>
              <division id="a797808" level="1">
                <head align="left" preservecase="true">
                  <headtext>Circumstances in which malus and clawback can apply</headtext>
                </head>
                <para>
                  <paratext>
                    <internal.reference refid="a751038">rule 10.2</internal.reference>
                     sets out a list of the circumstances in which malus and clawback can occur due to personal misconduct, or where a material error is made in a calculation.
                  </paratext>
                </para>
                <para>
                  <paratext>
                    <internal.reference refid="a323951">rule 10.3</internal.reference>
                     sets out a list of the circumstances in which malus and clawback can occur due to more general problems. It applies where the accounts have been mis-stated, there is a failure of risk management.
                  </paratext>
                </para>
                <para>
                  <paratext>These are both generic lists; there may be other industry-specific circumstances to be added. The list should include as many circumstances as is reasonable; in the event of litigation it may be necessary to show not just that the conduct was reprehensible but that it fell within one of the circumstances.</paratext>
                </para>
                <para>
                  <paratext>
                    Once the Board becomes aware of the misconduct, it has a discretion to make a determination under 
                    <internal.reference refid="a585683">rule 10.4</internal.reference>
                     that the Award was granted or Released in respect of more Shares than would have been the case if the Board had been fully aware of the circumstances at the time of grant or Release.
                  </paratext>
                </para>
                <para>
                  <paratext>
                    As with any other exercise of a discretion under the rules, and in determining whether something is material, the Board is obliged to act fairly and reasonably (see 
                    <internal.reference refid="a164018">rule 26.5</internal.reference>
                     and 
                    <internal.reference refid="a641316">rule 26.6</internal.reference>
                    ).
                  </paratext>
                </para>
                <para>
                  <paratext>
                    We suggest that the Board must make such a determination (if at all) within three years of becoming aware of the misconduct. This of course could be much later than when the misconduct actually occurs. We suggest three years as this is in line with developing market practice, except for companies that are regulated by the FCA or PRA, where seven years (with a possible extension to ten years) is required (see 
                    <link href="5-616-6591" style="ACTLinkPLCtoPLC">
                      <ital>Legal update, FCA and PRA announce new rules on remuneration to strengthen alignment of long-term risk and reward in the banking sector</ital>
                    </link>
                    ).
                  </paratext>
                </para>
              </division>
            </drafting.note>
            <subclause1 id="a720990">
              <identifier>10.1</identifier>
              <para>
                <paratext>
                  <internal.reference refid="a714948">rule 10</internal.reference>
                   applies in relation to an Award if:
                </paratext>
              </para>
              <subclause2 id="a302761">
                <identifier>(a)</identifier>
                <para>
                  <paratext>
                    either or both 
                    <internal.reference refid="a751038">rule 10.2</internal.reference>
                     and 
                    <internal.reference refid="a323951">rule 10.3</internal.reference>
                     apply; and
                  </paratext>
                </para>
              </subclause2>
              <subclause2 id="a219902">
                <identifier>(b)</identifier>
                <para>
                  <paratext>
                    <internal.reference refid="a585683">rule 10.4</internal.reference>
                     applies.
                  </paratext>
                </para>
              </subclause2>
            </subclause1>
            <subclause1 id="a751038">
              <identifier>10.2</identifier>
              <para>
                <paratext>
                  This 
                  <internal.reference refid="a751038">rule 10.2</internal.reference>
                   applies in relation to an Award if the Board, at its discretion, determines that any of the following circumstances exist:
                </paratext>
              </para>
              <subclause2 id="a727084">
                <identifier>(a)</identifier>
                <para>
                  <paratext>the Award Holder has participated in or was responsible for conduct which resulted in significant losses to a Group Company;</paratext>
                </para>
              </subclause2>
              <subclause2 id="a267787">
                <identifier>(b)</identifier>
                <para>
                  <paratext>the Award Holder has failed to meet appropriate standards of fitness and propriety;</paratext>
                </para>
              </subclause2>
              <subclause2 id="a975345">
                <identifier>(c)</identifier>
                <para>
                  <paratext>the Company has reasonable evidence of fraud or material dishonesty by the Award Holder;</paratext>
                </para>
              </subclause2>
              <subclause2 id="a1054160">
                <identifier>(d)</identifier>
                <para>
                  <paratext>the Company has become aware of any material wrongdoing on the part of the Award Holder;</paratext>
                </para>
              </subclause2>
              <subclause2 id="a58206">
                <identifier>(e)</identifier>
                <para>
                  <paratext>the Award Holder has acted in any manner which in the opinion of the Board has brought or is likely to bring any Group Company into material disrepute or is materially adverse to the interests of any Group Company;</paratext>
                </para>
              </subclause2>
              <subclause2 id="a443870">
                <identifier>(f)</identifier>
                <para>
                  <paratext>there is a breach of the Award Holder's employment contract that is a potentially fair reason for dismissal;</paratext>
                </para>
              </subclause2>
              <subclause2 id="a710903">
                <identifier>(g)</identifier>
                <para>
                  <paratext>the Award Holder is in breach of a fiduciary duty owed to any Group Company;</paratext>
                </para>
              </subclause2>
              <subclause2 id="a644224">
                <identifier>(h)</identifier>
                <para>
                  <paratext>an Award Holder who has ceased to be an Employee was in breach of their employment contract or fiduciary duties in a manner that would have prevented the grant or Release of the Award had the Company been aware (or fully aware) of that breach, and of which the Company was not aware (or not fully aware) until after both:</paratext>
                </para>
                <subclause3 id="a1047523">
                  <identifier>(i)</identifier>
                  <para>
                    <paratext>the Award Holder's ceasing to be an Employee; and</paratext>
                  </para>
                </subclause3>
                <subclause3 id="a306467">
                  <identifier>(ii)</identifier>
                  <para>
                    <paratext>the time (if any) when the Board decided to permit the Release of the Award or the exercise of the Option; or</paratext>
                  </para>
                </subclause3>
              </subclause2>
              <subclause2 id="a414846">
                <identifier>(i)</identifier>
                <para>
                  <paratext>there was a material error in:</paratext>
                </para>
                <subclause3 id="a941642">
                  <identifier>(i)</identifier>
                  <para>
                    <paratext>determining whether the Award should be made;</paratext>
                  </para>
                </subclause3>
                <subclause3 id="a528962">
                  <identifier>(ii)</identifier>
                  <para>
                    <paratext>determining the size and nature of the Award; or</paratext>
                  </para>
                </subclause3>
                <subclause3 id="a850222">
                  <identifier>(iii)</identifier>
                  <para>
                    <paratext>assessing the extent to which any Performance Condition was satisfied on the Performance Measurement Date.</paratext>
                  </para>
                </subclause3>
              </subclause2>
            </subclause1>
            <subclause1 id="a323951">
              <identifier>10.3</identifier>
              <para>
                <paratext>
                  This 
                  <internal.reference refid="a323951">rule 10.3</internal.reference>
                   applies in relation to an Award if the Board, at its discretion, determines that either of the following circumstances exist:
                </paratext>
              </para>
              <subclause2 id="a444353">
                <identifier>(a)</identifier>
                <para>
                  <paratext>a Group Company mis-stated any financial information (whether or not audited) for any part of any Year that was taken into account in:</paratext>
                </para>
                <subclause3 id="a348724">
                  <identifier>(i)</identifier>
                  <para>
                    <paratext>determining whether the Award should be made;</paratext>
                  </para>
                </subclause3>
                <subclause3 id="a134147">
                  <identifier>(ii)</identifier>
                  <para>
                    <paratext>determining the size and nature of the Award; or</paratext>
                  </para>
                </subclause3>
                <subclause3 id="a810503">
                  <identifier>(iii)</identifier>
                  <para>
                    <paratext>assessing the extent to which any Performance Condition was satisfied on the Performance Measurement Date; or</paratext>
                  </para>
                </subclause3>
              </subclause2>
              <subclause2 id="a1023178">
                <identifier>(b)</identifier>
                <para>
                  <paratext>a Group Company or business unit that employs or employed the Award Holder, or for which the Award Holder is responsible, has suffered a material failure of risk management.</paratext>
                </para>
              </subclause2>
            </subclause1>
            <subclause1 id="a585683">
              <identifier>10.4</identifier>
              <para>
                <paratext>
                  This 
                  <internal.reference refid="a585683">rule 10.4</internal.reference>
                   applies in relation to an Award if the Board, at its discretion, determines that, if the circumstances mentioned in 
                  <internal.reference refid="a751038">rule 10.2</internal.reference>
                   or 
                  <internal.reference refid="a323951">rule 10.3</internal.reference>
                   had existed, and the Board had been fully aware that they existed:
                </paratext>
              </para>
              <subclause2 id="a247918">
                <identifier>(a)</identifier>
                <para>
                  <paratext>at the Grant Date, or</paratext>
                </para>
              </subclause2>
              <subclause2 id="a762075">
                <identifier>(b)</identifier>
                <para>
                  <paratext>in the case of an Award that has already been Released, at the Release Date,</paratext>
                </para>
              </subclause2>
              <para>
                <paratext>then:</paratext>
              </para>
              <subclause2 id="a157285">
                <identifier>(c)</identifier>
                <para>
                  <paratext>the Board would not have granted the Award;</paratext>
                </para>
              </subclause2>
              <subclause2 id="a971656">
                <identifier>(d)</identifier>
                <para>
                  <paratext>the Board would have granted the Award in relation to a smaller number of Shares; or</paratext>
                </para>
              </subclause2>
              <subclause2 id="a794119">
                <identifier>(e)</identifier>
                <para>
                  <paratext>in the case of an Award that has already been Released:</paratext>
                </para>
                <subclause3 id="a61153">
                  <identifier>(i)</identifier>
                  <para>
                    <paratext>it would not have been Released at all, or</paratext>
                  </para>
                </subclause3>
                <subclause3 id="a260053">
                  <identifier>(ii)</identifier>
                  <para>
                    <paratext>it would have been Released in relation to a smaller number of Shares.</paratext>
                  </para>
                </subclause3>
              </subclause2>
            </subclause1>
            <subclause1 id="a451961">
              <identifier>10.5</identifier>
              <para>
                <paratext>
                  If the Board makes a determination in relation to an Award under 
                  <internal.reference refid="a714948">rule 10</internal.reference>
                  , it must do so within [three] years of its becoming aware of the circumstances mentioned in 
                  <internal.reference refid="a751038">rule 10.2</internal.reference>
                   or 
                  <internal.reference refid="a323951">rule 10.3</internal.reference>
                  .
                </paratext>
              </para>
            </subclause1>
          </clause>
          <clause id="a391918">
            <identifier>11.</identifier>
            <head align="left" preservecase="true">
              <headtext>Operation of malus and clawback</headtext>
            </head>
            <drafting.note id="a804444" jurisdiction="">
              <head align="left" preservecase="true">
                <headtext>Operation of malus and clawback</headtext>
              </head>
              <division id="a000060" level="1">
                <para>
                  <paratext>
                    <internal.reference refid="a391918">rule 11</internal.reference>
                     sets out how malus and clawback work.
                  </paratext>
                </para>
                <para>
                  <paratext>
                    <internal.reference refid="a999638">rule 11.1</internal.reference>
                     says that 
                    <internal.reference refid="a391918">rule 11</internal.reference>
                     is invoked by the Board making a determination under 
                    <internal.reference refid="a714948">rule 10</internal.reference>
                    .
                  </paratext>
                </para>
                <para>
                  <paratext>
                    <internal.reference refid="a489265">rule 11.2</internal.reference>
                     allows the Board to apply malus to an Award that has not yet been Released (or, if it is an Option, not yet exercised). The Board can cancel the Award or reduce it to the extent that the Board considers to be fair and reasonable.
                  </paratext>
                </para>
                <para>
                  <paratext>
                    <internal.reference refid="a274423">rule 11.3</internal.reference>
                     allows the Board to determine a Clawback Amount in relation to an Award that has been Released (or, if it is an Option, exercised).
                  </paratext>
                </para>
                <para>
                  <paratext>
                    <internal.reference refid="a748446">rule 11.4</internal.reference>
                     requires that the Clawback Amount is fair and reasonable and sets a maximum limit on it. It is important that the Clawback Amount is not an unenforceable penalty clause (see 
                    <link href="9-582-2885#a574254" style="ACTLinkPLCtoPLC">
                      <ital>Practice note, Contracts: agreed remedies: The rule against penalties</ital>
                    </link>
                    ).
                  </paratext>
                </para>
                <para>
                  <paratext>
                    <internal.reference refid="a171404">rule 11.5</internal.reference>
                     gives the Board flexibility to decide whether to reduce the Clawback Amount to allow for irrecoverable taxation. Market practice in this area is likely to evolve as more companies experience clawback in practice.
                  </paratext>
                </para>
                <para>
                  <paratext>
                    There is no specific provision in UK tax legislation for repayment of tax where a Share-settled Award is clawed back, although there are circumstances where tax can be repaid on clawback of a bonus, and HMRC has issued guidance on this. For more information, see 
                    <link href="w-005-1930" style="ACTLinkPLCtoPLC">
                      <ital>Legal update, HMRC publishes views on tax relief for clawback of bonuses</ital>
                    </link>
                  </paratext>
                </para>
                <para>
                  <paratext>
                    <internal.reference refid="a705721">rule 11.6</internal.reference>
                     says that the Board does not have to operate clawback in relation to all Awards that have the same Release Date. The Board might, for example, consider that some Award Holders are more culpable than others.
                  </paratext>
                </para>
                <para>
                  <paratext>
                    <internal.reference refid="a823216">rule 11.7</internal.reference>
                     sets out how the Clawback Amount is recovered from the Award Holder. The onus is on the Award Holder to reimburse the Company for the Clawback Amount within a grace period, which we suggest is 30 days. If full reimbursement is not made, the Company can recover the amount directly from the Award Holder.
                  </paratext>
                </para>
                <para>
                  <paratext>There are seven possible clawback methods and the Board can decide which is most appropriate.</paratext>
                </para>
                <para>
                  <paratext>
                    <internal.reference refid="a558774">rule 11.7(d)</internal.reference>
                     allows awards made under another scheme to be reduced; this will be possible where the other scheme has a cross-clawback provision similar to 
                    <internal.reference refid="a349192">rule 11.8</internal.reference>
                    .
                  </paratext>
                </para>
                <para>
                  <paratext>
                    If the Award Holder has already terminated employment then it is likely that only 
                    <internal.reference refid="a569455">rule 11.7(e)</internal.reference>
                     and 
                    <internal.reference refid="a537411">rule 11.7(f)</internal.reference>
                     will be possible.
                  </paratext>
                </para>
                <para>
                  <paratext>
                    Note that there are likely to be employment law difficulties with reducing salary (see 
                    <link href="6-201-7034" style="ACTLinkPLCtoPLC">
                      <ital>Practice note, Unlawful deductions from wages</ital>
                    </link>
                    ).
                  </paratext>
                </para>
                <para>
                  <paratext>
                    It is a condition of Release that the Award Holder signs an agreement to allow Clawback to be implemented (see 
                    <internal.reference refid="a871123">rule 8.4</internal.reference>
                     and 
                    <internal.reference refid="a548092">rule 11.9</internal.reference>
                    ).
                  </paratext>
                </para>
                <para>
                  <paratext>
                    <internal.reference refid="a349192">rule 11.8</internal.reference>
                     gives effect to cross-clawback. This means that the Board can reduce or cancel Awards made under this Plan to give effect to clawback that arises under the terms of a different bonus or incentive scheme.
                  </paratext>
                </para>
              </division>
            </drafting.note>
            <subclause1 id="a999638">
              <identifier>11.1</identifier>
              <para>
                <paratext>
                  This 
                  <internal.reference refid="a391918">rule 11</internal.reference>
                   applies to an Award if 
                  <internal.reference refid="a714948">rule 10</internal.reference>
                   applies to the Award.
                </paratext>
              </para>
            </subclause1>
            <subclause1 id="a489265">
              <identifier>11.2</identifier>
              <para>
                <paratext>
                  If at the date of the determination under 
                  <internal.reference refid="a585683">rule 10.4</internal.reference>
                  , the Award has not yet been Released or, in the case of an Option, it has not yet been exercised, the Board may determine to cancel the Award or reduce it by such number of Shares as the Board considers to be fair and reasonable, taking account of all circumstances that the Board considers to be relevant.
                </paratext>
              </para>
            </subclause1>
            <subclause1 id="a274423">
              <identifier>11.3</identifier>
              <para>
                <paratext>
                  If at the date of the determination under 
                  <internal.reference refid="a585683">rule 10.4</internal.reference>
                  , the Award has been Released or, in the case of an Option, it has been exercised, the Board may determine a Clawback Amount in relation to the Award.
                </paratext>
              </para>
            </subclause1>
            <subclause1 id="a748446">
              <identifier>11.4</identifier>
              <para>
                <paratext>The Clawback Amount shall be such amount as the Board considers to be fair and reasonable, taking account of all circumstances that the Board considers to be relevant, but shall not be more than:</paratext>
              </para>
              <subclause2 id="a203699">
                <identifier>(a)</identifier>
                <para>
                  <paratext>in relation to an Option that has been exercised, the greater of:</paratext>
                </para>
                <subclause3 id="a592871">
                  <identifier>(i)</identifier>
                  <para>
                    <paratext>the Market Value of the Shares measured on the date the Option was exercised, and</paratext>
                  </para>
                </subclause3>
                <subclause3 id="a928037">
                  <identifier>(ii)</identifier>
                  <para>
                    <paratext>the Market Value of the Shares measured on the date of the determination</paratext>
                  </para>
                </subclause3>
                <para>
                  <paratext>minus the Base Price or Exercise Price (as the case may be);</paratext>
                </para>
              </subclause2>
              <subclause2 id="a669632">
                <identifier>(b)</identifier>
                <para>
                  <paratext>in relation to a Non-Option Award, the greater of:</paratext>
                </para>
                <subclause3 id="a656959">
                  <identifier>(i)</identifier>
                  <para>
                    <paratext>the Market Value of the Shares measured on the Release Date, and</paratext>
                  </para>
                </subclause3>
                <subclause3 id="a735774">
                  <identifier>(ii)</identifier>
                  <para>
                    <paratext>the Market Value of the Shares measured on the date of the determination.</paratext>
                  </para>
                </subclause3>
              </subclause2>
            </subclause1>
            <subclause1 id="a171404">
              <identifier>11.5</identifier>
              <para>
                <paratext>If the Award Holder has paid or is liable to pay any income tax or NICs in relation to the Award or the Shares and which cannot be recovered from or repaid by the Tax Authority (whether directly or indirectly), the Board may in its discretion decide to reduce the Clawback Amount to take account of this amount. In deciding whether to reduce the Clawback Amount, the Board shall take account of such factors it thinks fit, which may include market practice, corporate governance rules and guidelines, and the expectations of shareholders.</paratext>
              </para>
            </subclause1>
            <subclause1 id="a705721">
              <identifier>11.6</identifier>
              <para>
                <paratext>For the avoidance of doubt, the Board is not obliged to determine a Clawback Amount in relation to any particular Award, even if the Board does determine a Clawback Amount in relation to other Awards to the same or other Award Holders which had the same Grant Date or Release Date.</paratext>
              </para>
            </subclause1>
            <subclause1 id="a823216">
              <identifier>11.7</identifier>
              <para>
                <paratext>The Award Holder shall reimburse the Company for the Clawback Amount, in any way acceptable to the Board, on or as soon as possible after the Board determines a Clawback Amount in relation to the Award. If the Award Holder fails to reimburse the Company within [30 days] after the determination, the Company shall obtain reimbursement from the Award Holder in any (or any combination) of the following ways:</paratext>
              </para>
              <subclause2 id="a979390">
                <identifier>(a)</identifier>
                <para>
                  <paratext>by reducing or cancelling any Options that the Award Holder has not exercised;</paratext>
                </para>
              </subclause2>
              <subclause2 id="a776445">
                <identifier>(b)</identifier>
                <para>
                  <paratext>by reducing or cancelling any Non-Option Awards that have not yet been Released;</paratext>
                </para>
              </subclause2>
              <subclause2 id="a385282">
                <identifier>(c)</identifier>
                <para>
                  <paratext>by reducing or cancelling any cash bonus payable to the Award Holder by any Group Company;</paratext>
                </para>
              </subclause2>
              <subclause2 id="a558774">
                <identifier>(d)</identifier>
                <para>
                  <paratext>by reducing or cancelling any future or existing award made or option granted to the Award Holder under any other Share Incentive Scheme or bonus scheme operated by any Group Company (other than a Schedule 2 SIP or a Schedule 3 SAYE option scheme, as those terms are defined in ITEPA 2003);</paratext>
                </para>
              </subclause2>
              <subclause2 id="a569455">
                <identifier>(e)</identifier>
                <para>
                  <paratext>by requiring the Award Holder to make a cash payment to a Group Company;</paratext>
                </para>
              </subclause2>
              <subclause2 id="a537411">
                <identifier>(f)</identifier>
                <para>
                  <paratext>by requiring the Award Holder to transfer Shares to the Nominee for no consideration;</paratext>
                </para>
              </subclause2>
              <subclause2 id="a233751">
                <identifier>(g)</identifier>
                <para>
                  <paratext>by causing any Shares held by the Nominee on behalf of the Award Holder to be forfeited for no consideration, with the consequence that the Award Holder no longer has any beneficial interest in those Shares; or</paratext>
                </para>
              </subclause2>
              <subclause2 id="a633543">
                <identifier>(h)</identifier>
                <para>
                  <paratext>by reducing the Award Holder's Salary.</paratext>
                </para>
              </subclause2>
            </subclause1>
            <subclause1 id="a349192">
              <identifier>11.8</identifier>
              <para>
                <paratext>
                  If the Award Holder participates in another Share Incentive Scheme or bonus scheme operated by a Group Company, and that other scheme contains a provision that has a similar effect to this 
                  <internal.reference refid="a391918">rule 11</internal.reference>
                  , the Board may give effect to that provision in any of the following ways:
                </paratext>
              </para>
              <subclause2 id="a932620">
                <identifier>(a)</identifier>
                <para>
                  <paratext>By reducing or cancelling any Options that the Award Holder has not exercised.</paratext>
                </para>
              </subclause2>
              <subclause2 id="a182336">
                <identifier>(b)</identifier>
                <para>
                  <paratext>By reducing or cancelling any Non-Option Awards that have not yet been Released.</paratext>
                </para>
              </subclause2>
            </subclause1>
            <subclause1 id="a548092">
              <identifier>11.9</identifier>
              <para>
                <paratext>
                  It is a condition of the Release of an Award and the exercise of an Option that the Award Holder sign an Acceptance Notice or Exercise Notice declaring an irrevocable agreement to the terms of 
                  <internal.reference refid="a391918">rule 11</internal.reference>
                  .
                </paratext>
              </para>
            </subclause1>
          </clause>
          <clause id="a995024">
            <identifier>12.</identifier>
            <head align="left" preservecase="true">
              <headtext>Exercise of Options</headtext>
            </head>
            <drafting.note id="a636115" jurisdiction="">
              <head align="left" preservecase="true">
                <headtext>Exercise of Options</headtext>
              </head>
              <division id="a000061" level="1">
                <para>
                  <paratext>An Option is not ordinarily exercisable before the Performance Conditions are achieved.</paratext>
                </para>
              </division>
            </drafting.note>
            <subclause1 id="a689311">
              <identifier>12.1</identifier>
              <para>
                <paratext>An Award Holder may not exercise an Option before the earliest of:</paratext>
              </para>
              <subclause2 id="a834127">
                <identifier>(a)</identifier>
                <para>
                  <paratext>its Release Date;</paratext>
                </para>
              </subclause2>
              <subclause2 id="a75753">
                <identifier>(b)</identifier>
                <para>
                  <paratext>
                    the time when it becomes exercisable under 
                    <internal.reference refid="a870810">rule 18</internal.reference>
                    ; and
                  </paratext>
                </para>
              </subclause2>
              <subclause2 id="a350877">
                <identifier>(c)</identifier>
                <para>
                  <paratext>
                    the time when it becomes exercisable under 
                    <internal.reference refid="a1037750">rule 20</internal.reference>
                    .
                  </paratext>
                </para>
              </subclause2>
            </subclause1>
            <subclause1 id="a994347">
              <identifier>12.2</identifier>
              <para>
                <paratext>An Award Holder may only exercise an Option to the extent that the relevant Performance Condition is achieved, and any other condition stated in the Award Certificate is satisfied.</paratext>
              </para>
            </subclause1>
            <subclause1 id="a631132">
              <identifier>12.3</identifier>
              <para>
                <paratext>An Award Holder may not exercise an Option at a time when its exercise is prohibited by, or would be a breach of, UK MAR or any other law or regulation with the force of law, or other rule, code or set of guidelines (such as a personal dealing code adopted by the Company).</paratext>
              </para>
            </subclause1>
            <subclause1 id="a517851">
              <identifier>12.4</identifier>
              <para>
                <paratext>
                  An Award Holder may not exercise an Option without having signed the Exercise Notice and made any arrangements, or entered into any agreements, that may be required and are referred to in 
                  <internal.reference refid="a391918">rule 11</internal.reference>
                   and 
                  <internal.reference refid="a353805">rule 23</internal.reference>
                  .
                </paratext>
              </para>
            </subclause1>
          </clause>
          <clause id="a347509">
            <identifier>13.</identifier>
            <head align="left" preservecase="true">
              <headtext>Manner of exercise of Options</headtext>
            </head>
            <subclause1 condition="optional" id="a669902">
              <identifier>13.1</identifier>
              <para>
                <paratext>An Award Holder who exercises an Option in part must exercise it over at least [NUMBER] Shares or, if fewer, the number of Shares over which the Option is then exercisable.</paratext>
              </para>
              <drafting.note id="a916556" jurisdiction="">
                <head align="left" preservecase="true">
                  <headtext>Minimum number of Options that can be exercised (optional rule)</headtext>
                </head>
                <division id="a000062" level="1">
                  <para>
                    <paratext>The purpose of this rule is to keep the administrative costs to a sensible level by setting a minimum number of Shares over which part of an Option can be exercised. This prevents an Award Holder making frequent, small exercises. The appropriate figure to be inserted here will depend on the number of Shares over which Options are likely to be granted (between one-third and one-half of the smallest Option might be a practical solution). If Options could vary considerably in size, it might be sensible to specify both a percentage limit and a numerical limit.</paratext>
                  </para>
                </division>
              </drafting.note>
            </subclause1>
            <subclause1 id="a806806">
              <identifier>13.2</identifier>
              <para>
                <paratext>The Award Holder shall exercise an Option by giving an Exercise Notice to the Company setting out the number of Shares over which the Award Holder wishes to exercise the Option. If that number exceeds the number over which the Option may be validly exercised at the time, the Company shall:</paratext>
              </para>
              <subclause2 id="a735999">
                <identifier>(a)</identifier>
                <para>
                  <paratext>treat the Option as exercised only in respect of that lesser number; and</paratext>
                </para>
              </subclause2>
              <subclause2 id="a533368">
                <identifier>(b)</identifier>
                <para>
                  <paratext>refund any excess amount paid to exercise the Option or meet any Tax Liability.</paratext>
                </para>
              </subclause2>
            </subclause1>
            <subclause1 id="a339239">
              <identifier>13.3</identifier>
              <para>
                <paratext>The Exercise Notice shall be accompanied by both of the following:</paratext>
              </para>
              <subclause2 id="a178364">
                <identifier>(a)</identifier>
                <para>
                  <paratext>in relation to a Market Value Option or Nominal Cost Option payment of an amount equal to the Exercise Price multiplied by the number of Shares specified in the notice;</paratext>
                </para>
              </subclause2>
              <subclause2 id="a898823">
                <identifier>(b)</identifier>
                <para>
                  <paratext>
                    any payment required under 
                    <internal.reference refid="a353805">rule 23</internal.reference>
                    ,
                  </paratext>
                </para>
              </subclause2>
              <para>
                <paratext>unless the Award Holder has entered into binding alternative arrangements to secure the payment of those amounts which are satisfactory to the Board.</paratext>
              </para>
            </subclause1>
            <subclause1 id="a335920">
              <identifier>13.4</identifier>
              <para>
                <paratext>The Exercise Notice shall contain or be accompanied by:</paratext>
              </para>
              <subclause2 id="a648443">
                <identifier>(a)</identifier>
                <para>
                  <paratext>(if the Option is exercised before the end of the Holding Period), the Nominee Agreement; and</paratext>
                </para>
              </subclause2>
              <subclause2 id="a847343">
                <identifier>(b)</identifier>
                <para>
                  <paratext>
                    any documents relating to arrangements or agreements required under 
                    <internal.reference refid="a391918">rule 11</internal.reference>
                     and 
                    <internal.reference refid="a353805">rule 23</internal.reference>
                    .
                  </paratext>
                </para>
              </subclause2>
            </subclause1>
            <subclause1 id="a673411">
              <identifier>13.5</identifier>
              <para>
                <paratext>Any Exercise Notice shall be invalid:</paratext>
              </para>
              <subclause2 id="a1002111">
                <identifier>(a)</identifier>
                <para>
                  <paratext>to the extent that it is inconsistent with the Award Holder's rights under these rules and the Award Certificate;</paratext>
                </para>
              </subclause2>
              <subclause2 id="a591558">
                <identifier>(b)</identifier>
                <para>
                  <paratext>
                    if any of the requirements of 
                    <internal.reference refid="a806806">rule 13.2</internal.reference>
                    , 
                    <internal.reference refid="a339239">rule 13.3</internal.reference>
                     or 
                    <internal.reference refid="a335920">rule 13.4</internal.reference>
                     are not met; or
                  </paratext>
                </para>
              </subclause2>
              <subclause2 id="a709555">
                <identifier>(c)</identifier>
                <para>
                  <paratext>
                    if any payment referred to in 
                    <internal.reference refid="a339239">rule 13.3</internal.reference>
                     is made by a cheque that is not honoured on first presentation or that fails in any other manner to transfer the expected value to the Company.
                  </paratext>
                </para>
              </subclause2>
              <para>
                <paratext>
                  The Company may permit the Award Holder to correct any defect referred to in 
                  <internal.reference refid="a673411">rule 13.5</internal.reference>
                   (but shall not be obliged to do so). The date of any corrected Exercise Notice shall be the date of the correction rather than the original notice date for all other purposes of the Plan.
                </paratext>
              </para>
            </subclause1>
          </clause>
          <clause id="a175700">
            <identifier>14.</identifier>
            <head align="left" preservecase="true">
              <headtext>Settlement of Awards</headtext>
            </head>
            <subclause1 id="a656360">
              <identifier>14.1</identifier>
              <para>
                <paratext>
                  This 
                  <internal.reference refid="a175700">rule 14</internal.reference>
                   is subject to 
                  <internal.reference refid="a309757">rule 16</internal.reference>
                  .
                </paratext>
              </para>
            </subclause1>
            <subclause1 id="a988388">
              <identifier>14.2</identifier>
              <para>
                <paratext>The Company shall allot and issue Shares (or, as appropriate, procure their transfer) to the Nominee within [30] days after:</paratext>
              </para>
              <subclause2 id="a948800">
                <identifier>(a)</identifier>
                <para>
                  <paratext>the Release of a Conditional Share Award or a Share-settled Share Appreciation Right; or</paratext>
                </para>
              </subclause2>
              <subclause2 id="a805898">
                <identifier>(b)</identifier>
                <para>
                  <paratext>the valid exercise of a Nil Cost, Nominal Cost or Market Value Option.</paratext>
                </para>
              </subclause2>
            </subclause1>
            <subclause1 id="a500185">
              <identifier>14.3</identifier>
              <para>
                <paratext>The number of Shares to be allotted and issued (or transferred) pursuant to a Share-settled Share Appreciation Right shall be calculated as follows:</paratext>
              </para>
              <subclause2 id="a151747">
                <identifier>(a)</identifier>
                <para>
                  <paratext>deduct the Base Price from the Market Value of a Share on the Release Date;</paratext>
                </para>
              </subclause2>
              <subclause2 id="a197063">
                <identifier>(b)</identifier>
                <para>
                  <paratext>multiply the result by N being the number of Shares in relation to which the Share-settled Share Appreciation Right was granted, less the number which have lapsed;</paratext>
                </para>
              </subclause2>
              <subclause2 id="a427132">
                <identifier>(c)</identifier>
                <para>
                  <paratext>divide by the Market Value of a Share on the Release Date; and</paratext>
                </para>
              </subclause2>
              <subclause2 id="a592272">
                <identifier>(d)</identifier>
                <para>
                  <paratext>round down to the nearest whole number.</paratext>
                </para>
                <drafting.note id="a818829" jurisdiction="">
                  <head align="left" preservecase="true">
                    <headtext>Settlement of a Share-settled Share Appreciation Right</headtext>
                  </head>
                  <division id="a000063" level="1">
                    <para>
                      <paratext>This is an example of how to settle a Share-settled Share Appreciation Right. The number is calculated from the value of a different number (N) of Shares minus a Base Price:</paratext>
                    </para>
                    <list type="bulleted">
                      <list.item>
                        <para>
                          <paratext>The Award Holder holds a Share-settled Share Appreciation Right over 20,000 Shares with a Base Price of £10 per Share.</paratext>
                        </para>
                      </list.item>
                      <list.item>
                        <para>
                          <paratext>On the Release Date, the Market Value of a Share is £15.</paratext>
                        </para>
                      </list.item>
                      <list.item>
                        <para>
                          <paratext>The Market Value of the Shares due under the Share-settled Share Appreciation Right is £100,000, calculated as (£15 - £10) x 20,000.</paratext>
                        </para>
                      </list.item>
                      <list.item>
                        <para>
                          <paratext>This is divided by the Market Value of a single Share to calculate the number of Shares due to the Award Holder, that is: £100,000 / £15 = 6,666 Shares after rounding down.</paratext>
                        </para>
                      </list.item>
                    </list>
                  </division>
                </drafting.note>
              </subclause2>
            </subclause1>
            <subclause1 id="a1031030">
              <identifier>14.4</identifier>
              <para>
                <paratext>
                  Shares allotted and issued in accordance with 
                  <internal.reference refid="a988388">rule 14.2</internal.reference>
                   shall rank equally in all respects with the other shares of the same class in issue at the date of allotment, except for any Relevant Restriction or any rights determined by reference to a date before the date of allotment.
                </paratext>
              </para>
            </subclause1>
            <subclause1 id="a802345">
              <identifier>14.5</identifier>
              <para>
                <paratext>
                  Shares transferred in accordance with 
                  <internal.reference refid="a988388">rule 14.2</internal.reference>
                   shall be transferred free of any lien, charge or other security interest, other than any Relevant Restriction, and with all rights attaching to them, other than any rights determined by reference to a date before the date of transfer.
                </paratext>
              </para>
            </subclause1>
            <subclause1 id="a853493">
              <identifier>14.6</identifier>
              <para>
                <paratext>
                  If the Shares are listed or traded on any stock exchange, the Company shall apply to the appropriate body for any newly issued Shares allotted in accordance with 
                  <internal.reference refid="a988388">rule 14.2</internal.reference>
                   to be listed or admitted to trading on that exchange.
                </paratext>
              </para>
            </subclause1>
            <subclause1 id="a770920">
              <identifier>14.7</identifier>
              <para>
                <paratext>
                  Within [30] days after the valid exercise of a Phantom Option or the Release of a Phantom Share Award or Cash-settled Share Appreciation Right, the Company shall pay (or procure the payment) to the Award Holder of the amount of cash due under the Award. The Company shall make such deductions from the payment as are required by law, including any withholding taxes, in accordance with 
                  <internal.reference refid="a353805">rule 23</internal.reference>
                  .
                </paratext>
              </para>
            </subclause1>
            <subclause1 id="a433558">
              <identifier>14.8</identifier>
              <para>
                <paratext>
                  It shall be a condition of Release of every Non-Option Award that the Award Holder agrees to the provisions of 
                  <internal.reference refid="a391918">rule 11</internal.reference>
                   and 
                  <internal.reference refid="a353805">rule 23</internal.reference>
                   by signing an Acceptance Notice.
                </paratext>
              </para>
            </subclause1>
          </clause>
          <clause id="a283933">
            <identifier>15.</identifier>
            <head align="left" preservecase="true">
              <headtext>Holding Period</headtext>
            </head>
            <subclause1 id="a551211">
              <para>
                <paratext>During the Holding Period, the Award Holder may not transfer, assign, charge or otherwise dispose of the beneficial interest in the Shares Released under a Share-settled Award (including any Shares acquired on the exercise of an Option) except:</paratext>
              </para>
              <subclause2 id="a166438">
                <identifier>(a)</identifier>
                <para>
                  <paratext>with the permission of the Board;</paratext>
                </para>
              </subclause2>
              <subclause2 id="a518922">
                <identifier>(b)</identifier>
                <para>
                  <paratext>in order to raise sufficient funds to pay a Tax Liability in relation to the Shares so Released;</paratext>
                </para>
              </subclause2>
              <subclause2 id="a516222">
                <identifier>(c)</identifier>
                <para>
                  <paratext>in order to raise sufficient funds to pay the Exercise Price of a Market Value Option or Nominal Cost Option; or</paratext>
                </para>
              </subclause2>
              <subclause2 id="a461470">
                <identifier>(d)</identifier>
                <para>
                  <paratext>
                    where 
                    <internal.reference refid="a391918">rule 11</internal.reference>
                    , 
                    <internal.reference refid="a1037750">rule 20</internal.reference>
                     or 
                    <internal.reference refid="a580292">rule 21</internal.reference>
                     apply.
                  </paratext>
                </para>
                <drafting.note id="a336870" jurisdiction="">
                  <head align="left" preservecase="true">
                    <headtext>Disposal of Shares before end of Holding Period</headtext>
                  </head>
                  <division id="a000064" level="1">
                    <para>
                      <paratext>The Award Holder will normally be permitted to sell sufficient Shares to cover tax and acquisition costs but otherwise should retain the Shares until the end of the Holding Period. The Board does have discretion to allow an Award Holder to sell Shares before the end of the Holding Period for example in cases of exceptional hardship.</paratext>
                    </para>
                  </division>
                </drafting.note>
              </subclause2>
            </subclause1>
          </clause>
          <clause id="a309757">
            <identifier>16.</identifier>
            <head align="left" preservecase="true">
              <headtext>Alternative methods of settlement of Awards</headtext>
            </head>
            <drafting.note id="a636519" jurisdiction="">
              <head align="left" preservecase="true">
                <headtext>Alternative methods of settlement of Awards</headtext>
              </head>
              <division id="a000065" level="1">
                <para>
                  <paratext>
                    Being able to settle an Award in cash, or to deliver just the Shares that represent the gain inherent in an Award, can be valuable when a company is close to its share plan dilution limits (see 
                    <internal.reference refid="a272740">rule 5</internal.reference>
                    ) and wants to maintain the ability to grant further Awards. For more information on the implications of net settlement, see 
                    <link href="4-566-1776" style="ACTLinkPLCtoPLC">
                      <ital>Practice note, Net settling employee share options</ital>
                    </link>
                    .
                  </paratext>
                </para>
                <para>
                  <paratext>
                    Cash settlement of an Award would mean that corporation tax relief for employee acquisition of shares would not be available under Part 12 of the 
                    <link href="0-505-8694" style="ACTLinkPLCtoPLC">
                      <ital>Corporation Tax Act 2009</ital>
                    </link>
                    . However, this may not be a problem if the payment is made by the employer, as corporation tax relief for the cash settlement payment may be available under general principles. For more information, see 
                    <link href="1-582-2846" style="ACTLinkPLCtoPLC">
                      <ital>Practice note, Corporation tax and employee share schemes: deductions under general principles</ital>
                    </link>
                    .
                  </paratext>
                </para>
              </division>
            </drafting.note>
            <subclause1 id="a141065">
              <identifier>16.1</identifier>
              <para>
                <paratext>
                  Instead of delivering the number of Shares specified in the relevant Exercise Notice, the Company may settle the exercise of a Nominal Cost Option or Market Value Option in any of the ways specified in 
                  <internal.reference refid="a229107">rule 16.2</internal.reference>
                   to 
                  <internal.reference refid="a831306">rule 16.6</internal.reference>
                  . If the Option is exercised during the Holding Period, references to the transfer or allotment of Shares to the Award Holder shall be construed as references to the transfer or allotment of Shares to the Nominee to be held on behalf of the Award Holder.
                </paratext>
              </para>
            </subclause1>
            <subclause1 id="a229107">
              <identifier>16.2</identifier>
              <para>
                <paratext>The Company may settle the Option by procuring the transfer of sufficient Shares to deliver the gain net of the Exercise Price in the following manner:</paratext>
              </para>
              <subclause2 id="a496140">
                <identifier>(a)</identifier>
                <para>
                  <paratext>deduct the Exercise Price from the Market Value of a Share on the Exercise Date;</paratext>
                </para>
              </subclause2>
              <subclause2 id="a429461">
                <identifier>(b)</identifier>
                <para>
                  <paratext>multiply the result by the number of Shares specified in the relevant Exercise Notice;</paratext>
                </para>
              </subclause2>
              <subclause2 id="a694165">
                <identifier>(c)</identifier>
                <para>
                  <paratext>divide by the Market Value of a Share on the Exercise Date;</paratext>
                </para>
              </subclause2>
              <subclause2 id="a98340">
                <identifier>(d)</identifier>
                <para>
                  <paratext>round down to the nearest whole number and procure the transfer of that number of Shares to the Award Holder, together with a cash payment of the rounding amount; and</paratext>
                </para>
              </subclause2>
              <subclause2 id="a357283">
                <identifier>(e)</identifier>
                <para>
                  <paratext>refund the amount of any payment the Award Holder has made in respect of the Exercise Price.</paratext>
                </para>
                <drafting.note id="a857509" jurisdiction="">
                  <head align="left" preservecase="true">
                    <headtext>Settling an Option net of the Exercise Price</headtext>
                  </head>
                  <division id="a000066" level="1">
                    <para>
                      <paratext>Example:</paratext>
                    </para>
                    <list type="bulleted">
                      <list.item>
                        <para>
                          <paratext>Award Holder has an Option over 20,000 shares with an Exercise Price of £10 per Share.</paratext>
                        </para>
                      </list.item>
                      <list.item>
                        <para>
                          <paratext>Award Holder exercises the Option when the Market Value is £15 per Share and pays the Exercise Price of £200,000.</paratext>
                        </para>
                      </list.item>
                      <list.item>
                        <para>
                          <paratext>Step 1: Deduct £10 from £15 = £5.</paratext>
                        </para>
                      </list.item>
                      <list.item>
                        <para>
                          <paratext>Step 2: Multiply by 20,000 = £100,000 (this is the pre-tax gain on the Option).</paratext>
                        </para>
                      </list.item>
                      <list.item>
                        <para>
                          <paratext>Step 3: Divide by £15 = 6,666 (this is the number of Shares due to the Award Holder).</paratext>
                        </para>
                      </list.item>
                      <list.item>
                        <para>
                          <paratext>Step 4: Transfer 6,666 Shares to the Award Holder together with the rounding payment of £10.</paratext>
                        </para>
                      </list.item>
                      <list.item>
                        <para>
                          <paratext>Step 5: Refund the Exercise Price.</paratext>
                        </para>
                      </list.item>
                    </list>
                  </division>
                </drafting.note>
              </subclause2>
            </subclause1>
            <subclause1 id="a846032">
              <identifier>16.3</identifier>
              <para>
                <paratext>The Company may settle the Option by procuring the transfer of sufficient Shares to deliver the gain net of the Exercise Price and the Tax Liability in the following manner:</paratext>
              </para>
              <subclause2 id="a848623">
                <identifier>(a)</identifier>
                <para>
                  <paratext>deduct the Exercise Price from the Market Value of a Share on the Exercise Date;</paratext>
                </para>
              </subclause2>
              <subclause2 id="a372009">
                <identifier>(b)</identifier>
                <para>
                  <paratext>multiply the result by the number of Shares specified in the relevant Exercise Notice;</paratext>
                </para>
              </subclause2>
              <subclause2 id="a536274">
                <identifier>(c)</identifier>
                <para>
                  <paratext>deduct the Tax Liability;</paratext>
                </para>
              </subclause2>
              <subclause2 id="a893065">
                <identifier>(d)</identifier>
                <para>
                  <paratext>divide by the Market Value of a Share on the Exercise Date;</paratext>
                </para>
              </subclause2>
              <subclause2 id="a777899">
                <identifier>(e)</identifier>
                <para>
                  <paratext>round down to the nearest whole number and procure the transfer of that number of Shares to the Award Holder, together with a cash payment of the rounding amount;</paratext>
                </para>
              </subclause2>
              <subclause2 id="a318603">
                <identifier>(f)</identifier>
                <para>
                  <paratext>refund the amount of any payment the Award Holder has made in respect of the Exercise Price and the Tax Liability; and</paratext>
                </para>
              </subclause2>
              <subclause2 id="a696494">
                <identifier>(g)</identifier>
                <para>
                  <paratext>settle the Tax Liability on the Award Holder's behalf.</paratext>
                </para>
                <drafting.note id="a143315" jurisdiction="">
                  <head align="left" preservecase="true">
                    <headtext>Settling an Option net of the Exercise Price and tax</headtext>
                  </head>
                  <division id="a000067" level="1">
                    <para>
                      <paratext>Example:</paratext>
                    </para>
                    <list type="bulleted">
                      <list.item>
                        <para>
                          <paratext>Award Holder has an Option over 20,000 shares with an Exercise Price of £10 per Share.</paratext>
                        </para>
                      </list.item>
                      <list.item>
                        <para>
                          <paratext>Award Holder exercises the Option when the Market Value is £15 per Share and pays the Exercise Price of £200,000.</paratext>
                        </para>
                      </list.item>
                      <list.item>
                        <para>
                          <paratext>Step 1: Deduct £10 from £15 = £5.</paratext>
                        </para>
                      </list.item>
                      <list.item>
                        <para>
                          <paratext>Step 2: Multiply by 20,000 = £100,000 (this is the pre-tax gain on the Option).</paratext>
                        </para>
                      </list.item>
                      <list.item>
                        <para>
                          <paratext>Step 3: Deduct the Tax Liability of, say, £40,000 (this is the net gain on the Option).</paratext>
                        </para>
                      </list.item>
                      <list.item>
                        <para>
                          <paratext>Step 4: Divide by £15 = 4,000 (this is the number of Shares due to the Award Holder).</paratext>
                        </para>
                      </list.item>
                      <list.item>
                        <para>
                          <paratext>Step 5: Transfer 4,000 Shares to the Award Holder.</paratext>
                        </para>
                      </list.item>
                      <list.item>
                        <para>
                          <paratext>Step 6: Refund the Exercise Price and settle the Tax Liability.</paratext>
                        </para>
                      </list.item>
                    </list>
                  </division>
                </drafting.note>
              </subclause2>
            </subclause1>
            <subclause1 id="a297240">
              <identifier>16.4</identifier>
              <para>
                <paratext>The Company may settle the Option by allotting and issuing sufficient Shares to deliver the gain net of the Exercise Price in the following manner:</paratext>
              </para>
              <subclause2 id="a760582">
                <identifier>(a)</identifier>
                <para>
                  <paratext>deduct the nominal value of a Share from the Exercise Price;</paratext>
                </para>
              </subclause2>
              <subclause2 id="a104976">
                <identifier>(b)</identifier>
                <para>
                  <paratext>deduct the result from the Market Value of a Share on the Exercise Date;</paratext>
                </para>
              </subclause2>
              <subclause2 id="a602953">
                <identifier>(c)</identifier>
                <para>
                  <paratext>multiply the result by the number of Shares specified in the relevant Exercise Notice;</paratext>
                </para>
              </subclause2>
              <subclause2 id="a561944">
                <identifier>(d)</identifier>
                <para>
                  <paratext>divide by the Market Value of a Share on the Exercise Date;</paratext>
                </para>
              </subclause2>
              <subclause2 id="a109021">
                <identifier>(e)</identifier>
                <para>
                  <paratext>round down to the nearest whole number and allot and issue that number of Shares to the Award Holder, together with a cash payment of the rounding amount; and</paratext>
                </para>
              </subclause2>
              <subclause2 id="a325239">
                <identifier>(f)</identifier>
                <para>
                  <paratext>refund the amount of any payment the Award Holder has made in respect of the Exercise Price, minus the nominal value of the Shares so issued.</paratext>
                </para>
                <drafting.note id="a840192" jurisdiction="">
                  <head align="left" preservecase="true">
                    <headtext>Settling an Option by new issue and paying the nominal value</headtext>
                  </head>
                  <division id="a000068" level="1">
                    <para>
                      <paratext>Example:</paratext>
                    </para>
                    <list type="bulleted">
                      <list.item>
                        <para>
                          <paratext>Award Holder has an Option over 20,000 shares with a nominal value of 25 pence and an Exercise Price of £10 per Share.</paratext>
                        </para>
                      </list.item>
                      <list.item>
                        <para>
                          <paratext>Award Holder exercises the Option when the Market Value is £15 per Share and pays the Exercise Price of £200,000.</paratext>
                        </para>
                      </list.item>
                      <list.item>
                        <para>
                          <paratext>Step 1: Deduct the nominal value from the Exercise Price (£10 - 25p = £9.75).</paratext>
                        </para>
                      </list.item>
                      <list.item>
                        <para>
                          <paratext>Step 2: Deduct the result from £15 = £5.25.</paratext>
                        </para>
                      </list.item>
                      <list.item>
                        <para>
                          <paratext>Step 3: Multiply by 20,000 = £105,000 (this is the pre-tax gain on the Option plus the nominal value).</paratext>
                        </para>
                      </list.item>
                      <list.item>
                        <para>
                          <paratext>Step 4: Divide by £15 = 7,000 (this is the number of Shares due to the Award Holder).</paratext>
                        </para>
                      </list.item>
                      <list.item>
                        <para>
                          <paratext>Step 5: Allot and issue 7,000 Shares to the Award Holder using £5,000 from the Exercise Price to pay the nominal value.</paratext>
                        </para>
                      </list.item>
                      <list.item>
                        <para>
                          <paratext>Step 6: Refund the balance of the Exercise Price, being £195,000.</paratext>
                        </para>
                      </list.item>
                    </list>
                  </division>
                </drafting.note>
              </subclause2>
            </subclause1>
            <subclause1 id="a207744">
              <identifier>16.5</identifier>
              <para>
                <paratext>The Company may settle the Option by allotting and issuing sufficient Shares to deliver the gain net of the Exercise Price and the Tax Liability in the following manner:</paratext>
              </para>
              <subclause2 id="a560228">
                <identifier>(a)</identifier>
                <para>
                  <paratext>deduct the nominal value of a Share from the Exercise Price;</paratext>
                </para>
              </subclause2>
              <subclause2 id="a237197">
                <identifier>(b)</identifier>
                <para>
                  <paratext>deduct the result from the Market Value of a Share on the Exercise Date;</paratext>
                </para>
              </subclause2>
              <subclause2 id="a675131">
                <identifier>(c)</identifier>
                <para>
                  <paratext>multiply the result by the number of Shares specified in the relevant Exercise Notice;</paratext>
                </para>
              </subclause2>
              <subclause2 id="a361328">
                <identifier>(d)</identifier>
                <para>
                  <paratext>deduct the Tax Liability;</paratext>
                </para>
              </subclause2>
              <subclause2 id="a555308">
                <identifier>(e)</identifier>
                <para>
                  <paratext>divide by the Market Value of a Share on the Exercise Date;</paratext>
                </para>
              </subclause2>
              <subclause2 id="a568318">
                <identifier>(f)</identifier>
                <para>
                  <paratext>round down to the nearest whole number and allot and issue that number of Shares to the Award Holder, together with a cash payment of the rounding amount;</paratext>
                </para>
              </subclause2>
              <subclause2 id="a681767">
                <identifier>(g)</identifier>
                <para>
                  <paratext>refund the amount of any payment the Award Holder has made in respect of the Exercise Price and the Tax Liability, minus the nominal value of the Shares so issued; and</paratext>
                </para>
              </subclause2>
              <subclause2 id="a606998">
                <identifier>(h)</identifier>
                <para>
                  <paratext>settle the Tax Liability on the Award Holder's behalf.</paratext>
                </para>
                <drafting.note id="a49774" jurisdiction="">
                  <head align="left" preservecase="true">
                    <headtext>Settling an Option by new issue and paying the nominal value and tax</headtext>
                  </head>
                  <division id="a000069" level="1">
                    <para>
                      <paratext>Example:</paratext>
                    </para>
                    <list type="bulleted">
                      <list.item>
                        <para>
                          <paratext>Award Holder has an Option over 20,000 shares with a nominal value of 25 pence and an Exercise Price of £10 per Share.</paratext>
                        </para>
                      </list.item>
                      <list.item>
                        <para>
                          <paratext>Award Holder exercises the Option when the Market Value is £15 per Share and pays the Exercise Price of £200,000.</paratext>
                        </para>
                      </list.item>
                      <list.item>
                        <para>
                          <paratext>Step 1: Deduct the nominal value from the Exercise Price (£10 - 25p = £9.75).</paratext>
                        </para>
                      </list.item>
                      <list.item>
                        <para>
                          <paratext>Step 2: Deduct the result from £15 = £5.25.</paratext>
                        </para>
                      </list.item>
                      <list.item>
                        <para>
                          <paratext>Step 3: Multiply by 20,000 = £105,000 (this is the pre-tax gain on the Option plus the nominal value).</paratext>
                        </para>
                      </list.item>
                      <list.item>
                        <para>
                          <paratext>Step 4: Deduct the Tax Liability of, say, £40,000 (this is the net gain on the Option).</paratext>
                        </para>
                      </list.item>
                      <list.item>
                        <para>
                          <paratext>Step 5: Divide by £15 = 4,333 (this is the number of Shares due to the Award Holder).</paratext>
                        </para>
                      </list.item>
                      <list.item>
                        <para>
                          <paratext>Step 6: Allot and issue 4,333 Shares to the Award Holder using £5,000 from the Exercise Price to pay the nominal value.</paratext>
                        </para>
                      </list.item>
                      <list.item>
                        <para>
                          <paratext>Step 7: Refund the balance of the Exercise Price, being £195,000 with the rounding payment of £5. Settle the Tax Liability.</paratext>
                        </para>
                      </list.item>
                    </list>
                  </division>
                </drafting.note>
              </subclause2>
            </subclause1>
            <subclause1 id="a831306">
              <identifier>16.6</identifier>
              <para>
                <paratext>If the Award Holder consents, the Company may settle the Option in cash in the following manner:</paratext>
              </para>
              <subclause2 id="a158383">
                <identifier>(a)</identifier>
                <para>
                  <paratext>take the Market Value of a Share on the Exercise Date and deduct the Exercise Price;</paratext>
                </para>
              </subclause2>
              <subclause2 id="a442733">
                <identifier>(b)</identifier>
                <para>
                  <paratext>multiply the result by the number of Shares specified in the relevant Exercise Notice;</paratext>
                </para>
              </subclause2>
              <subclause2 id="a589681">
                <identifier>(c)</identifier>
                <para>
                  <paratext>deduct the Tax Liability and pay the resulting amount to the Award Holder; and</paratext>
                </para>
              </subclause2>
              <subclause2 id="a476734">
                <identifier>(d)</identifier>
                <para>
                  <paratext>refund the amount of any payment the Award Holder has made in respect of the Exercise Price and Tax Liability.</paratext>
                </para>
                <drafting.note id="a820692" jurisdiction="">
                  <head align="left" preservecase="true">
                    <headtext>Cash settlement</headtext>
                  </head>
                  <division id="a000070" level="1">
                    <para>
                      <paratext>Example:</paratext>
                    </para>
                    <list type="bulleted">
                      <list.item>
                        <para>
                          <paratext>Award Holder has an Option over 20,000 shares with a nominal value of 25 pence and an Exercise Price of £10 per Share.</paratext>
                        </para>
                      </list.item>
                      <list.item>
                        <para>
                          <paratext>Award Holder exercises the Option when the Market Value is £15 per Share and pays the Exercise Price of £200,000.</paratext>
                        </para>
                      </list.item>
                      <list.item>
                        <para>
                          <paratext>Step 1: Deduct the Exercise Price from the Market Value from (£15 - £10 = £5).</paratext>
                        </para>
                      </list.item>
                      <list.item>
                        <para>
                          <paratext>Step 2: Multiply by 20,000 = £100,000 (this is the pre-tax gain on the Option plus the nominal value).</paratext>
                        </para>
                      </list.item>
                      <list.item>
                        <para>
                          <paratext>Step 3: Pay £100,000 to the Award Holder through the PAYE system, deducting the Tax Liability of, say, £40,000.</paratext>
                        </para>
                      </list.item>
                      <list.item>
                        <para>
                          <paratext>Step 4: Refund the Exercise Price.</paratext>
                        </para>
                      </list.item>
                    </list>
                    <para>
                      <paratext>The requirement for Award Holder to consent to cash settlement means that it will be easier to argue that Options still amount to "securities options" (that is, rights to acquire securities) for tax purposes, despite the possibility of cash settlement. If Award Holders must consent before an exercise can be cash-settled, then the Option clearly confers a right to insist on receiving securities.</paratext>
                    </para>
                    <para>
                      <paratext>
                        This is important because any Employer NICs can only be met by the employee (including on cash settlement) if the Option is definitely a "securities option" (
                        <link href="6-513-5798" style="ACTLinkPLCtoPLC">
                          <ital>section 4(4)(a)</ital>
                        </link>
                         and 
                        <link href="8-509-0124" style="ACTLinkPLCtoPLC">
                          <ital>paragraph 3A</ital>
                        </link>
                        <ital>, Schedule 1, Social Security Contributions and Benefits Act 1992</ital>
                        ). (See 
                        <link href="9-204-9057#a859916" style="ACTLinkPLCtoPLC">
                          <ital>Practice note, Class 1 National Insurance Contributions (NICs) liabilities and share incentives: Transfer of employer (secondary class 1) NICs</ital>
                        </link>
                        .)
                      </paratext>
                    </para>
                  </division>
                </drafting.note>
              </subclause2>
            </subclause1>
            <subclause1 id="a658317">
              <identifier>16.7</identifier>
              <para>
                <paratext>
                  Instead of delivering the number of Shares subject to a Nil Cost Option, Conditional Share Award or a Share-settled Share Appreciation Right, the Company may settle the Award in either of the manners specified in 
                  <internal.reference refid="a113569">rule 16.8</internal.reference>
                   or 
                  <internal.reference refid="a889261">rule 16.9</internal.reference>
                  .
                </paratext>
              </para>
            </subclause1>
            <subclause1 id="a113569">
              <identifier>16.8</identifier>
              <para>
                <paratext>The Company may settle the Award by procuring the transfer of sufficient Shares to the Nominee to deliver the gain net of the Tax Liability in the following manner:</paratext>
              </para>
              <subclause2 id="a1013391">
                <identifier>(a)</identifier>
                <para>
                  <paratext>multiply the number of Shares in relation to which the Award has been Released by the Market Value of a Share on the Release Date;</paratext>
                </para>
              </subclause2>
              <subclause2 id="a579502">
                <identifier>(b)</identifier>
                <para>
                  <paratext>deduct the Tax Liability;</paratext>
                </para>
              </subclause2>
              <subclause2 id="a615591">
                <identifier>(c)</identifier>
                <para>
                  <paratext>divide by the Market Value of a Share on the Release Date;</paratext>
                </para>
              </subclause2>
              <subclause2 id="a241745">
                <identifier>(d)</identifier>
                <para>
                  <paratext>round down to the nearest whole number and procure the transfer of that number of Shares to the Nominee to be held on behalf of the Award Holder, together with a cash payment of the rounding amount;</paratext>
                </para>
              </subclause2>
              <subclause2 id="a363285">
                <identifier>(e)</identifier>
                <para>
                  <paratext>refund the amount of any payment the Award Holder has made in respect of the Tax Liability; and</paratext>
                </para>
              </subclause2>
              <subclause2 id="a733086">
                <identifier>(f)</identifier>
                <para>
                  <paratext>settle the Tax Liability on the Award Holder's behalf.</paratext>
                </para>
                <drafting.note id="a970958" jurisdiction="">
                  <head align="left" preservecase="true">
                    <headtext>Settling an Award net of tax</headtext>
                  </head>
                  <division id="a000071" level="1">
                    <para>
                      <paratext>Example:</paratext>
                    </para>
                    <list type="bulleted">
                      <list.item>
                        <para>
                          <paratext>Award Holder has an Award of 20,000 Conditional Shares.</paratext>
                        </para>
                      </list.item>
                      <list.item>
                        <para>
                          <paratext>The Award is Released when the Market Value is £15 per Share.</paratext>
                        </para>
                      </list.item>
                      <list.item>
                        <para>
                          <paratext>Step 1: Multiply 20,000 by £15 = £300,000 (this is the pre-tax value of the Award).</paratext>
                        </para>
                      </list.item>
                      <list.item>
                        <para>
                          <paratext>Step 2: Deduct the Tax Liability of, say, £135,000 = £165,000 (this is the post-tax value of the Award).</paratext>
                        </para>
                      </list.item>
                      <list.item>
                        <para>
                          <paratext>Step 3: Divide by £15 = 11,000 (this is the number of Shares due to the Award Holder).</paratext>
                        </para>
                      </list.item>
                      <list.item>
                        <para>
                          <paratext>Step 4: Transfer 11,000 Shares to the Nominee to be held on behalf of the Award Holder.</paratext>
                        </para>
                      </list.item>
                      <list.item>
                        <para>
                          <paratext>Step 5: Settle the Tax Liability through PAYE.</paratext>
                        </para>
                      </list.item>
                    </list>
                  </division>
                </drafting.note>
              </subclause2>
            </subclause1>
            <subclause1 id="a889261">
              <identifier>16.9</identifier>
              <para>
                <paratext>If the Award Holder consents, the Company may settle the Award in cash in the following manner:</paratext>
              </para>
              <subclause2 id="a686316">
                <identifier>(a)</identifier>
                <para>
                  <paratext>multiply the number of Shares in relation to which the Award has been Released by the Market Value of a Share on the Release Date;</paratext>
                </para>
              </subclause2>
              <subclause2 id="a295152">
                <identifier>(b)</identifier>
                <para>
                  <paratext>deduct the Tax Liability and pay the resulting amount to the Award Holder; and</paratext>
                </para>
              </subclause2>
              <subclause2 id="a203065">
                <identifier>(c)</identifier>
                <para>
                  <paratext>refund the amount of any payment the Award Holder has made in respect of the Tax Liability.</paratext>
                </para>
                <drafting.note id="a633201" jurisdiction="">
                  <head align="left" preservecase="true">
                    <headtext>Settling an Award in cash</headtext>
                  </head>
                  <division id="a000072" level="1">
                    <para>
                      <paratext>Example:</paratext>
                    </para>
                    <list type="bulleted">
                      <list.item>
                        <para>
                          <paratext>Award Holder has an Award of 20,000 Conditional Shares.</paratext>
                        </para>
                      </list.item>
                      <list.item>
                        <para>
                          <paratext>The Award is Released when the Market Value is £15 per Share.</paratext>
                        </para>
                      </list.item>
                      <list.item>
                        <para>
                          <paratext>Step 1: Multiply 20,000 by £15 = £300,000 (this is the pre-tax value of the Award).</paratext>
                        </para>
                      </list.item>
                      <list.item>
                        <para>
                          <paratext>Step 2: Pay £300,000 to the Award Holder through the PAYE system, deducting the Tax Liability of, say, £135,000.</paratext>
                        </para>
                      </list.item>
                      <list.item>
                        <para>
                          <paratext>Step 3: Refund any payment the Award Holder has made in relation to the Tax Liability.</paratext>
                        </para>
                      </list.item>
                    </list>
                  </division>
                </drafting.note>
              </subclause2>
            </subclause1>
          </clause>
          <clause id="a101498">
            <identifier>17.</identifier>
            <head align="left" preservecase="true">
              <headtext>Lapse of Awards</headtext>
            </head>
            <subclause1 id="a768453">
              <identifier>17.1</identifier>
              <para>
                <paratext>
                  An Award Holder may not transfer or assign, or create any charge or other security interest over an Award (or any right arising under it). An Award shall lapse if the Award Holder attempts to do any of those things. However, this 
                  <internal.reference refid="a768453">rule 17.1</internal.reference>
                   does not prevent the transmission of an Award to an Award Holder's personal representatives on the death of the Award Holder.
                </paratext>
              </para>
            </subclause1>
            <subclause1 id="a966073">
              <identifier>17.2</identifier>
              <para>
                <paratext>An Award shall lapse on the earliest of the following:</paratext>
              </para>
              <subclause2 id="a663266">
                <identifier>(a)</identifier>
                <para>
                  <paratext>
                    any attempted action by the Award Holder falling within 
                    <internal.reference refid="a920485">rule 7.3</internal.reference>
                     or 
                    <internal.reference refid="a768453">rule 17.1</internal.reference>
                    ;
                  </paratext>
                </para>
              </subclause2>
              <subclause2 id="a554416">
                <identifier>(b)</identifier>
                <para>
                  <paratext>
                    when the Board decides in accordance with 
                    <internal.reference refid="a740292">rule 3.6</internal.reference>
                    , to the extent that the Performance Condition has become wholly or partly incapable of being met;
                  </paratext>
                </para>
              </subclause2>
              <subclause2 id="a741280">
                <identifier>(c)</identifier>
                <para>
                  <paratext>any date on which the Award shall lapse, as specified in the Award Certificate;</paratext>
                </para>
              </subclause2>
              <subclause2 id="a475658">
                <identifier>(d)</identifier>
                <para>
                  <paratext>
                    to the extent necessary to give effect to any reduction or cancellation under 
                    <internal.reference refid="a391918">rule 11</internal.reference>
                    ;
                  </paratext>
                </para>
              </subclause2>
              <subclause2 id="a672648">
                <identifier>(e)</identifier>
                <para>
                  <paratext>
                    to the extent required by 
                    <internal.reference refid="a948263">rule 7.4</internal.reference>
                    , 
                    <internal.reference refid="a870810">rule 18</internal.reference>
                     or 
                    <internal.reference refid="a181702">rule 19</internal.reference>
                    , the date the Award Holder dies or ceases employment;
                  </paratext>
                </para>
              </subclause2>
              <subclause2 id="a685266">
                <identifier>(f)</identifier>
                <para>
                  <paratext>the [first anniversary of the] Award Holder's death;</paratext>
                </para>
              </subclause2>
              <subclause2 id="a709430">
                <identifier>(g)</identifier>
                <para>
                  <paratext>
                    the end of the [90-day] period, if 
                    <internal.reference refid="a665173">rule 18.4</internal.reference>
                     or 
                    <internal.reference refid="a781420">rule 18.6</internal.reference>
                     applies;
                  </paratext>
                </para>
              </subclause2>
              <subclause2 id="a951092">
                <identifier>(h)</identifier>
                <para>
                  <paratext>
                    if the Board decides under 
                    <internal.reference refid="a527041">rule 18.5</internal.reference>
                     that it will not permit the Award Holder to exercise the Option, the date the Board so decides;
                  </paratext>
                </para>
              </subclause2>
              <subclause2 id="a318005">
                <identifier>(i)</identifier>
                <para>
                  <paratext>
                    the end of the [90-day] period during which exercise is permitted, if the Board decides under 
                    <internal.reference refid="a527041">rule 18.5</internal.reference>
                     that it will permit the Award Holder to exercise the Option;
                  </paratext>
                </para>
              </subclause2>
              <subclause2 id="a765465">
                <identifier>(j)</identifier>
                <para>
                  <paratext>
                    if the Award Holder ceases to be an Employee during the Employment Period in circumstances where either 
                    <internal.reference refid="a527041">rule 18.5</internal.reference>
                     or 
                    <internal.reference refid="a207110">rule 19.5</internal.reference>
                     applies, [90 days] after the Award Holder so ceases to be an Employee, if the Board makes no decision under the applicable rule;
                  </paratext>
                </para>
              </subclause2>
              <subclause2 id="a211384">
                <identifier>(k)</identifier>
                <para>
                  <paratext>if the Award Holder ceases to be an Employee after the end of the Employment Period, [90] days after the later of:</paratext>
                </para>
                <subclause3 id="a965712">
                  <identifier>(i)</identifier>
                  <para>
                    <paratext>the date of so ceasing; and</paratext>
                  </para>
                </subclause3>
                <subclause3 id="a702725">
                  <identifier>(ii)</identifier>
                  <para>
                    <paratext>the Release Date;</paratext>
                  </para>
                </subclause3>
              </subclause2>
              <subclause2 id="a546409">
                <identifier>(l)</identifier>
                <para>
                  <paratext>
                    the time specified for the lapse of the Award under 
                    <internal.reference refid="a1037750">rule 20</internal.reference>
                     if any part of that 
                    <internal.reference refid="a1037750">rule 20</internal.reference>
                     applies;
                  </paratext>
                </para>
              </subclause2>
              <subclause2 id="a596889">
                <identifier>(m)</identifier>
                <para>
                  <paratext>
                    If the Board so determines under 
                    <internal.reference refid="a919478">rule 22.3</internal.reference>
                    ; or
                  </paratext>
                </para>
              </subclause2>
              <subclause2 id="a300739">
                <identifier>(n)</identifier>
                <para>
                  <paratext>when the Award Holder becomes bankrupt under Part IX of the Insolvency Act 1986, applies for an interim order under Part VIII of the Insolvency Act 1986, proposes or makes a voluntary arrangement under Part VIII of the Insolvency Act 1986, takes similar steps, or is similarly affected, under laws of any jurisdiction that correspond to those provisions of the Insolvency Act 1986.</paratext>
                </para>
              </subclause2>
            </subclause1>
          </clause>
          <clause id="a870810">
            <identifier>18.</identifier>
            <head align="left" preservecase="true">
              <headtext>Termination of employment (Options)</headtext>
            </head>
            <subclause1 id="a213746">
              <identifier>18.1</identifier>
              <para>
                <paratext>
                  <internal.reference refid="a870810">rule 18</internal.reference>
                   applies to Options.
                </paratext>
              </para>
            </subclause1>
            <subclause1 id="a818297">
              <identifier>18.2</identifier>
              <para>
                <paratext>If an Award Holder:</paratext>
              </para>
              <subclause2 id="a144667">
                <identifier>(a)</identifier>
                <para>
                  <paratext>dies while an Employee; or</paratext>
                </para>
              </subclause2>
              <subclause2 id="a61807">
                <identifier>(b)</identifier>
                <para>
                  <paratext>ceases to be an Employee (whether or not following notice and for whatever reason)</paratext>
                </para>
              </subclause2>
              <para>
                <paratext>before the end of the Employment Period, the Option shall lapse immediately in respect of a number of Shares. That number is calculated in accordance with the formula N x (X/Y) where:</paratext>
              </para>
              <subclause2 id="a841544">
                <identifier>(c)</identifier>
                <para>
                  <paratext>N = the number of Shares in relation to which the Option was originally granted, less any Shares in respect of which it has already been exercised or has lapsed;</paratext>
                </para>
              </subclause2>
              <subclause2 id="a236754">
                <identifier>(d)</identifier>
                <para>
                  <paratext>X = the number of days between the date of death or cessation and the end of the Employment Period; and</paratext>
                </para>
              </subclause2>
              <subclause2 id="a254388">
                <identifier>(e)</identifier>
                <para>
                  <paratext>Y = the number of days in the Employment Period.</paratext>
                </para>
                <drafting.note id="a245607" jurisdiction="">
                  <head align="left" preservecase="true">
                    <headtext>Automatic time-apportionment of Option</headtext>
                  </head>
                  <division id="a000073" level="1">
                    <para>
                      <paratext>
                        <internal.reference refid="a818297">rule 18.2</internal.reference>
                         states that, if an Award Holder dies or actually terminates employment (with or without notice and for whatever reason) during the Employment Period, part of the Option lapses immediately. The part that lapses reflects the proportion of the Employment Period that remains outstanding. For example, if the employee left after two years of a three year Employment Period, one third of the Option lapses. This reflects the Investment Association principles of remuneration.
                      </paratext>
                    </para>
                    <para>
                      <paratext>Although the Investment Association principles of remuneration require Awards to be pro-rated for all early leavers, it is common in practice for plan rules not to require pro-rating of Market Value Options, but Nil Cost Options and Conditional Shares are almost always pro-rated.</paratext>
                    </para>
                  </division>
                </drafting.note>
              </subclause2>
            </subclause1>
            <subclause1 id="a153838">
              <identifier>18.3</identifier>
              <para>
                <paratext>The personal representatives of a deceased Award Holder may exercise the Option over a number of Shares during the period ending 12 months after the death. If the Option is not exercised, it will lapse at the end of that period. That number of Shares shall be determined as follows:</paratext>
              </para>
              <subclause2 id="a491689">
                <identifier>(a)</identifier>
                <para>
                  <paratext>
                    take the number of Shares that remain after part of the Option has lapsed under 
                    <internal.reference refid="a818297">rule 18.2</internal.reference>
                    ;
                  </paratext>
                </para>
              </subclause2>
              <subclause2 id="a343884">
                <identifier>(b)</identifier>
                <para>
                  <paratext>if the Award Holder dies during the Performance Period, the Board shall apply a further reduction to reflect the likelihood as at the date of death of the Performance Condition not being achieved by the end of the Performance Period and the Option shall lapse to that extent; and</paratext>
                </para>
              </subclause2>
              <subclause2 id="a76851">
                <identifier>(c)</identifier>
                <para>
                  <paratext>if the Award Holder dies after the end of the Performance Period, the number shall be equal to the number of Shares that the Award Holder could have acquired on exercising the Option immediately before the death.</paratext>
                </para>
                <drafting.note id="a711540" jurisdiction="">
                  <head align="left" preservecase="true">
                    <headtext>Performance condition tested after death</headtext>
                  </head>
                  <division id="a000074" level="1">
                    <para>
                      <paratext>
                        <internal.reference refid="a153838">rule 18.3</internal.reference>
                         states that if an Award Holder dies during the Performance Period, the Board will determine the extent to which the Performance Condition was achieved at the date of death. If the death occurs during the Employment Period, it will already have been reduced under 
                        <internal.reference refid="a818297">rule 18.2</internal.reference>
                        . A further deduction is then applied to reflect the Performance Condition. The Award Holder's estate can exercise the remainder of the Option during the period of 12 months following the death, and it lapses at the end of that period.
                      </paratext>
                    </para>
                    <para>
                      <paratext>
                        If the Award Holder dies after the end of the Performance Period, the Option will already have been adjusted for achievement of the Performance Condition and for time spent as an Employee by 
                        <internal.reference refid="a818297">rule 18.2</internal.reference>
                        .
                      </paratext>
                    </para>
                    <para>
                      <paratext>
                        For more information, see 
                        <link href="0-586-0725" style="ACTLinkPLCtoPLC">
                          <ital>Practice note, Employment-related securities and options: issues concerning death of employee</ital>
                        </link>
                        .
                      </paratext>
                    </para>
                  </division>
                </drafting.note>
              </subclause2>
            </subclause1>
            <subclause1 id="a665173">
              <identifier>18.4</identifier>
              <para>
                <paratext>
                  This 
                  <internal.reference refid="a665173">rule 18.4</internal.reference>
                   applies if an Award Holder ceases to be an Employee before the Release Date due to any of the following reasons:
                </paratext>
              </para>
              <subclause2 id="a812437">
                <identifier>(a)</identifier>
                <para>
                  <paratext>injury;</paratext>
                </para>
              </subclause2>
              <subclause2 id="a211311">
                <identifier>(b)</identifier>
                <para>
                  <paratext>ill health; or</paratext>
                </para>
              </subclause2>
              <subclause2 id="a991047">
                <identifier>(c)</identifier>
                <para>
                  <paratext>disability; [or]</paratext>
                </para>
              </subclause2>
              <subclause2 condition="optional" id="a386257">
                <identifier>(d)</identifier>
                <para>
                  <paratext>retirement; or</paratext>
                </para>
              </subclause2>
              <subclause2 condition="optional" id="a200629">
                <identifier>(e)</identifier>
                <para>
                  <paratext>Redundancy; or</paratext>
                </para>
              </subclause2>
              <subclause2 condition="optional" id="a757512">
                <identifier>(f)</identifier>
                <para>
                  <paratext>the Employer Company ceasing to be a Group Company; or</paratext>
                </para>
              </subclause2>
              <subclause2 condition="optional" id="a1024545">
                <identifier>(g)</identifier>
                <para>
                  <paratext>the transfer of the business that employs the Award Holder to a person that is not a Group Company.</paratext>
                </para>
              </subclause2>
              <para>
                <paratext>
                  An Award Holder who so ceases to be an Employee may exercise the remainder of the Option (after the application of 
                  <internal.reference refid="a818297">rule 18.2</internal.reference>
                   and subject to achieving the Performance Condition) during the [90-day] period beginning on the earlier of:
                </paratext>
              </para>
              <subclause2 id="a537072">
                <identifier>(h)</identifier>
                <para>
                  <paratext>the Release Date; and</paratext>
                </para>
              </subclause2>
              <subclause2 id="a595158">
                <identifier>(i)</identifier>
                <para>
                  <paratext>
                    the date on which the Option becomes exercisable under 
                    <internal.reference refid="a1037750">rule 20</internal.reference>
                    .
                  </paratext>
                </para>
              </subclause2>
              <para>
                <paratext>If the Option is not exercised during the relevant [90-day] period, it will lapse at the end of that period.</paratext>
              </para>
              <drafting.note id="a373783" jurisdiction="">
                <head align="left" preservecase="true">
                  <headtext>Good leaver Options remain in place until performance can be measured</headtext>
                </head>
                <division id="a000075" level="1">
                  <para>
                    <paratext>
                      <internal.reference refid="a665173">rule 18.4</internal.reference>
                       applies if an Award Holder is a good leaver before the Release Date. If the Award Holder leaves during the Employment Period, part of the Option will lapse under 
                      <internal.reference refid="a818297">rule 18.2</internal.reference>
                      . What is left, therefore, remains in place until after the Performance Measurement Date, subject to the Performance Condition being achieved and can be exercised within [90] days starting with the Release Date. This gives effect to the "wait and see" rule expected by the Investment Association principles of remuneration (see 
                      <link href="9-618-8992#a541211" style="ACTLinkPLCtoPLC">
                        <ital>Practice note, Institutional investor guidelines on share schemes and incentives: Good leavers are expected to "wait and see" whether a share award vests</ital>
                      </link>
                      ).
                    </paratext>
                  </para>
                </division>
              </drafting.note>
            </subclause1>
            <subclause1 id="a527041">
              <identifier>18.5</identifier>
              <para>
                <paratext>
                  This 
                  <internal.reference refid="a527041">rule 18.5</internal.reference>
                   applies if an Award Holder ceases to be an Employee before the Release Date for any reason other than death and the reasons set out in 
                  <internal.reference refid="a665173">rule 18.4</internal.reference>
                  .
                </paratext>
              </para>
              <para>
                <paratext>
                  The Board may in its absolute discretion permit the Award Holder to exercise the remainder of the Option (after the application of 
                  <internal.reference refid="a818297">rule 18.2</internal.reference>
                  ) during the [90-day] period beginning on the earlier of:
                </paratext>
              </para>
              <subclause2 id="a325531">
                <identifier>(a)</identifier>
                <para>
                  <paratext>the Release Date; and</paratext>
                </para>
              </subclause2>
              <subclause2 id="a615091">
                <identifier>(b)</identifier>
                <para>
                  <paratext>
                    the date on which the Option becomes exercisable under 
                    <internal.reference refid="a1037750">rule 20</internal.reference>
                    .
                  </paratext>
                </para>
              </subclause2>
              <para>
                <paratext>If the Option is not exercised during the relevant [90-day] period, it will lapse at the end of that period.</paratext>
              </para>
              <para>
                <paratext>
                  Any decision by the Board to grant permission under this 
                  <internal.reference refid="a527041">rule 18.5</internal.reference>
                   shall be made in the [90-day] period following the cessation of employment and if the Board does not make such a decision within that period, the Option will lapse immediately and in accordance with 
                  <internal.reference refid="a101498">rule 17</internal.reference>
                  . The Award Holder may not exercise the Option before the Board makes such a decision.
                </paratext>
              </para>
              <drafting.note id="a669766" jurisdiction="">
                <head align="left" preservecase="true">
                  <headtext>Bad leaver Options before Release Date</headtext>
                </head>
                <division id="a000076" level="1">
                  <para>
                    <paratext>
                      <internal.reference refid="a527041">rule 18.5</internal.reference>
                       applies if the Award Holder leaves for any other reason before the Release Date. If the Award Holder leaves before the Release Date, part of the Option will lapse automatically under 
                      <internal.reference refid="a818297">rule 18.2</internal.reference>
                      , and the balance of the Option will ordinarily lapse [90] days after termination. However, the Board has power to allow the Award Holder to keep the Option until the Release Date and then exercise what is left, subject to the Performance Condition.
                    </paratext>
                  </para>
                  <para>
                    <paratext>If the Board does not make any decision within [90] days following termination, the Award will lapse.</paratext>
                  </para>
                  <para>
                    <paratext>A 90-day exercise period is suggested because the Company will typically want leavers' Options to be dealt with in a reasonably short period after they become exercisable.</paratext>
                  </para>
                </division>
              </drafting.note>
            </subclause1>
            <subclause1 id="a781420">
              <identifier>18.6</identifier>
              <para>
                <paratext>An Award Holder who ceases to be an Employee on or after the Release Date may exercise the Option during the [90-day] period following the date of cessation.</paratext>
              </para>
              <drafting.note id="a661861" jurisdiction="">
                <head align="left" preservecase="true">
                  <headtext>Leaver after Release Date</headtext>
                </head>
                <division id="a000077" level="1">
                  <para>
                    <paratext>
                      <internal.reference refid="a781420">rule 18.6</internal.reference>
                       states that an Award Holder who leaves on or after the Release Date has [90] days to exercise the Option. By this time, the Performance Condition will have been tested, so part or all of the Option may have lapsed.
                    </paratext>
                  </para>
                </division>
              </drafting.note>
            </subclause1>
            <subclause1 id="a142377">
              <identifier>18.7</identifier>
              <para>
                <paratext>
                  The Board shall notify the relevant Award Holder of any decision made under 
                  <internal.reference refid="a870810">rule 18</internal.reference>
                  , including any decision not to permit the exercise of an Option, within a reasonable time after making it.
                </paratext>
              </para>
            </subclause1>
            <subclause1 id="a818966">
              <identifier>18.8</identifier>
              <para>
                <paratext>
                  If the relevant Award Certificate specifies different Performance Periods or Employment Periods for different parts of an Option, each part of that Option shall be treated as a separate Option for the purposes of 
                  <internal.reference refid="a870810">rule 18</internal.reference>
                  .
                </paratext>
              </para>
              <drafting.note id="a739223" jurisdiction="">
                <head align="left" preservecase="true">
                  <headtext>Splitting Options into parts</headtext>
                </head>
                <division id="a000078" level="1">
                  <para>
                    <paratext>
                      An Option may be subject to multiple Employment Periods or Performance Periods. For example, one half may be Released after three years and the remainder after four years. 
                      <internal.reference refid="a818966">rule 18.8</internal.reference>
                       states that the Option is treated as several separate Options. For a worked example, see 
                      <link href="4-617-4879#a220351" style="ACTLinkPLCtoPLC">
                        <ital>Standard document, Long term incentive plan (LTIP): guide for employers: 17.2 (a) Apportionment for time</ital>
                      </link>
                      .
                    </paratext>
                  </para>
                </division>
              </drafting.note>
            </subclause1>
            <subclause1 id="a838775">
              <identifier>18.9</identifier>
              <para>
                <paratext>An Award Holder who continues to be an employee or director of any Group Company shall not be regarded as ceasing to be an Employee.</paratext>
              </para>
              <drafting.note id="a507654" jurisdiction="">
                <head align="left" preservecase="true">
                  <headtext>When employment ceases</headtext>
                </head>
                <division id="a000079" level="1">
                  <para>
                    <paratext>
                      <internal.reference refid="a838775">rule 18.9</internal.reference>
                       provides that an Award Holder who continues to be a director or employee of any Group Company does not cease to be an Employee. However, an Award Holder who ceases to be an employee but continues to provide services to the Company as a self-employed contractor would lose status as an employee. It would be possible to widen 
                      <internal.reference refid="a838775">rule 18.9</internal.reference>
                       so that an Award Holder would not lose an Option on becoming a self-employed contractor, but this would be contrary to the Investment Association principles of remuneration.
                    </paratext>
                  </para>
                </division>
              </drafting.note>
            </subclause1>
          </clause>
          <clause id="a181702">
            <identifier>19.</identifier>
            <head align="left" preservecase="true">
              <headtext>Termination of employment (Non-Option Awards)</headtext>
            </head>
            <subclause1 id="a277834">
              <identifier>19.1</identifier>
              <para>
                <paratext>
                  <internal.reference refid="a181702">rule 19</internal.reference>
                   applies to Non-Option Awards.
                </paratext>
              </para>
            </subclause1>
            <subclause1 id="a576911">
              <identifier>19.2</identifier>
              <para>
                <paratext>If an Award Holder:</paratext>
              </para>
              <subclause2 id="a92207">
                <identifier>(a)</identifier>
                <para>
                  <paratext>dies while an Employee; or</paratext>
                </para>
              </subclause2>
              <subclause2 id="a77480">
                <identifier>(b)</identifier>
                <para>
                  <paratext>ceases to be an Employee (whether or not following notice and for whatever reason)</paratext>
                </para>
              </subclause2>
              <para>
                <paratext>before the end of the Employment Period, the Award shall lapse immediately in respect of a number of Shares. That number is calculated in accordance with the formula N x (X/Y) where:</paratext>
              </para>
              <subclause2 id="a387239">
                <identifier>(c)</identifier>
                <para>
                  <paratext>N = the number of Shares in relation to which the Award was originally granted, less any Shares in respect of which it has already been Released or has lapsed;</paratext>
                </para>
              </subclause2>
              <subclause2 id="a192384">
                <identifier>(d)</identifier>
                <para>
                  <paratext>X = the number of days between the date of death or cessation and the end of the Employment Period; and</paratext>
                </para>
              </subclause2>
              <subclause2 id="a245790">
                <identifier>(e)</identifier>
                <para>
                  <paratext>Y = the number of days in the Employment Period.</paratext>
                </para>
                <drafting.note id="a85570" jurisdiction="">
                  <head align="left" preservecase="true">
                    <headtext>Automatic time-apportionment of Award</headtext>
                  </head>
                  <division id="a000080" level="1">
                    <para>
                      <paratext>
                        <internal.reference refid="a576911">rule 19.2</internal.reference>
                         states that, if an Award Holder dies or actually terminates employment (with or without notice and for whatever reason) during the Employment Period, part of the Award lapses immediately. The part that lapses reflects the proportion of the Employment Period that remains outstanding. For example, if the employee left after two years of a three year Employment Period, one third of the Award lapses. This reflects the Investment Association principles of remuneration.
                      </paratext>
                    </para>
                  </division>
                </drafting.note>
              </subclause2>
            </subclause1>
            <subclause1 id="a858671">
              <identifier>19.3</identifier>
              <para>
                <paratext>If the Award Holder dies before the Release Date, the Award will be Released to the Award Holder's personal representatives in respect of a number of Shares determined by the Board as follows:</paratext>
              </para>
              <subclause2 id="a450189">
                <identifier>(a)</identifier>
                <para>
                  <paratext>
                    take the number of Shares that remain after applying 
                    <internal.reference refid="a576911">rule 19.2</internal.reference>
                    ; and
                  </paratext>
                </para>
              </subclause2>
              <subclause2 id="a410055">
                <identifier>(b)</identifier>
                <para>
                  <paratext>apply a further reduction to reflect the extent to which the Performance Condition was not achieved at the date of death.</paratext>
                </para>
              </subclause2>
              <para>
                <paratext>
                  The Award will be settled in accordance with 
                  <internal.reference refid="a175700">rule 14</internal.reference>
                   as soon as practicable following the death.
                </paratext>
              </para>
              <drafting.note id="a841353" jurisdiction="">
                <head align="left" preservecase="true">
                  <headtext>Performance Condition tested after death</headtext>
                </head>
                <division id="a000081" level="1">
                  <para>
                    <paratext>
                      <internal.reference refid="a858671">rule 19.3</internal.reference>
                       states that if an Award Holder dies before the Release Date, the Board will determine the extent to which the Performance Condition was achieved at the date of death. After applying the reduction in 
                      <internal.reference refid="a576911">rule 19.2</internal.reference>
                      , a further deduction is applied to reflect the Performance Condition. The remaining balance of the Award will be released to the estate as soon as practicable but this cannot happen until after the issue of a 
                      <link href="7-382-5632" style="ACTLinkPLCtoPLC">
                        <bold>
                          <ital>grant of representation</ital>
                        </bold>
                      </link>
                       to the Award Holder's personal representatives.
                    </paratext>
                  </para>
                  <para>
                    <paratext>
                      For more information, see 
                      <link href="0-586-0725" style="ACTLinkPLCtoPLC">
                        <ital>Practice note, Employment-related securities and options: issues concerning death of employee</ital>
                      </link>
                      .
                    </paratext>
                  </para>
                </division>
              </drafting.note>
            </subclause1>
            <subclause1 id="a873397">
              <identifier>19.4</identifier>
              <para>
                <paratext>
                  This 
                  <internal.reference refid="a873397">rule 19.4</internal.reference>
                   applies if an Award Holder ceases to be an Employee before the Release Date due to any of the following reasons:
                </paratext>
              </para>
              <subclause2 id="a140431">
                <identifier>(a)</identifier>
                <para>
                  <paratext>injury;</paratext>
                </para>
              </subclause2>
              <subclause2 id="a339331">
                <identifier>(b)</identifier>
                <para>
                  <paratext>ill health; or</paratext>
                </para>
              </subclause2>
              <subclause2 id="a1008209">
                <identifier>(c)</identifier>
                <para>
                  <paratext>disability; [or]</paratext>
                </para>
              </subclause2>
              <subclause2 id="a1001573">
                <identifier>(d)</identifier>
                <para>
                  <paratext>[retirement; or]</paratext>
                </para>
              </subclause2>
              <subclause2 id="a755903">
                <identifier>(e)</identifier>
                <para>
                  <paratext>[Redundancy; or]</paratext>
                </para>
              </subclause2>
              <subclause2 id="a758494">
                <identifier>(f)</identifier>
                <para>
                  <paratext>[the Employer Company ceasing to be a Group Company; or]</paratext>
                </para>
              </subclause2>
              <subclause2 id="a281879">
                <identifier>(g)</identifier>
                <para>
                  <paratext>[the transfer of the business that employs the Award Holder to a person that is not a Group Company].</paratext>
                </para>
              </subclause2>
              <para>
                <paratext>
                  The remainder of the Award (after the application of 
                  <internal.reference refid="a576911">rule 19.2</internal.reference>
                   and subject to achieving the Performance Condition) will be Released on the earlier of:
                </paratext>
              </para>
              <subclause2 id="a446144">
                <identifier>(h)</identifier>
                <para>
                  <paratext>the Release Date; and</paratext>
                </para>
              </subclause2>
              <subclause2 id="a687770">
                <identifier>(i)</identifier>
                <para>
                  <paratext>
                    the date on which the Award is Released under 
                    <internal.reference refid="a1037750">rule 20</internal.reference>
                    .
                  </paratext>
                </para>
                <drafting.note id="a228473" jurisdiction="">
                  <head align="left" preservecase="true">
                    <headtext>Good leaver Awards remain in place until performance has been measured</headtext>
                  </head>
                  <division id="a000082" level="1">
                    <para>
                      <paratext>
                        <internal.reference refid="a873397">rule 19.4</internal.reference>
                         states that, if an Award Holder is a good leaver before the Release Date, part of the Award will lapse under 
                        <internal.reference refid="a576911">rule 19.2</internal.reference>
                        . What is left stays in place until the Release Date, subject to the Performance Condition being achieved. This gives effect to the "wait and see" rule expected by the Investment Association principles of remuneration (see 
                        <link href="9-618-8992#a541211" style="ACTLinkPLCtoPLC">
                          <ital>Practice note, Institutional investor guidelines on share schemes and incentives: Good leavers are expected to "wait and see" whether a share award vests</ital>
                        </link>
                        ).
                      </paratext>
                    </para>
                  </division>
                </drafting.note>
              </subclause2>
            </subclause1>
            <subclause1 id="a207110">
              <identifier>19.5</identifier>
              <para>
                <paratext>
                  This 
                  <internal.reference refid="a207110">rule 19.5</internal.reference>
                   applies if an Award Holder ceases to be an Employee before the Release Date for any reason other than death and the reasons set out in 
                  <internal.reference refid="a873397">rule 19.4</internal.reference>
                  .
                </paratext>
              </para>
              <para>
                <paratext>
                  The Board may in its absolute discretion determine that the remainder of the Award (after the application of 
                  <internal.reference refid="a576911">rule 19.2</internal.reference>
                   and subject to achieving the Performance Condition) shall be Released on the earlier of:
                </paratext>
              </para>
              <subclause2 id="a670452">
                <identifier>(a)</identifier>
                <para>
                  <paratext>the Release Date; and</paratext>
                </para>
              </subclause2>
              <subclause2 id="a1014845">
                <identifier>(b)</identifier>
                <para>
                  <paratext>
                    the date on which the Award is Released under 
                    <internal.reference refid="a1037750">rule 20</internal.reference>
                    .
                  </paratext>
                </para>
              </subclause2>
              <para>
                <paratext>
                  Any decision by the Board to permit Release under this 
                  <internal.reference refid="a207110">rule 19.5</internal.reference>
                   shall be made in the [90-day] period following the cessation of employment and if the Board does not make such a decision within that period, the Award will lapse immediately and in accordance with 
                  <internal.reference refid="a101498">rule 17</internal.reference>
                  .
                </paratext>
              </para>
              <drafting.note id="a247244" jurisdiction="">
                <head align="left" preservecase="true">
                  <headtext>Bad leaver before Release Date</headtext>
                </head>
                <division id="a000083" level="1">
                  <para>
                    <paratext>
                      <internal.reference refid="a207110">rule 19.5</internal.reference>
                       applies if the Award Holder leaves for any other reason before the Release Date. Part of the Award will lapse automatically under 
                      <internal.reference refid="a576911">rule 19.2</internal.reference>
                      , and the balance of the Award will ordinarily lapse [90] days after termination. However, the Board has power to determine that the Award will be Released on the Performance Measurement Date, subject to the Performance Condition.
                    </paratext>
                  </para>
                  <para>
                    <paratext>If the Board does not make any decision within [90] days following termination, the Award will lapse.</paratext>
                  </para>
                  <para>
                    <paratext>A 90-day period is suggested because the Company will typically want leavers' Awards to be dealt with in a reasonably short period after they become exercisable.</paratext>
                  </para>
                </division>
              </drafting.note>
            </subclause1>
            <subclause1 id="a969529">
              <identifier>19.6</identifier>
              <para>
                <paratext>
                  The Board shall notify the relevant Award Holder of any decision made under 
                  <internal.reference refid="a181702">rule 19</internal.reference>
                  , including any decision to permit the Release of an Award, within a reasonable time after making it.
                </paratext>
              </para>
            </subclause1>
            <subclause1 id="a852035">
              <identifier>19.7</identifier>
              <para>
                <paratext>
                  If the relevant Award Certificate specifies different Performance Periods or Employment Periods for different parts of an Award, each part of that Award shall be treated as a separate Award for the purposes of 
                  <internal.reference refid="a181702">rule 19</internal.reference>
                  .
                </paratext>
              </para>
              <drafting.note id="a204519" jurisdiction="">
                <head align="left" preservecase="true">
                  <headtext>Splitting Awards into parts</headtext>
                </head>
                <division id="a000084" level="1">
                  <para>
                    <paratext>
                      An Award may be subject to multiple Performance Periods or Employment Periods. For example, one half may be Released after three years and the remainder after four years. 
                      <internal.reference refid="a852035">rule 19.7</internal.reference>
                       states that the Award is treated as several separate Awards. For a worked example, see 
                      <link href="4-617-4879#a220351" style="ACTLinkPLCtoPLC">
                        <ital>Standard document, Long term incentive plan (LTIP): guide for employers: 10.2 (a) Apportionment for time</ital>
                      </link>
                      .
                    </paratext>
                  </para>
                </division>
              </drafting.note>
            </subclause1>
            <subclause1 id="a585001">
              <identifier>19.8</identifier>
              <para>
                <paratext>An Award Holder who continues to be an employee or director of any Group Company shall not be regarded as ceasing to be an Employee.</paratext>
              </para>
            </subclause1>
          </clause>
          <clause id="a1037750">
            <identifier>20.</identifier>
            <head align="left" preservecase="true">
              <headtext>Takeovers and liquidations</headtext>
            </head>
            <drafting.note id="a405623" jurisdiction="">
              <head align="left" preservecase="true">
                <headtext>Takeovers and liquidations</headtext>
              </head>
              <division id="a000085" level="1">
                <para>
                  <paratext>
                    <internal.reference refid="a1037750">rule 20</internal.reference>
                     deals with the early Release of Awards on a change of Control.
                  </paratext>
                </para>
                <para>
                  <paratext>
                    If there is a change of Control, Awards will be Released in part. Awards that are Released can be exercised or exchanged for awards over shares of the Acquiror. 
                    <internal.reference refid="a403621">rule 20.3</internal.reference>
                     provides for Awards to be Released and Options to be exercised either before or immediately after the change of Control has taken place. 
                    <internal.reference refid="a580292">rule 21</internal.reference>
                     allows for a rollover into awards over shares in an acquiring company.
                  </paratext>
                </para>
              </division>
            </drafting.note>
            <subclause1 id="a324210">
              <identifier>20.1</identifier>
              <para>
                <paratext>
                  The 
                  <defn.term>Releasable Number</defn.term>
                   of Shares in relation to an Award is the number of Shares that the Board shall determine as follows:
                </paratext>
              </para>
              <subclause2 id="a354667">
                <identifier>(a)</identifier>
                <para>
                  <paratext>If the change of Control occurs during the Employment Period, multiply the number of Shares in relation to which the Award was originally granted, less any Shares in respect of which it has already been Released (or, in the case of an Option, has already been exercised) or has lapsed, by X/Y where:</paratext>
                </para>
                <subclause3 id="a584355">
                  <identifier>(i)</identifier>
                  <para>
                    <paratext>X = the number of days between the Grant Date and the date (or expected date) of the change of Control; and</paratext>
                  </para>
                </subclause3>
                <subclause3 id="a264997">
                  <identifier>(ii)</identifier>
                  <para>
                    <paratext>Y = the number of days in the Employment Period.</paratext>
                  </para>
                </subclause3>
              </subclause2>
              <subclause2 id="a820283">
                <identifier>(b)</identifier>
                <para>
                  <paratext>If the change of Control occurs during the Performance Period, apply a further reduction to reflect the likelihood as at the date (or expected date) of the change of Control of the Performance Condition not being achieved by the end of the Performance Period.</paratext>
                </para>
                <drafting.note id="a344805" jurisdiction="">
                  <head align="left" preservecase="true">
                    <headtext>Releasable Number</headtext>
                  </head>
                  <division id="a000086" level="1">
                    <para>
                      <paratext>
                        <internal.reference refid="a324210">rule 20.1</internal.reference>
                         sets out a formula for working out how many of the Shares subject to the Award will be Released. The number is first apportioned by time and then reduced to reflect achievement of the Performance Condition. This is expected by the 
                        <link href="4-209-4976" style="ACTLinkPLCtoPLC">
                          <ital>Investment Association principles of remuneration: paragraph 2(vii) of Section C</ital>
                        </link>
                         which says:
                      </paratext>
                    </para>
                    <display.quote>
                      <para>
                        <paratext>"early vesting as a consequence of a change of control should be on a time pro-rata basis i.e. taking into account the vesting period that has elapsed at the time of change of control."</paratext>
                      </para>
                    </display.quote>
                  </division>
                </drafting.note>
              </subclause2>
            </subclause1>
            <subclause1 id="a131175">
              <identifier>20.2</identifier>
              <para>
                <paratext>
                  Where the Board is required by 
                  <internal.reference refid="a324210">rule 20.1</internal.reference>
                   to determine the Releasable Number, and the relevant Award Certificate specifies different Performance Periods or Employment Periods for different parts of an Award, the Board shall treat each part of that Award as a separate Award.
                </paratext>
              </para>
              <drafting.note id="a126252" jurisdiction="">
                <head align="left" preservecase="true">
                  <headtext>Awards with multiple Performance Conditions or differing Employment Periods</headtext>
                </head>
                <division id="a000087" level="1">
                  <para>
                    <paratext>Where an Award has multiple Performance Conditions or different Employment Periods, it is necessary to treat it as separate Awards to decide the Releasable Number.</paratext>
                  </para>
                </division>
              </drafting.note>
            </subclause1>
            <subclause1 id="a403621">
              <identifier>20.3</identifier>
              <para>
                <paratext>If the Board considers that a change of Control is likely to occur, the Board may in its absolute discretion decide that:</paratext>
              </para>
              <subclause2 id="a271198">
                <identifier>(a)</identifier>
                <para>
                  <paratext>all Awards shall be Released in relation to the Releasable Number of Shares; and</paratext>
                </para>
              </subclause2>
              <subclause2 id="a478188">
                <identifier>(b)</identifier>
                <para>
                  <paratext>an Award Holder may exercise all or any part of any Option (but not in respect of more than the Releasable Number of Shares) within a reasonable period to be specified by the Board for that purpose and ending immediately before the Acquiror obtains Control of the Company. The Board shall have discretion to determine that an Option that is not exercised by the end of that period shall lapse.</paratext>
                </para>
              </subclause2>
              <para>
                <paratext>The Board may decide that the Release of Awards and exercise of Options shall be conditional on the change of Control actually occurring and shall be treated as having no effect if the change of Control does not occur.</paratext>
              </para>
              <drafting.note id="a1007822" jurisdiction="">
                <head align="left" preservecase="true">
                  <headtext>Release and exercise before takeover</headtext>
                </head>
                <division id="a000088" level="1">
                  <para>
                    <paratext>Purchasers (and in many circumstances the Award Holders as well) often prefer all outstanding Awards to be Released and Options to be exercised or to lapse by the time a change of Control is finalised. On the other hand, the target company and the Award Holders do not want to see Awards Released and Options actually to be exercised in advance of a proposed purchase of the company that does not then go to completion.</paratext>
                  </para>
                  <para>
                    <paratext>The Board has power to decide that the Options will lapse if not exercised during this period. This may be necessary if the purchaser insists that the Options must lapse before the change of Control.</paratext>
                  </para>
                </division>
              </drafting.note>
            </subclause1>
            <subclause1 id="a366089">
              <identifier>20.4</identifier>
              <para>
                <paratext>
                  <internal.reference refid="a308554">rule 20.5</internal.reference>
                  , 
                  <internal.reference refid="a190510">rule 20.6</internal.reference>
                   and 
                  <internal.reference refid="a475597">rule 20.7</internal.reference>
                   apply if a change of Control occurs and the Acquiror declares that it is willing to make an agreement under 
                  <internal.reference refid="a580292">rule 21</internal.reference>
                  .
                </paratext>
              </para>
              <drafting.note id="a538158" jurisdiction="">
                <head align="left" preservecase="true">
                  <headtext>Acquiror offers rollover</headtext>
                </head>
                <division id="a000089" level="1">
                  <para>
                    <paratext>
                      <internal.reference refid="a366089">rule 20.4</internal.reference>
                       sets out what can happen if the Acquiror obtains control and offers a rollover. It invokes 
                      <internal.reference refid="a308554">rule 20.5</internal.reference>
                      , 
                      <internal.reference refid="a190510">rule 20.6</internal.reference>
                       and 
                      <internal.reference refid="a475597">rule 20.7</internal.reference>
                      . In practice in advance of the change of control the Acquiror and the Board will agree what arrangements to make.
                    </paratext>
                  </para>
                  <para>
                    <paratext>
                      The Acquiror may be willing to permit Award Holders with Options to exercise up to the Releasable Number of Shares within a defined period of time. 
                      <internal.reference refid="a308554">rule 20.5</internal.reference>
                       gives the Board power to allow this.
                    </paratext>
                  </para>
                  <para>
                    <paratext>Options that are not exchanged or exercised within a defined period lapse. This is because the Acquiror will normally not want them to remain exercisable.</paratext>
                  </para>
                  <para>
                    <paratext>
                      <internal.reference refid="a190510">rule 20.6</internal.reference>
                       allows the Award Holders to accept an offer of rollover in relation to Awards including Options.
                    </paratext>
                  </para>
                  <para>
                    <paratext>
                      <internal.reference refid="a475597">rule 20.7</internal.reference>
                       sets out two possible courses of action in relation to Awards that are not exchanged:
                    </paratext>
                  </para>
                  <list type="bulleted">
                    <list.item>
                      <para>
                        <paratext>the Board can decide that the Awards lapse if they are not exchanged within the Rollover Period; or</paratext>
                      </para>
                    </list.item>
                    <list.item>
                      <para>
                        <paratext>the Board can decide that Awards that are not exchanged within the Rollover Period should vest in relation to the Releasable Number at the end of that period. This does not apply to Options as they will already have been exercised, exchanged or lapsed.</paratext>
                      </para>
                    </list.item>
                  </list>
                </division>
              </drafting.note>
            </subclause1>
            <subclause1 id="a308554">
              <identifier>20.5</identifier>
              <para>
                <paratext>
                  The Board may in its absolute discretion decide that an Award Holder may exercise all or any part of any Option (but not in respect of more than the Releasable Number of Shares) within a reasonable period to be specified by the Board for that purpose. Any part of an Option that is not either exchanged under 
                  <internal.reference refid="a580292">rule 21</internal.reference>
                   or exercised by the end of that period shall lapse.
                </paratext>
              </para>
            </subclause1>
            <subclause1 id="a190510">
              <identifier>20.6</identifier>
              <para>
                <paratext>
                  The Award Holder may at any time during the Rollover Period exchange the Award under 
                  <internal.reference refid="a580292">rule 21</internal.reference>
                  .
                </paratext>
              </para>
            </subclause1>
            <subclause1 id="a475597">
              <identifier>20.7</identifier>
              <para>
                <paratext>The Board has discretion to determine at any time before the end of the Rollover Period that some or all of any Awards that are not so exchanged shall lapse at the end of the Rollover Period.</paratext>
              </para>
              <para>
                <paratext>If the Board does not so determine, then any Non-Option Awards that are not so exchanged shall be Released in relation to the Releasable Number immediately following the end of the Rollover Period and lapse in relation to the balance.</paratext>
              </para>
            </subclause1>
            <subclause1 id="a99160">
              <identifier>20.8</identifier>
              <para>
                <paratext>
                  If the Acquiror is not willing to make an agreement under 
                  <internal.reference refid="a580292">rule 21</internal.reference>
                  :
                </paratext>
              </para>
              <subclause2 id="a400828">
                <identifier>(a)</identifier>
                <para>
                  <paratext>all Awards shall be Released immediately following the change of Control in relation to the Releasable Number of Shares and lapse in relation to the balance; and</paratext>
                </para>
              </subclause2>
              <subclause2 id="a1026981">
                <identifier>(b)</identifier>
                <para>
                  <paratext>an Award Holder may exercise all or any part of any Option (but not in respect of more than the Releasable Number of Shares) within the period of [30 days] following the change of Control. Any part of an Option that is not exercised by the end of that period shall lapse.</paratext>
                </para>
                <drafting.note id="a148521" jurisdiction="">
                  <head align="left" preservecase="true">
                    <headtext>Acquiror is not willing to offer exchange</headtext>
                  </head>
                  <division id="a000090" level="1">
                    <para>
                      <paratext>
                        If the Acquiror is not willing to offer a rollover 
                        <internal.reference refid="a99160">rule 20.8</internal.reference>
                         provides for Release of the Releasable Number of all Awards and a 30 day period for the exercise of Options.
                      </paratext>
                    </para>
                  </division>
                </drafting.note>
              </subclause2>
            </subclause1>
            <subclause1 id="a285375">
              <identifier>20.9</identifier>
              <para>
                <paratext>If any person becomes bound or entitled to acquire Shares under sections 979 to 982 or 983 to 985 of the Companies Act 2006:</paratext>
              </para>
              <subclause2 id="a966938">
                <identifier>(a)</identifier>
                <para>
                  <paratext>all Awards shall be Released in relation to the Releasable Number of Shares and lapse in relation to the balance; and</paratext>
                </para>
              </subclause2>
              <subclause2 id="a63071">
                <identifier>(b)</identifier>
                <para>
                  <paratext>an Award Holder may exercise all or any part of any Option (but not in respect of more than the Releasable Number of Shares) at any time when the person remains so bound or entitled.</paratext>
                </para>
              </subclause2>
              <para>
                <paratext>
                  An Option that is not so exercised shall lapse at the end of the period during which that person is bound or entitled (unless it lapses earlier in accordance with 
                  <internal.reference refid="a870810">rule 18</internal.reference>
                   or is exchanged under 
                  <internal.reference refid="a580292">rule 21</internal.reference>
                  ).
                </paratext>
              </para>
              <drafting.note id="a281493" jurisdiction="">
                <head align="left" preservecase="true">
                  <headtext>Release on squeeze-out or sell-out</headtext>
                </head>
                <division id="a000091" level="1">
                  <para>
                    <paratext>
                      <internal.reference refid="a285375">rule 20.9</internal.reference>
                       is unlikely to be relevant because in most circumstances Awards will already have been Released or lapsed following an earlier change of Control.
                    </paratext>
                  </para>
                  <para>
                    <paratext>
                      <internal.reference refid="a285375">rule 20.9</internal.reference>
                       permits Award Holders to exercise Options during a squeeze-out or sell-out period. If they do not exercise their Options during this period, the Options lapse at the end of the period or, if earlier, the end of the period in which they can accept a rollover.
                    </paratext>
                  </para>
                  <para>
                    <paratext>
                      The main reason for including 
                      <internal.reference refid="a285375">rule 20.9</internal.reference>
                       is to compel Award Holders to exercise or exchange their Options, or allow them to lapse, before the end of the squeeze-out period.
                    </paratext>
                  </para>
                </division>
              </drafting.note>
            </subclause1>
            <subclause1 id="a547379">
              <identifier>20.10</identifier>
              <para>
                <paratext>If the court sanctions a compromise or arrangement under either section 899 or section 901F of the Companies Act 2006, the Board may decide that:</paratext>
              </para>
              <subclause2 id="a437975">
                <identifier>(a)</identifier>
                <para>
                  <paratext>all Awards shall be Released in relation to the Releasable Number of Shares; and</paratext>
                </para>
              </subclause2>
              <subclause2 id="a235030">
                <identifier>(b)</identifier>
                <para>
                  <paratext>an Award Holder may exercise all or any part of any Option (but not in respect of more than the Releasable Number of Shares) within a reasonable period to be specified by the Board for that purpose. The Board shall have discretion to determine that an Option that is not exercised by the end of that period shall lapse.</paratext>
                </para>
                <drafting.note id="a843865" jurisdiction="">
                  <head align="left" preservecase="true">
                    <headtext>Scheme of arrangement</headtext>
                  </head>
                  <division id="a000092" level="1">
                    <para>
                      <paratext>
                        If there is a takeover by 
                        <link href="0-107-7201" style="ACTLinkPLCtoPLC">
                          <bold>
                            <ital>scheme of arrangement</ital>
                          </bold>
                        </link>
                        , the Board can decide that Awards will be Released when the court sanctions the scheme. This usually occurs a few days before the scheme becomes effective and the change of Control occurs. This enables Award Holders to become registered shareholders before the scheme is effective and receive the same consideration as other shareholders.
                      </paratext>
                    </para>
                  </division>
                </drafting.note>
              </subclause2>
            </subclause1>
            <subclause1 id="a103251">
              <identifier>20.11</identifier>
              <para>
                <paratext>If any Shares, in one or a series of transactions, are sold resulting in the buyer and persons Acting in Concert with the buyer together acquiring Control of the Company, but the buyer is a company and its shareholders and the proportion of its shares held by each of them following completion of the sale are [substantially] the same as the shareholders and their shareholdings in the Company immediately before the sale, the Board may determine that this does not constitute a change of Control.</paratext>
              </para>
              <para>
                <paratext>
                  If the buyer offers to make such arrangements as the Board, in its reasonable opinion, considers to be fair, for new awards to be offered under 
                  <internal.reference refid="a580292">rule 21</internal.reference>
                   in exchange for Awards, then the Board may decide that any Awards that are not so exchanged shall lapse on such date as the Board shall specify.
                </paratext>
              </para>
              <para>
                <paratext>If the buyer does not offer to make arrangements that the Board considers to be fair within [30 days] after the buyer has acquired Control, then:</paratext>
              </para>
              <subclause2 id="a774674">
                <identifier>(a)</identifier>
                <para>
                  <paratext>all Awards shall be Released on the [31st] day following the buyer acquiring Control in relation to the Releasable Number of Shares and lapse in relation to the balance; and</paratext>
                </para>
              </subclause2>
              <subclause2 id="a639862">
                <identifier>(b)</identifier>
                <para>
                  <paratext>an Award Holder may exercise all or any part of any Option (but not in respect of more than the Releasable Number of Shares) within the period starting [31] days and ending [90] days following the buyer acquiring Control. Any part of an Option that is not exercised by the end of that period shall lapse.</paratext>
                </para>
                <drafting.note id="a687383" jurisdiction="">
                  <head align="left" preservecase="true">
                    <headtext>Rollover of Options on internal reorganisation</headtext>
                  </head>
                  <division id="a000093" level="1">
                    <para>
                      <paratext>It is possible that a change of Control may occur as a result of an internal reorganisation. If the shareholders of the acquiring company are the same (or substantially the same), the Board may decide that this does not constitute a change of Control for the purposes of the Plan. In these circumstances the Board will normally agree with the buyer that there is an exchange of Awards. If this cannot be agreed within 30 days, then Non-Option Awards are Released and Award Holders can exercise their Options.</paratext>
                    </para>
                    <para>
                      <paratext>The word substantially could be deleted or replaced with a more precise figure such as 90%.</paratext>
                    </para>
                  </division>
                </drafting.note>
              </subclause2>
            </subclause1>
            <subclause1 id="a514365">
              <identifier>20.12</identifier>
              <para>
                <paratext>
                  In 
                  <internal.reference refid="a1037750">rule 20</internal.reference>
                   and 
                  <internal.reference refid="a580292">rule 21</internal.reference>
                  , a person shall be deemed to have obtained Control of a company if that person, and others Acting in Concert with that person, have obtained Control of it together.
                </paratext>
              </para>
            </subclause1>
            <subclause1 id="a396871">
              <identifier>20.13</identifier>
              <para>
                <paratext>If the shareholders of the Company receive notice of a resolution for the voluntary winding up of the Company:</paratext>
              </para>
              <subclause2 id="a778719">
                <identifier>(a)</identifier>
                <para>
                  <paratext>all Non-Option Awards shall be Released upon the passing of that resolution in relation to the Releasable Number of Shares and lapse in relation to the balance; and</paratext>
                </para>
              </subclause2>
              <subclause2 id="a362148">
                <identifier>(b)</identifier>
                <para>
                  <paratext>any Award Holder may exercise an Option in respect of the Releasable Number of Shares at any time before that resolution is passed, conditional upon the passing of that resolution, and if the Award Holder does not exercise the Option, it shall lapse when the winding up begins.</paratext>
                </para>
              </subclause2>
            </subclause1>
            <subclause1 id="a164888">
              <identifier>20.14</identifier>
              <para>
                <paratext>
                  The Board shall notify Award Holders of any event that is relevant to Awards under this 
                  <internal.reference refid="a1037750">rule 20</internal.reference>
                   within a reasonable period after the Board becomes aware of it.
                </paratext>
              </para>
            </subclause1>
            <subclause1 id="a525377">
              <identifier>20.15</identifier>
              <para>
                <paratext>
                  For the avoidance of doubt, 
                  <internal.reference refid="a1037750">rule 20</internal.reference>
                   is subject to 
                  <internal.reference refid="a772174">rule 9.4</internal.reference>
                   and 
                  <internal.reference refid="a989438">rule 9.5</internal.reference>
                  .
                </paratext>
              </para>
              <drafting.note id="a380201" jurisdiction="">
                <head align="left" preservecase="true">
                  <headtext>Takeover occurs during notice period</headtext>
                </head>
                <division id="a000094" level="1">
                  <para>
                    <paratext>
                      <internal.reference refid="a525377">rule 20.15</internal.reference>
                       clarifies that someone who is on notice cannot have an Award Released or exercise an Option just because a takeover occurs.
                    </paratext>
                  </para>
                </division>
              </drafting.note>
            </subclause1>
          </clause>
          <clause id="a580292">
            <identifier>21.</identifier>
            <head align="left" preservecase="true">
              <headtext>Exchange of Awards</headtext>
            </head>
            <drafting.note id="a838596" jurisdiction="">
              <head align="left" preservecase="true">
                <headtext>Exchange of Awards</headtext>
              </head>
              <division id="a000095" level="1">
                <para>
                  <paratext>
                    This allows the Acquiror and Award Holder to agree terms for an exchange of Awards. The rules are deliberately not prescriptive as regards the terms of an exchange to give flexibility for the parties. However, note that 
                    <link href="0-107-7362" style="ACTLinkPLCtoPLC">
                      <bold>
                        <ital>The City Code on Takeovers and Mergers</ital>
                      </bold>
                    </link>
                     requires that the terms are fair and reasonable (see 
                    <link href="0-378-9128" style="ACTLinkPLCtoPLC">
                      <ital>Practice note, Takeover Code: how buyers should treat employee share awards in target companies</ital>
                    </link>
                    .
                  </paratext>
                </para>
              </division>
            </drafting.note>
            <subclause1 id="a486366">
              <identifier>21.1</identifier>
              <para>
                <paratext>
                  If the Acquiror is a company, each Award Holder may, by agreement with the Acquiror within the Rollover Period, surrender any Award (
                  <defn.term>Old Award</defn.term>
                  ) in exchange for a replacement right (
                  <defn.term>New Award</defn.term>
                  ).
                </paratext>
              </para>
            </subclause1>
            <subclause1 id="a681340">
              <identifier>21.2</identifier>
              <para>
                <paratext>A New Award shall be granted on such terms and in relation to such shares of such company as the Acquiror and the Award Holder may agree.</paratext>
              </para>
            </subclause1>
            <subclause1 id="a483567">
              <identifier>21.3</identifier>
              <para>
                <paratext>The Rollover Period is a period specified by the Acquiror within which Award Holders may agree to surrender their Awards.</paratext>
              </para>
            </subclause1>
          </clause>
          <clause id="a129837">
            <identifier>22.</identifier>
            <head align="left" preservecase="true">
              <headtext>Variation of share capital</headtext>
            </head>
            <subclause1 id="a733271">
              <identifier>22.1</identifier>
              <para>
                <paratext>
                  This 
                  <internal.reference refid="a129837">rule 22</internal.reference>
                   applies where there is:
                </paratext>
              </para>
              <subclause2 id="a293618">
                <identifier>(a)</identifier>
                <para>
                  <paratext>a variation of share capital; or</paratext>
                </para>
              </subclause2>
              <subclause2 id="a261574">
                <identifier>(b)</identifier>
                <para>
                  <paratext>an extraordinary distribution to shareholders.</paratext>
                </para>
              </subclause2>
            </subclause1>
            <subclause1 id="a1011937">
              <identifier>22.2</identifier>
              <para>
                <paratext>
                  In this 
                  <internal.reference refid="a129837">rule 22</internal.reference>
                  :
                </paratext>
              </para>
              <subclause2 id="a357706">
                <identifier>(a)</identifier>
                <para>
                  <paratext>A variation of share capital includes a capitalisation issue, rights issue, consolidation, subdivision or reduction of capital, a vendor placing with clawback, a vendor rights offer or a cash open offer. However, a scrip dividend is not a variation of share capital.</paratext>
                </para>
              </subclause2>
              <subclause2 id="a69311">
                <identifier>(b)</identifier>
                <para>
                  <paratext>An extraordinary distribution to shareholders includes a demerger or special dividend.</paratext>
                </para>
                <drafting.note id="a83930" jurisdiction="">
                  <head align="left" preservecase="true">
                    <headtext>Demergers</headtext>
                  </head>
                  <division id="a000096" level="1">
                    <para>
                      <paratext>
                        Where a demerger or other extraordinary distribution takes place, the Board can allow early Release under 
                        <internal.reference refid="a919478">rule 22.3</internal.reference>
                         or adjust the Award under 
                        <internal.reference refid="a590698">rule 22.4</internal.reference>
                        . For information on other possible ways of compensating Award Holders for the loss in value due to a demerger, see 
                        <link href="0-379-9580" style="ACTLinkPLCtoPLC">
                          <ital>Practice note, Demergers and employee share schemes</ital>
                        </link>
                        .
                      </paratext>
                    </para>
                  </division>
                </drafting.note>
              </subclause2>
            </subclause1>
            <subclause1 id="a919478">
              <identifier>22.3</identifier>
              <para>
                <paratext>If notice is given to shareholders of the Company of a proposed extraordinary distribution, the Board shall determine whether the interests of Award Holders would or might be substantially prejudiced by the proposed extraordinary distribution.</paratext>
              </para>
              <para>
                <paratext>If the Board does so decide, it may determine that:</paratext>
              </para>
              <subclause2 id="a79415">
                <identifier>(a)</identifier>
                <para>
                  <paratext>some or all Awards shall be Released in relation to the Releasable Number of Shares; and</paratext>
                </para>
              </subclause2>
              <subclause2 id="a56729">
                <identifier>(b)</identifier>
                <para>
                  <paratext>an Award Holder may exercise all or any part of any Option (but not in respect of more than the Releasable Number of Shares) within a reasonable period specified by the Board for that purpose and ending immediately before the record date for the extraordinary distribution. The Board shall have discretion to determine that an Option that is not exercised by the end of that period shall lapse.</paratext>
                </para>
              </subclause2>
              <para>
                <paratext>The Board may decide that the Release of Awards and exercise of Options shall be conditional on the extraordinary distribution actually occurring and shall be treated as having no effect if the extraordinary distribution does not occur.</paratext>
              </para>
              <para>
                <paratext>
                  The Releasable Number shall be determined in accordance with 
                  <internal.reference refid="a324210">rule 20.1</internal.reference>
                   as if the extraordinary distribution were a change of Control.
                </paratext>
              </para>
              <para>
                <paratext>
                  For the avoidance of doubt, if the Board does not determine that Awards shall be Released and Options may be exercised, the Board may nevertheless make an adjustment to the Awards under 
                  <internal.reference refid="a590698">rule 22.4</internal.reference>
                  .
                </paratext>
              </para>
            </subclause1>
            <subclause1 id="a590698">
              <identifier>22.4</identifier>
              <para>
                <paratext>If a variation of share capital or an extraordinary distribution occurs and the Board considers that it has affected the value of Awards, the Board shall consider whether it is fair to adjust the terms of the Awards and, if so, the Board shall make such adjustment as it considers appropriate to:</paratext>
              </para>
              <subclause2 id="a64726">
                <identifier>(a)</identifier>
                <para>
                  <paratext>the number of Shares subject to the Award;</paratext>
                </para>
              </subclause2>
              <subclause2 id="a733604">
                <identifier>(b)</identifier>
                <para>
                  <paratext>the class of Shares subject to the Award; and</paratext>
                </para>
              </subclause2>
              <subclause2 id="a726968">
                <identifier>(c)</identifier>
                <para>
                  <paratext>
                    subject to 
                    <internal.reference refid="a232758">rule 22.5</internal.reference>
                    , the Exercise Price.
                  </paratext>
                </para>
              </subclause2>
            </subclause1>
            <subclause1 id="a232758">
              <identifier>22.5</identifier>
              <para>
                <paratext>The Board may not reduce the Exercise Price of an Option below the nominal value of a Share, if the Option will or may be satisfied by the issue of Shares, unless the Board is able, and resolves, to capitalise from reserves an amount sufficient (when aggregated with the reduced Exercise Price payable) to pay up the Shares in full on the Option's exercise.</paratext>
              </para>
              <drafting.note id="a934498" jurisdiction="">
                <head align="left" preservecase="true">
                  <headtext>Adjustment of Exercise Price to less than nominal value</headtext>
                </head>
                <division id="a000097" level="1">
                  <para>
                    <paratext>
                      <internal.reference refid="a232758">rule 22.5</internal.reference>
                       is included because a company cannot issue shares for less than their nominal value (see 
                      <link href="2-506-2001" style="ACTLinkPLCtoPLC">
                        <ital>section 580</ital>
                      </link>
                      <ital>, Companies Act 2006</ital>
                       and 
                      <link href="5-422-4150#a223783" style="ACTLinkPLCtoPLC">
                        <ital>Practice note, Allotment and issue of shares: Payment for allotted shares</ital>
                      </link>
                      ).
                    </paratext>
                  </para>
                  <para>
                    <paratext>
                      A company which has sufficient distributable reserves may be able to capitalise those reserves to pay up the nominal value of the Shares. However, note that it is not possible to issue bonus shares to non-members (see 
                      <link href="2-605-1247" style="ACTLinkPLCtoPLC">
                        <ital>Article, Bonus issues: may bonus shares be issued to non-members?</ital>
                      </link>
                      ).
                    </paratext>
                  </para>
                </division>
              </drafting.note>
            </subclause1>
            <subclause1 id="a481297">
              <identifier>22.6</identifier>
              <para>
                <paratext>
                  The Board shall notify all affected Award Holders of any decision made under 
                  <internal.reference refid="a129837">rule 22</internal.reference>
                   within a reasonable time after making it.
                </paratext>
              </para>
            </subclause1>
          </clause>
          <clause id="a353805">
            <identifier>23.</identifier>
            <head align="left" preservecase="true">
              <headtext>Tax liabilities</headtext>
            </head>
            <drafting.note id="a567148" jurisdiction="">
              <head align="left" preservecase="true">
                <headtext>Tax liabilities</headtext>
              </head>
              <division id="a000098" level="1">
                <para>
                  <paratext>
                    This rule is necessary to assist the employer in recovering any PAYE arising in connection with Awards. Tax and NICs liabilities arising in relation to Awards are often difficult to recover under standard PAYE deduction procedures, and the statutory rights of recovery are limited. It is recommended that this rule be included even if the Shares are in a private company and are not 
                    <link href="5-107-7109" style="ACTLinkPLCtoPLC">
                      <bold>
                        <ital>readily convertible assets</ital>
                      </bold>
                    </link>
                     (RCAs) for PAYE and NICs purposes. They may become RCAs before Awards are Released and a PAYE and NICs withholding obligation may also arise in certain other circumstances. For information about drafting effective indemnities and about recovering tax liabilities, see 
                    <link href="5-595-6990" style="ACTLinkPLCtoPLC">
                      <ital>Practice note, Tax indemnities in share schemes documents</ital>
                    </link>
                    . For more information about RCAs, see 
                    <link href="3-599-7326" style="ACTLinkPLCtoPLC">
                      <ital>Practice note, Readily convertible assets</ital>
                    </link>
                    .
                  </paratext>
                </para>
              </division>
            </drafting.note>
            <subclause1 id="a108464">
              <identifier>23.1</identifier>
              <para>
                <paratext>The Award Holder shall indemnify the Employer Company in respect of any Tax Liability.</paratext>
              </para>
              <drafting.note id="a569202" jurisdiction="">
                <head align="left" preservecase="true">
                  <headtext>Requirement to meet Tax Liabilities</headtext>
                </head>
                <division id="a000099" level="1">
                  <para>
                    <paratext>This rule sets out the Award Holder's obligations in respect of the Tax Liability. The Award Holder is liable to pay the Tax Liability. The exercise of an Option and Release of an Award are conditional on the Award Holder agreeing to pay the Tax Liability, as well as making arrangements to pay it. This is because:</paratext>
                  </para>
                  <list type="bulleted">
                    <list.item>
                      <para>
                        <paratext>An Award Holder must agree to pay the Tax Liability so that, in the event that the Award Holder fails to do so, the Employer Company has a contractual right to recover the Tax Liability.</paratext>
                      </para>
                    </list.item>
                    <list.item>
                      <para>
                        <paratext>Even with a contractual right to recover the Tax Liability, this can be time consuming and costly. Exercise is therefore conditional on the employee making arrangements to pay the Tax Liability, to minimise the chances of an employee not paying. Typically, an Award Holder will be required to indicate how they will meet the Tax Liability.</paratext>
                      </para>
                    </list.item>
                  </list>
                  <para>
                    <paratext>
                      For more information, see 
                      <link href="5-595-6990" style="ACTLinkPLCtoPLC">
                        <ital>Practice note, Tax indemnities in share schemes documents</ital>
                      </link>
                      .
                    </paratext>
                  </para>
                </division>
              </drafting.note>
            </subclause1>
            <subclause1 id="a347169">
              <identifier>23.2</identifier>
              <para>
                <paratext>The Acceptance Notice or Exercise Notice shall include the Award Holder's irrevocable agreement to:</paratext>
              </para>
              <subclause2 id="a682727">
                <identifier>(a)</identifier>
                <para>
                  <paratext>pay the Tax Liability to the Employer Company; and</paratext>
                </para>
              </subclause2>
              <subclause2 id="a599868">
                <identifier>(b)</identifier>
                <para>
                  <paratext>enter into arrangements to the satisfaction of the Company or Employer Company to pay the Tax Liability.</paratext>
                </para>
                <drafting.note id="a321581" jurisdiction="">
                  <head align="left" preservecase="true">
                    <headtext>Satisfactory arrangements</headtext>
                  </head>
                  <division id="a000100" level="1">
                    <para>
                      <paratext>The Award Holder is required to make arrangements to satisfy the Tax Liability. This is most likely to involve indicating in the Acceptance Notice or Exercise Notice a preferred method of paying the Tax Liability, such as a sell-to-cover arrangement or deduction from salary. The Employer Company is liable to account for any income tax and NICs due, but the company that operates the scheme is likely to receive the Acceptance Notice or Exercise Notice and, in many cases, be the party that determines whether arrangements to pay the Tax Liability are satisfactory.</paratext>
                    </para>
                  </division>
                </drafting.note>
              </subclause2>
            </subclause1>
            <subclause1 id="a989170">
              <identifier>23.3</identifier>
              <para>
                <paratext>If an Award Holder does not pay the Tax Liability within [seven] days of any Taxable Event the Company or Employer Company, as appropriate, may:</paratext>
              </para>
              <subclause2 id="a380838">
                <identifier>(a)</identifier>
                <para>
                  <paratext>if the relevant Taxable Event is the exercise of an Option or the Release of an Award, and the Shares are readily saleable at the time, retain and sell such number of Shares on behalf of the Award Holder as is necessary to meet the Tax Liability, and any costs of sale; or</paratext>
                </para>
              </subclause2>
              <subclause2 id="a783000">
                <identifier>(b)</identifier>
                <para>
                  <paratext>
                    deduct the amount of any Tax Liability from any payments of remuneration made to the Award Holder on or after the date on which the Tax Liability arose except that, in the case of NICs, the Employer Company may only withhold such amount as is permitted by the Social Security (Contributions) Regulations 2001 (
                    <ital>SI 2001/1004</ital>
                    ).
                  </paratext>
                </para>
              </subclause2>
              <para>
                <paratext>
                  The Award Holder's obligations under 
                  <internal.reference refid="a108464">rule 23.1</internal.reference>
                   shall not be affected by any failure of the Company or Employer Company to withhold shares or deduct from payments of remuneration under this 
                  <internal.reference refid="a989170">rule 23.3</internal.reference>
                  .
                </paratext>
              </para>
              <drafting.note id="a169989" jurisdiction="">
                <head align="left" preservecase="true">
                  <headtext>Recovering the Tax Liability</headtext>
                </head>
                <division id="a000101" level="1">
                  <para>
                    <paratext>
                      This rule is intended to give the Company, and any Employer Company, practical powers to recover the amount of any Tax Liability. When an Option is exercised or an Award is Released, the Company has control over the number of Shares delivered and, therefore, if the Shares can be sold at that time, the Company is able to sell shares to cover the Tax Liability. (Many Award Holders will opt to pay their Tax Liability by this method in any event.) For other Taxable Events, or if the Shares cannot be sold, the Employer Company needs alternative methods of recovery. The purpose of 
                      <internal.reference refid="a783000">rule 23.3(b)</internal.reference>
                       is to give the employer authority to deduct the Tax Liability from remuneration payments made to the employee in the same or subsequent tax months. However, this may not be practical if the liabilities are large and, if the employee has left, the employer will not be able to deduct any PAYE due. For more information, see 
                      <link href="5-595-6990" style="ACTLinkPLCtoPLC">
                        <ital>Practice note, Tax indemnities in share schemes documents</ital>
                      </link>
                      .
                    </paratext>
                  </para>
                  <para>
                    <paratext>
                      Under 
                      <internal.reference refid="a989170">rule 23.3</internal.reference>
                      , the Award Holder has a number of days to make good the total Tax Liability before the rights of recovery kick in. In practice, the Company will need to tell the Award Holder how much their Tax Liability is as soon after exercise as possible to give the employee time to meet their obligation to pay before the Company or Employer Company exercise their power to sell shares or deduct from remuneration.
                    </paratext>
                  </para>
                </division>
              </drafting.note>
            </subclause1>
            <subclause1 id="a260250">
              <identifier>23.4</identifier>
              <para>
                <paratext>At the request of the Employer Company at any time before the Release of a Non-Option Award or the exercise of an Option, the Award Holder must elect, to the extent permitted by law, and using a form approved by HMRC, that the whole or any part of the liability for Employer NICs arising as a result of a Taxable Event shall be transferred to the Award Holder.</paratext>
              </para>
              <drafting.note id="a177390" jurisdiction="">
                <head align="left" preservecase="true">
                  <headtext>Transfer of NICs liability</headtext>
                </head>
                <division id="a000102" level="1">
                  <para>
                    <paratext>
                      Generally, employers are not permitted to recover secondary class 1 NICs from employees (
                      <link href="8-509-0124" style="ACTLinkPLCtoPLC">
                        <ital>paragraph 3A</ital>
                      </link>
                      <ital>, Schedule 1, Social Security Contributions and Benefits Act 1992</ital>
                      ). However, there is an exception for class 1 Employer NICs that arise on rights to acquire shares and certain post-acquisition charges on restricted and convertible securities if the employee agrees to reimburse the NICs or jointly elects with the employer to assume responsibility for them. It is more common for employers and employees to agree that the employee will reimburse the Employer NICs than to enter into a formal election to transfer the Employer NICs, but this rule gives the Company, or Employer Company, the discretion to require a formal transfer of NICs if desirable. For more information, see 
                      <link href="9-204-9057#a935330" style="ACTLinkPLCtoPLC">
                        <ital>Practice note, Class 1 National Insurance Contributions (NICs) liabilities and share incentives: Joint elections to transfer employer NICs</ital>
                      </link>
                      .
                    </paratext>
                  </para>
                  <para>
                    <paratext>It is not possible to transfer Employer NICs in relation to Cash-settled Awards.</paratext>
                  </para>
                </division>
              </drafting.note>
            </subclause1>
            <subclause1 id="a880110">
              <identifier>23.5</identifier>
              <para>
                <paratext>The Employer Company [(or the Company on behalf of the Employer Company)] may:</paratext>
              </para>
              <subclause2 id="a352336">
                <identifier>(a)</identifier>
                <para>
                  <paratext>on the Grant Date, direct that the Tax Liability shall not include Employer NICs; or</paratext>
                </para>
              </subclause2>
              <subclause2 id="a166709">
                <identifier>(b)</identifier>
                <para>
                  <paratext>
                    at any time after the Grant Date, but before the Non-Option Award is Released or the Option is exercised, release the Award Holder from any obligations in respect of Employer NICs under this 
                    <internal.reference refid="a353805">rule 23</internal.reference>
                    , so that Employer NICs do not form part of the Tax Liability.
                  </paratext>
                </para>
                <drafting.note id="a92753" jurisdiction="">
                  <head align="left" preservecase="true">
                    <headtext>Employer NICs</headtext>
                  </head>
                  <division id="a000103" level="1">
                    <para>
                      <paratext>
                        The definition of Tax Liability makes the employee responsible for Employer NICs as a default, unless the Company or the Employer Company directs otherwise on the Grant Date or decides to release the Award Holder from the liability to pay Employer NICs at a later date (see 
                        <internal.reference refid="a780110">Drafting note, Tax Liability</internal.reference>
                        ).
                      </paratext>
                    </para>
                    <para>
                      <paratext>If it is intended that the power to decide whether or not Employer NICs should form part of the Tax Liability should rest solely with the Company (if different from the Employer Company), this rule should be amended accordingly.</paratext>
                    </para>
                  </division>
                </drafting.note>
              </subclause2>
            </subclause1>
            <subclause1 id="a774814">
              <identifier>23.6</identifier>
              <para>
                <paratext>It is a condition of the Release of a Non-Option Award and exercise of an Option that the Award Holder enters into a joint election, under section 431(1) or 431(2) of ITEPA 2003, in respect of the Shares to be acquired on the Release of the Award or exercise of the Option, if required to do so by the Company or Employer Company, on or before the Release of the Award or exercise of the Option.</paratext>
              </para>
              <drafting.note id="a409669" jurisdiction="">
                <head align="left" preservecase="true">
                  <headtext>Tax liabilities: restricted securities election</headtext>
                </head>
                <division id="a000104" level="1">
                  <para>
                    <paratext>The Shares will be restricted securities if they are still subject to clawback or if they are still subject to a risk of forfeiture for some other reason. In this case, future income tax charges may arise under Chapter 2 of Part 7 of ITEPA 2003, for example when the Shares are sold. The employee and employer can elect to pay income tax on the full, unrestricted market value of the Shares at exercise, taking the Shares out of the restricted securities tax regime. Although this rule includes a power for the Company to require that the employee enter into an election (as the Company may be handling all the administration at exercise), the election must be between the Employer Company and the Award Holder.</paratext>
                  </para>
                  <para>
                    <paratext>
                      For more information, see 
                      <link href="3-364-2007#a992977" style="ACTLinkPLCtoPLC">
                        <ital>Practice note, Restricted securities: Restricted securities elections: general points</ital>
                      </link>
                      .
                    </paratext>
                  </para>
                </division>
              </drafting.note>
            </subclause1>
            <subclause1 id="a1010843">
              <identifier>23.7</identifier>
              <para>
                <paratext>
                  The Acceptance Notice or Exercise Notice shall include a power of attorney appointing the Company as the Award Holder's agent and attorney for the purposes of 
                  <internal.reference refid="a989170">rule 23.3</internal.reference>
                   and 
                  <internal.reference refid="a774814">rule 23.6</internal.reference>
                  .
                </paratext>
              </para>
            </subclause1>
          </clause>
          <clause id="a939899">
            <identifier>24.</identifier>
            <head align="left" preservecase="true">
              <headtext>Relationship with employment contract</headtext>
            </head>
            <drafting.note id="a106546" jurisdiction="">
              <head align="left" preservecase="true">
                <headtext>Relationship with employment contract</headtext>
              </head>
              <division id="a000105" level="1">
                <para>
                  <paratext>It is possible, at least to some extent, to exclude losses relating to Awards and Options from claims arising from termination of employment or office. Ideally, a similar provision should also be included in the corresponding employment contract or service agreement.</paratext>
                </para>
                <para>
                  <paratext>
                    In 
                    <link href="D-102-1802" style="ACTLinkPLCtoPLC">
                      <ital>Daniels v Lloyds Bank Plc [2018] EWHC 660 (Comm) (27 March 2018)</ital>
                    </link>
                    , the High Court considered a rule that purported to deny employees any compensation for "any loss or reduction of rights or expectations under the Plan in any circumstances" and any loss in relation to "any exercise of a discretion or a decision in relation to an Award or to the Plan".
                  </paratext>
                </para>
                <para>
                  <paratext>
                    The court considered that this rule was limited to claims under employment law. It did not protect the defendant from liability where it had breached its own obligations under the plan as a whole. For commentary on this case, see 
                    <link href="w-014-0044" style="ACTLinkPLCtoPLC">
                      <ital>Legal update, LTIP shares wrongfully withheld because malus clause unlawfully applied (High Court)</ital>
                    </link>
                    .
                  </paratext>
                </para>
                <para>
                  <paratext>
                    For more information, see 
                    <link href="7-533-0285" style="ACTLinkPLCtoPLC">
                      <ital>Practice note, Micklefield clauses and compensation for loss of share plan entitlements on termination of employment</ital>
                    </link>
                    .
                  </paratext>
                </para>
              </division>
            </drafting.note>
            <subclause1 id="a608778">
              <identifier>24.1</identifier>
              <para>
                <paratext>The rights and obligations of any Award Holder under the terms of an office or employment with any Group Company or former Group Company shall not be affected by being an Award Holder.</paratext>
              </para>
            </subclause1>
            <subclause1 id="a83996">
              <identifier>24.2</identifier>
              <para>
                <paratext>The value of any benefit realised under the Plan by Award Holders shall not be taken into account in determining any pension or similar entitlements.</paratext>
              </para>
            </subclause1>
            <subclause1 id="a847440">
              <identifier>24.3</identifier>
              <para>
                <paratext>Award Holders and Employees shall have no rights to compensation or damages on account of any loss in respect of Awards or the Plan where this loss arises (or is claimed to arise), in whole or in part, from:</paratext>
              </para>
              <subclause2 id="a258488">
                <identifier>(a)</identifier>
                <para>
                  <paratext>termination of office or employment with; or</paratext>
                </para>
              </subclause2>
              <subclause2 id="a251852">
                <identifier>(b)</identifier>
                <para>
                  <paratext>notice to terminate office or employment given by or to,</paratext>
                </para>
              </subclause2>
              <para>
                <paratext>any Group Company or any former Group Company. This exclusion of liability shall apply however termination of office or employment, or the giving of notice, is caused, and however compensation or damages are claimed.</paratext>
              </para>
            </subclause1>
            <subclause1 id="a940102">
              <identifier>24.4</identifier>
              <para>
                <paratext>Award Holders and Employees shall have no rights to compensation or damages from any Group Company or any former Group Company on account of any loss in respect of Awards or the Plan where this loss arises (or is claimed to arise), in whole or in part, from:</paratext>
              </para>
              <subclause2 id="a907438">
                <identifier>(a)</identifier>
                <para>
                  <paratext>any company ceasing to be a Group Company; or</paratext>
                </para>
              </subclause2>
              <subclause2 id="a576317">
                <identifier>(b)</identifier>
                <para>
                  <paratext>the transfer of any business from a Group Company to any person that is not a Group Company.</paratext>
                </para>
              </subclause2>
              <para>
                <paratext>This exclusion of liability shall apply however the change of status of the relevant Group Company, or the transfer of the relevant business, is caused, and however compensation or damages are claimed.</paratext>
              </para>
            </subclause1>
            <subclause1 id="a199217">
              <identifier>24.5</identifier>
              <para>
                <paratext>An Employee shall not have any right to receive Awards, whether or not the Employee has previously been granted any.</paratext>
              </para>
            </subclause1>
          </clause>
          <clause id="a360067">
            <identifier>25.</identifier>
            <head align="left" preservecase="true">
              <headtext>Notices</headtext>
            </head>
            <drafting.note id="a469711" jurisdiction="">
              <head align="left" preservecase="true">
                <headtext>Notices</headtext>
              </head>
              <division id="a000106" level="1">
                <para>
                  <paratext>Companies must consider carefully how they will make any communications that may be needed under the Plan. It could be quite important to be able to make use of a wide range of methods of communication, including email, if it is likely that there may be:</paratext>
                </para>
                <list type="bulleted">
                  <list.item>
                    <para>
                      <paratext>A large number of Award Holders.</paratext>
                    </para>
                  </list.item>
                  <list.item>
                    <para>
                      <paratext>Award Holders spread over many work or residential locations.</paratext>
                    </para>
                  </list.item>
                  <list.item>
                    <para>
                      <paratext>Highly mobile Award Holders.</paratext>
                    </para>
                  </list.item>
                </list>
              </division>
            </drafting.note>
            <subclause1 id="a87327">
              <identifier>25.1</identifier>
              <para>
                <paratext>
                  Except as maintained in 
                  <internal.reference refid="a594728">rule 25.3</internal.reference>
                  , any notice or other communication given under or in connection with the Plan shall be in writing and shall be:
                </paratext>
              </para>
              <subclause2 id="a534368">
                <identifier>(a)</identifier>
                <para>
                  <paratext>
                    delivered by hand or by prepaid first-class post or other next working day delivery service at the 
                    <defn.term>Appropriate Address</defn.term>
                    ;
                  </paratext>
                </para>
                <para>
                  <paratext>
                    For the purposes of this 
                    <internal.reference refid="a87327">rule 25.1</internal.reference>
                    , the Appropriate Address means:
                  </paratext>
                </para>
                <subclause3 id="a613183">
                  <identifier>(i)</identifier>
                  <para>
                    <paratext>
                      [the Company's registered office 
                      <bold>OR</bold>
                       [OTHER ADDRESS]], provided the notice is marked for the attention of [NAME OF OFFICER];
                    </paratext>
                  </para>
                </subclause3>
                <subclause3 id="a882807">
                  <identifier>(ii)</identifier>
                  <para>
                    <paratext>an Award Holder's home address; and</paratext>
                  </para>
                </subclause3>
                <subclause3 id="a833445">
                  <identifier>(iii)</identifier>
                  <para>
                    <paratext>if the Award Holder has died, and notice of the appointment of personal representatives is given to the Company, any contact address specified in that notice.</paratext>
                  </para>
                </subclause3>
              </subclause2>
              <subclause2 id="a68435">
                <identifier>(b)</identifier>
                <para>
                  <paratext>sent by fax to the fax number notified in writing by the recipient to the sender; or</paratext>
                </para>
              </subclause2>
              <subclause2 id="a1010983">
                <identifier>(c)</identifier>
                <para>
                  <paratext>
                    sent by email to the 
                    <defn.term>Appropriate Email Address</defn.term>
                    .
                  </paratext>
                </para>
                <para>
                  <paratext>
                    For the purposes of this 
                    <internal.reference refid="a87327">rule 25.1</internal.reference>
                    , Appropriate Email Address means:
                  </paratext>
                </para>
                <subclause3 id="a448918">
                  <identifier>(i)</identifier>
                  <para>
                    <paratext>in the case of the Company, [EMAIL ADDRESS]; and</paratext>
                  </para>
                </subclause3>
                <subclause3 id="a342104">
                  <identifier>(ii)</identifier>
                  <para>
                    <paratext>in the case of an Award Holder who is permitted to access personal emails at work, the work email address.</paratext>
                  </para>
                </subclause3>
              </subclause2>
            </subclause1>
            <subclause1 id="a380785">
              <identifier>25.2</identifier>
              <para>
                <paratext>
                  Any notice or other communication given under this 
                  <internal.reference refid="a360067">rule 25</internal.reference>
                   shall be deemed to have been received:
                </paratext>
              </para>
              <subclause2 id="a605092">
                <identifier>(a)</identifier>
                <para>
                  <paratext>if delivered by hand, on signature of a delivery receipt, or at the time the notice is left at the appropriate address;</paratext>
                </para>
              </subclause2>
              <subclause2 id="a666589">
                <identifier>(b)</identifier>
                <para>
                  <paratext>if sent by prepaid first-class post or other next working day delivery service, at [9.00 am] on the [second] Business Day after posting, or at the time recorded by the delivery service;</paratext>
                </para>
              </subclause2>
              <subclause2 id="a950940">
                <identifier>(c)</identifier>
                <para>
                  <paratext>if sent by fax, at [9.00 am] on the next Business Day after transmission; and</paratext>
                </para>
              </subclause2>
              <subclause2 id="a566729">
                <identifier>(d)</identifier>
                <para>
                  <paratext>if sent by email, at [9.00 am] on the next Business Day after sending.</paratext>
                </para>
              </subclause2>
            </subclause1>
            <subclause1 id="a594728">
              <identifier>25.3</identifier>
              <para>
                <paratext>This rule does not apply to:</paratext>
              </para>
              <subclause2 id="a776311">
                <identifier>(a)</identifier>
                <para>
                  <paratext>the service of any Acceptance Notice or Exercise Notice; and</paratext>
                </para>
              </subclause2>
              <subclause2 id="a965983">
                <identifier>(b)</identifier>
                <para>
                  <paratext>the service of any proceedings or other documents in any legal action or, where applicable, any arbitration or other method of dispute resolution.</paratext>
                </para>
              </subclause2>
            </subclause1>
          </clause>
          <clause id="a343464">
            <identifier>26.</identifier>
            <head align="left" preservecase="true">
              <headtext>Administration and amendment</headtext>
            </head>
            <subclause1 id="a909574">
              <identifier>26.1</identifier>
              <para>
                <paratext>The Board shall administer the Plan.</paratext>
              </para>
            </subclause1>
            <subclause1 id="a945663">
              <identifier>26.2</identifier>
              <para>
                <paratext>The Board may amend the Plan from time to time, but:</paratext>
              </para>
              <subclause2 id="a571817">
                <identifier>(a)</identifier>
                <para>
                  <paratext>The Board may not amend the Plan if the amendment:</paratext>
                </para>
                <subclause3 id="a922362">
                  <identifier>(i)</identifier>
                  <para>
                    <paratext>applies to Awards granted before the amendment was made; and</paratext>
                  </para>
                </subclause3>
                <subclause3 id="a172079">
                  <identifier>(ii)</identifier>
                  <para>
                    <paratext>materially adversely affects the interests of Award Holders</paratext>
                  </para>
                </subclause3>
                <para>
                  <paratext>except that an Award Holder whose Awards would be adversely affected may consent to the application of the amendment to those awards.</paratext>
                </para>
                <drafting.note id="a873964" jurisdiction="">
                  <head align="left" preservecase="true">
                    <headtext>Amending existing options</headtext>
                  </head>
                  <division id="a000107" level="1">
                    <para>
                      <paratext>
                        In 
                        <link href="D-102-1802" style="ACTLinkPLCtoPLC">
                          <ital>Daniels v Lloyds Bank Plc [2018] EWHC 660 (Comm) (27 March 2018)</ital>
                        </link>
                        <ital> </ital>
                        the High Court considered whether an amendment to the rules of a plan could have an adverse effect on options already granted before the amendment was made.
                      </paratext>
                    </para>
                    <para>
                      <paratext>The court considered that clear and specific wording was necessary to allow a party to a contract (such as an option) to amend the contract unilaterally to the disadvantage of the other party. Any such wording should be construed narrowly.</paratext>
                    </para>
                    <para>
                      <paratext>
                        For more information, see 
                        <link href="w-014-0044" style="ACTLinkPLCtoPLC">
                          <ital>Legal update, LTIP shares wrongfully withheld because malus clause unlawfully applied (High Court)</ital>
                        </link>
                        .
                      </paratext>
                    </para>
                  </division>
                </drafting.note>
              </subclause2>
              <subclause2 id="a958935">
                <identifier>(b)</identifier>
                <para>
                  <paratext>While Shares are admitted to the Official List maintained by the Financial Conduct Authority, the Board may not make any amendment to the advantage of Award Holders if that amendment relates to:</paratext>
                </para>
                <subclause3 id="a157352">
                  <identifier>(i)</identifier>
                  <para>
                    <paratext>the definition of Employee;</paratext>
                  </para>
                </subclause3>
                <subclause3 id="a487613">
                  <identifier>(ii)</identifier>
                  <para>
                    <paratext>
                      <internal.reference refid="a272740">rule 5</internal.reference>
                       or 
                      <internal.reference refid="a341102">rule 6</internal.reference>
                      ; or
                    </paratext>
                  </para>
                </subclause3>
                <subclause3 id="a149855">
                  <identifier>(iii)</identifier>
                  <para>
                    <paratext>
                      <internal.reference refid="a129837">rule 22</internal.reference>
                    </paratext>
                  </para>
                </subclause3>
                <para>
                  <paratext>without the prior approval of the Company in general meeting (except for minor amendments to benefit the administration of the Plan, to take account of a change in legislation, or to obtain or maintain favourable tax, exchange control or regulatory treatment for Award Holders or for a Group Company).</paratext>
                </para>
                <drafting.note id="a477802" jurisdiction="">
                  <head align="left" preservecase="true">
                    <headtext>Amending the Plan: shareholder approval</headtext>
                  </head>
                  <division id="a000108" level="1">
                    <para>
                      <paratext>This rule reflects the requirements of the LR.</paratext>
                    </para>
                  </division>
                </drafting.note>
              </subclause2>
            </subclause1>
            <subclause1 id="a219333">
              <identifier>26.3</identifier>
              <para>
                <paratext>The cost of establishing and operating the Plan shall be borne by the Group Companies in proportions determined by the Board.</paratext>
              </para>
            </subclause1>
            <subclause1 id="a967430">
              <identifier>26.4</identifier>
              <para>
                <paratext>
                  Any decision under 
                  <internal.reference refid="a714948">rule 10</internal.reference>
                  , 
                  <internal.reference refid="a391918">rule 11</internal.reference>
                  , 
                  <internal.reference refid="a527041">rule 18.5</internal.reference>
                   or 
                  <internal.reference refid="a207110">rule 19.5</internal.reference>
                  , and whether to consider making such a decision, shall be entirely at the discretion of the Board.
                </paratext>
              </para>
            </subclause1>
            <subclause1 id="a164018">
              <identifier>26.5</identifier>
              <para>
                <paratext>The Board shall determine any question of interpretation and settle any dispute arising under the Plan, including determining whether anything is material. In these matters, the Board's decision shall be final.</paratext>
              </para>
            </subclause1>
            <subclause1 id="a641316">
              <identifier>26.6</identifier>
              <para>
                <paratext>In making any decision or determination, or exercising any discretion under the rules, the Board shall act fairly and reasonably and in good faith.</paratext>
              </para>
            </subclause1>
            <subclause1 id="a809397">
              <identifier>26.7</identifier>
              <para>
                <paratext>The Company shall not be obliged to notify any Award Holder:</paratext>
              </para>
              <subclause2 id="a467111">
                <identifier>(a)</identifier>
                <para>
                  <paratext>if an Option is due to lapse; or</paratext>
                </para>
              </subclause2>
              <subclause2 id="a537835">
                <identifier>(b)</identifier>
                <para>
                  <paratext>when an Option is due to, or has, become exercisable.</paratext>
                </para>
              </subclause2>
            </subclause1>
            <subclause1 id="a323348">
              <identifier>26.8</identifier>
              <para>
                <paratext>The Company shall not be obliged to provide Award Holders with copies of any materials sent to the holders of Shares.</paratext>
              </para>
            </subclause1>
            <subclause1 id="a591241">
              <identifier>26.9</identifier>
              <para>
                <paratext>The Board may establish sub-plans to operate in overseas territories (overseas sub-plans), provided that:</paratext>
              </para>
              <subclause2 id="a431021">
                <identifier>(a)</identifier>
                <para>
                  <paratext>
                    all overseas sub-plans are subject to the limitations set out in 
                    <internal.reference refid="a272740">rule 5</internal.reference>
                     and 
                    <internal.reference refid="a341102">rule 6</internal.reference>
                    ;
                  </paratext>
                </para>
              </subclause2>
              <subclause2 id="a911681">
                <identifier>(b)</identifier>
                <para>
                  <paratext>only Employees who are resident in (or otherwise subject to the tax laws of) the relevant territory are entitled to participate in any overseas sub-plan;</paratext>
                </para>
              </subclause2>
              <subclause2 id="a204123">
                <identifier>(c)</identifier>
                <para>
                  <paratext>no Employee has an entitlement to awards under any overseas sub-plan greater than the maximum entitlement of an Employee under the Plan.</paratext>
                </para>
              </subclause2>
              <para>
                <paratext>Any overseas sub-plan must be governed by rules similar to the rules of the Plan, but modified to take account of applicable tax, social security, employment, company, exchange control, trust or securities (or any other relevant) law, regulation or practice.</paratext>
              </para>
            </subclause1>
          </clause>
          <clause id="a865806">
            <identifier>27.</identifier>
            <head align="left" preservecase="true">
              <headtext>Third party rights</headtext>
            </head>
            <drafting.note id="a431917" jurisdiction="">
              <head align="left" preservecase="true">
                <headtext>Third party rights</headtext>
              </head>
              <division id="a000109" level="1">
                <para>
                  <paratext>
                    This is a third party rights rule drafted specifically for use in employee share plans. This rule must take into account that options and awards under share plans may be granted by a person other than the company that set up the plan or the company that employs the recipient of the option or award. Therefore, this 
                    <internal.reference refid="a865806">rule 27</internal.reference>
                     differs from Practical Law's standard third party rights rule in our boilerplate agreement (see 
                    <link href="9-107-3656#a66655" style="ACTLinkPLCtoPLC">
                      <ital>Standard document, Boilerplate agreement: clause 38</ital>
                    </link>
                    ).
                  </paratext>
                </para>
                <para>
                  <paratext>
                    The Plan includes certain protections for an Award Holder's employer, which may be another Group Company rather than the Company itself. As a result, 
                    <internal.reference refid="a94160">rule 27.1</internal.reference>
                     carves out employer's rights under the Plan from the third party rights exclusion rule.
                  </paratext>
                </para>
                <para>
                  <paratext>
                    You may need to add to this 
                    <internal.reference refid="a94160">rule 27.1</internal.reference>
                    , if any other person who may not be a party to a particular Award has rights under any rule of the Plan.
                  </paratext>
                </para>
                <para>
                  <paratext>
                    For more information, see 
                    <link href="0-619-0414" style="ACTLinkPLCtoPLC">
                      <ital>Practice note, Third party rights in employee share schemes</ital>
                    </link>
                    .
                  </paratext>
                </para>
              </division>
            </drafting.note>
            <subclause1 id="a94160">
              <identifier>27.1</identifier>
              <para>
                <paratext>A person who is not a party to an Award shall not have any rights under or in connection with it as a result of the Contracts (Rights of Third Parties) Act 1999 except where these rights arise under any rule of the Plan for any Employer Company that is not a party to an Award.</paratext>
              </para>
              <para>
                <paratext>This does not affect any right or remedy of a third party that exists, or is available, apart from the Contracts (Rights of Third Parties) Act 1999.</paratext>
              </para>
            </subclause1>
            <subclause1 id="a929894">
              <identifier>27.2</identifier>
              <para>
                <paratext>The rights of the parties to an Award to surrender, terminate or rescind it, or agree any variation, waiver or settlement of it, are not subject to the consent of any person that is not a party to the Award as a result of the Contracts (Rights of Third Parties) Act 1999.</paratext>
              </para>
            </subclause1>
          </clause>
          <clause id="a363784">
            <identifier>28.</identifier>
            <head align="left" preservecase="true">
              <headtext>Data protection</headtext>
            </head>
            <drafting.note id="a754673" jurisdiction="">
              <head align="left" preservecase="true">
                <headtext>Data protection</headtext>
              </head>
              <division id="a000110" level="1">
                <para>
                  <paratext>
                    This rule is compliant with the 
                    <link href="w-026-8528" style="ACTLinkPLCtoPLC">
                      <ital>UK GDPR</ital>
                    </link>
                    . This is 
                    <link href="https://uk.practicallaw.thomsonreuters.com/w-019-6282?originationContext=document&amp;amp;transitionType=DocumentItem&amp;amp;contextData=(sc.Default)" style="ACTLinkURL">
                      <ital>retained EU law</ital>
                    </link>
                     which will remain in force at the end of the transition period following the UK's exit from the EU, as a result of the EUWA 2018.
                  </paratext>
                </para>
                <para>
                  <paratext>Under the UK GDPR, the data controller must clearly explain to the data subject in a privacy notice the nature and purpose of the processing activities it undertakes in relation to the data subject's personal data.</paratext>
                </para>
                <para>
                  <paratext>
                    The privacy notice should contain information relating to processing personal data for share plans purposes. For an example which includes share plans processing wording, see 
                    <link href="w-011-4217" style="ACTLinkPLCtoPLC">
                      <ital>Standard document, UK GDPR Privacy notice for employees, workers and contractors</ital>
                    </link>
                    .
                  </paratext>
                </para>
                <para>
                  <paratext>Consent under the UK GDPR must be freely given, for specific purposes and be freely withdrawable at any time. As a result, companies should not rely on consent for processing employees' personal data for share plans purposes.</paratext>
                </para>
                <para>
                  <paratext>
                    For more information, see 
                    <link href="w-026-2740" style="ACTLinkPLCtoPLC">
                      <ital>Practice note, Brexit post-transition period: data protection (UK)</ital>
                    </link>
                    .
                  </paratext>
                </para>
              </division>
            </drafting.note>
            <subclause1 id="a429757">
              <para>
                <paratext>For the purpose of operating the Plan, the Company will collect and process information relating to Employees and Award Holders in accordance with the privacy notice which is [on the Company intranet OR [SPECIFY WHERE AVAILABLE]].</paratext>
              </para>
            </subclause1>
          </clause>
          <clause id="a595944">
            <identifier>29.</identifier>
            <head align="left" preservecase="true">
              <headtext>Governing law</headtext>
            </head>
            <drafting.note id="a195200" jurisdiction="">
              <head align="left" preservecase="true">
                <headtext>Governing law</headtext>
              </head>
              <division id="a000111" level="1">
                <para>
                  <paratext>For information on governing law clauses, see:</paratext>
                </para>
                <list type="bulleted">
                  <list.item>
                    <para>
                      <paratext>
                        <link href="4-107-3852" style="ACTLinkPLCtoPLC">
                          <ital>Practice note, Governing law and jurisdiction clauses</ital>
                        </link>
                        .
                      </paratext>
                    </para>
                  </list.item>
                  <list.item>
                    <para>
                      <paratext>
                        <link href="8-107-3850" style="ACTLinkPLCtoPLC">
                          <ital>Standard clause, Governing law</ital>
                        </link>
                        .
                      </paratext>
                    </para>
                  </list.item>
                </list>
              </division>
            </drafting.note>
            <subclause1 id="a835719">
              <para>
                <paratext>The Plan and any dispute or claim arising out of or in connection with it or its subject matter or formation (including non-contractual disputes or claims) shall be governed by and construed in accordance with the law of England and Wales.</paratext>
              </para>
            </subclause1>
          </clause>
          <clause id="a610420">
            <identifier>30.</identifier>
            <head align="left" preservecase="true">
              <headtext>Jurisdiction</headtext>
            </head>
            <drafting.note id="a199245" jurisdiction="">
              <head align="left" preservecase="true">
                <headtext>Jurisdiction</headtext>
              </head>
              <division id="a000112" level="1">
                <para>
                  <paratext>For information on jurisdiction clauses, see:</paratext>
                </para>
                <list type="bulleted">
                  <list.item>
                    <para>
                      <paratext>
                        <link href="4-107-3852" style="ACTLinkPLCtoPLC">
                          <ital>Practice note, Governing law and jurisdiction clauses</ital>
                        </link>
                        .
                      </paratext>
                    </para>
                  </list.item>
                  <list.item>
                    <para>
                      <paratext>
                        <link href="9-522-6848" style="ACTLinkPLCtoPLC">
                          <ital>Standard clause, Jurisdiction</ital>
                        </link>
                        .
                      </paratext>
                    </para>
                  </list.item>
                </list>
              </division>
            </drafting.note>
            <subclause1 id="a1005629">
              <identifier>30.1</identifier>
              <para>
                <paratext>Each party irrevocably agrees that the courts of England and Wales shall have exclusive jurisdiction to settle any dispute or claim arising out of or in connection with the Plan or its subject matter or formation (including non-contractual disputes or claims).</paratext>
              </para>
            </subclause1>
            <subclause1 id="a820002">
              <identifier>30.2</identifier>
              <para>
                <paratext>
                  Each party irrevocably consents to any process in any legal action or proceedings under 
                  <internal.reference refid="a1005629">rule 30.1</internal.reference>
                   being served on it in accordance with the provisions of the Plan relating to service of notices. Nothing contained in the Plan shall affect the right to serve process in any other manner permitted by law.
                </paratext>
              </para>
            </subclause1>
          </clause>
        </operative>
        <disclosure.schedule>
          <schedule id="a426489">
            <identifier>Schedule 1</identifier>
            <head align="left" preservecase="true">
              <headtext>The CSOP sub-plan</headtext>
            </head>
            <drafting.note id="a902091" jurisdiction="">
              <head align="left" preservecase="true">
                <headtext>CSOP sub-plan</headtext>
              </head>
              <division id="a000113" level="1">
                <para>
                  <paratext>A CSOP is a form of tax-advantaged share option plan. It enables the company to grant options where the employee has the opportunity to exercise the option without an income tax liability.</paratext>
                </para>
                <para>
                  <paratext>Options granted under the CSOP sub-plan should qualify as CSOP options.</paratext>
                </para>
                <para>
                  <paratext>
                    The legislation that governs CSOPs is called the CSOP code (see 
                    <link href="1-503-4424#a83152" style="ACTLinkPLCtoPLC">
                      <ital>Practice note, Practical Law Share Schemes &amp; Incentives jargon buster: types of share incentive arrangement and tax terminology: CSOP code</ital>
                    </link>
                    ).
                  </paratext>
                </para>
                <para>
                  <paratext>
                    For more information on CSOPs, see 
                    <link href="1-580-2966" style="ACTLinkPLCtoPLC">
                      <ital>Practice note, Company share option plans (CSOPs): overview</ital>
                    </link>
                    .
                  </paratext>
                </para>
              </division>
            </drafting.note>
            <clause id="a712040">
              <identifier>1.</identifier>
              <head align="left" preservecase="true">
                <headtext>Interpretation</headtext>
              </head>
              <drafting.note id="a428068" jurisdiction="">
                <head align="left" preservecase="true">
                  <headtext>Interpretation</headtext>
                </head>
                <division id="a000114" level="1">
                  <para>
                    <paratext>
                      <internal.reference refid="a712040">paragraph 1</internal.reference>
                       sets out various definitions from the CSOP code that are necessary for operation of the CSOP sub-plan.
                    </paratext>
                  </para>
                </division>
              </drafting.note>
              <subclause1 id="a765447">
                <para>
                  <paratext>The following definitions apply in the CSOP sub-plan</paratext>
                </para>
                <defn.item id="a806391">
                  <defn.term>Acquiring Company</defn.term>
                  <defn>
                    <para>
                      <paratext>has the same meaning as in paragraph 26(2) of Schedule 4.</paratext>
                    </para>
                  </defn>
                </defn.item>
                <defn.item id="a911321">
                  <defn.term>Associate</defn.term>
                  <defn>
                    <para>
                      <paratext>has the same meaning as in paragraph 12 of Schedule 4.</paratext>
                    </para>
                  </defn>
                </defn.item>
                <defn.item id="a150700">
                  <defn.term>Associated Company</defn.term>
                  <defn>
                    <para>
                      <paratext>has the same meaning as in paragraph 35 of Schedule 4.</paratext>
                    </para>
                  </defn>
                </defn.item>
                <defn.item id="a805049">
                  <defn.term>Company Reorganisation</defn.term>
                  <defn>
                    <para>
                      <paratext>has the same meaning as in paragraph 26 of Schedule 4.</paratext>
                    </para>
                  </defn>
                </defn.item>
                <defn.item id="a155898">
                  <defn.term>Constituent Company</defn.term>
                  <defn>
                    <para>
                      <paratext>any Subsidiary which the Company Controls and which the Board may from time to time decide that the Plan shall extend to.</paratext>
                    </para>
                  </defn>
                </defn.item>
                <defn.item id="a890716">
                  <defn.term>CSOP sub-plan</defn.term>
                  <defn>
                    <para>
                      <paratext>
                        the Plan as varied in accordance with 
                        <internal.reference refid="a426489">Schedule 1</internal.reference>
                        .
                      </paratext>
                    </para>
                  </defn>
                </defn.item>
                <defn.item id="a450513">
                  <defn.term>Eligible Employee</defn.term>
                  <defn>
                    <para>
                      <paratext>any Employee who:</paratext>
                    </para>
                    <list type="loweralpha">
                      <list.item>
                        <para>
                          <paratext>does not have a Material Interest (either alone or together with one or more Associates), and has not had such an interest in the last 12 months; and</paratext>
                        </para>
                      </list.item>
                      <list.item>
                        <para>
                          <paratext>has no Associate or Associates that has or (taken together) have a Material Interest, or had such an interest in the last 12 months; and</paratext>
                        </para>
                      </list.item>
                      <list.item>
                        <para>
                          <paratext>is either:</paratext>
                        </para>
                      </list.item>
                    </list>
                    <para>
                      <paratext>(i)  not a director of any Constituent Company; or</paratext>
                    </para>
                    <para>
                      <paratext>(ii)  a director of a Constituent Company who is required to devote at least 25 hours per week (excluding meal breaks) to those duties.</paratext>
                    </para>
                  </defn>
                </defn.item>
                <defn.item id="a284670">
                  <defn.term>Existing CSOP Option</defn.term>
                  <defn>
                    <para>
                      <paratext>a CSOP Option or an option granted under any other Schedule 4 CSOP scheme that has been established by the Company or any of its Associated Companies.</paratext>
                    </para>
                  </defn>
                </defn.item>
                <defn.item id="a969258">
                  <defn.term>Market Value</defn.term>
                  <defn>
                    <para>
                      <paratext>
                        has the same meaning as in paragraph (a) or paragraph (d) of the definition of 
                        <internal.reference refid="a885893">Market Value</internal.reference>
                         in 
                        <internal.reference refid="a336895">rule 1.1</internal.reference>
                         as the case may be, save that if the Shares are subject to a Relevant Restriction, Market Value is to be determined as if they were not subject to that Relevant Restriction.
                      </paratext>
                    </para>
                  </defn>
                </defn.item>
                <defn.item id="a383233">
                  <defn.term>Material Interest</defn.term>
                  <defn>
                    <para>
                      <paratext>has the same meaning as in paragraph 9 of Schedule 4.</paratext>
                    </para>
                  </defn>
                </defn.item>
                <defn.item id="a834766">
                  <defn.term>Non-UK Reorganisation Arrangement</defn.term>
                  <defn>
                    <para>
                      <paratext>has the same meaning as in paragraph 35ZA of Schedule 4.</paratext>
                    </para>
                  </defn>
                </defn.item>
                <defn.item id="a807457">
                  <defn.term>Relevant Restriction</defn.term>
                  <defn>
                    <para>
                      <paratext>a provision contained in any contract, agreement, arrangement or condition (including the articles of association of the Company) to which any of section 423(2), section 423(3) and section 423(4) of ITEPA 2003 would apply if references in them to employment-related securities were references to Shares.</paratext>
                    </para>
                  </defn>
                </defn.item>
                <defn.item id="a988991">
                  <defn.term>Schedule 4</defn.term>
                  <defn>
                    <para>
                      <paratext>Schedule 4 to ITEPA 2003.</paratext>
                    </para>
                  </defn>
                </defn.item>
                <defn.item id="a709580">
                  <defn.term>Schedule 4 CSOP scheme</defn.term>
                  <defn>
                    <para>
                      <paratext>has the same meaning as in paragraph 1(A1) of Schedule 4.</paratext>
                    </para>
                  </defn>
                </defn.item>
              </subclause1>
            </clause>
            <clause id="a967191">
              <identifier>2.</identifier>
              <head align="left" preservecase="true">
                <headtext>Plan takes effect as a Schedule 4 CSOP scheme</headtext>
              </head>
              <drafting.note id="a426598" jurisdiction="">
                <head align="left" preservecase="true">
                  <headtext>Plan takes effect as a Schedule 4 CSOP scheme</headtext>
                </head>
                <division id="a000115" level="1">
                  <para>
                    <paratext>
                      <internal.reference refid="a967191">paragraph 2</internal.reference>
                       states that the CSOP sub-plan is intended to be a Schedule 4 CSOP scheme. All the rules set out in the main Plan apply also to options granted under the CSOP sub-plan, except where they are varied by 
                      <internal.reference refid="a426489">Schedule 1</internal.reference>
                      .
                    </paratext>
                  </para>
                  <para>
                    <paratext>
                      The Company must give notice of the CSOP sub-plan to HMRC. This is sometimes referred to as "registering" the scheme. (See 
                      <link href="7-603-1105" style="ACTLinkPLCtoPLC">
                        <ital>Practice note, Tax-advantaged share schemes (CSOP, SIP and SAYE) compliance: notification (self-certification) and annual reporting</ital>
                      </link>
                      .)
                    </paratext>
                  </para>
                </division>
              </drafting.note>
              <subclause1 id="a345083">
                <identifier>2.1</identifier>
                <para>
                  <paratext>
                    <internal.reference refid="a426489">Schedule 1</internal.reference>
                     specifies variations to the Plan and the way it is operated. The Plan as so varied is referred as the CSOP sub-plan. It takes effect as a Schedule 4 CSOP scheme.
                  </paratext>
                </para>
              </subclause1>
              <subclause1 id="a1001387">
                <identifier>2.2</identifier>
                <para>
                  <paratext>The Company shall give notice of the CSOP sub-plan to HMRC in accordance with paragraph 28A of Schedule 4.</paratext>
                </para>
              </subclause1>
            </clause>
            <clause id="a336554">
              <identifier>3.</identifier>
              <head align="left" preservecase="true">
                <headtext>General requirements</headtext>
              </head>
              <drafting.note id="a636179" jurisdiction="">
                <head align="left" preservecase="true">
                  <headtext>General requirements</headtext>
                </head>
                <division id="a000116" level="1">
                  <para>
                    <paratext>
                      <internal.reference refid="a336554">paragraph 3</internal.reference>
                       contains the requirements for CSOP Options that are set out in Parts 2, 3 and 4 of Schedule 4. For more information on these requirements, see 
                      <link href="8-580-3552" style="ACTLinkPLCtoPLC">
                        <ital>Practice note, Company share option plans (CSOPs): statutory requirements for setting up and operating a CSOP</ital>
                      </link>
                      . In particular, no Award Holder may hold unexercised CSOP Options over Shares with a Market Value, measured at the Grant Date, of more than £30,000.
                    </paratext>
                  </para>
                </division>
              </drafting.note>
              <subclause1 id="a65476">
                <identifier>3.1</identifier>
                <para>
                  <paratext>Only Market Value Options may be granted under the CSOP Sub-Plan.</paratext>
                </para>
              </subclause1>
              <subclause1 id="a144290">
                <identifier>3.2</identifier>
                <para>
                  <paratext>
                    <internal.reference refid="a309757">rule 16</internal.reference>
                     shall not apply to CSOP Options.
                  </paratext>
                </para>
              </subclause1>
              <subclause1 id="a642267">
                <identifier>3.3</identifier>
                <para>
                  <paratext>The Company may grant a CSOP Option only to a person who at the Grant Date is an Eligible Employee.</paratext>
                </para>
              </subclause1>
              <subclause1 id="a413914">
                <identifier>3.4</identifier>
                <para>
                  <paratext>The Company may grant a CSOP Option only over Shares that meet the requirements of paragraphs 16 to 18 and paragraph 20 of Schedule 4.</paratext>
                </para>
              </subclause1>
              <subclause1 id="a364553">
                <identifier>3.5</identifier>
                <para>
                  <paratext>
                    If the grant of any share option intended to be a CSOP Option (referred to in this 
                    <internal.reference refid="a364553">paragraph 3.5</internal.reference>
                     as the 
                    <defn.term>Excess Option</defn.term>
                    ) would cause the total Market Value of shares subject to:
                  </paratext>
                </para>
                <subclause2 id="a247058">
                  <identifier>(a)</identifier>
                  <para>
                    <paratext>the Excess Option; and</paratext>
                  </para>
                </subclause2>
                <subclause2 id="a599542">
                  <identifier>(b)</identifier>
                  <para>
                    <paratext>all Existing CSOP Options held by the relevant Eligible Employee</paratext>
                  </para>
                </subclause2>
                <para>
                  <paratext>to exceed £30,000 (or any other amount specified in paragraph 6 of Schedule 4 at the relevant time), the whole of that Excess Option shall take effect as a Market Value Option granted outside the CSOP sub-plan and without the tax advantages available for CSOP Options.</paratext>
                </para>
              </subclause1>
              <subclause1 id="a542090">
                <identifier>3.6</identifier>
                <para>
                  <paratext>
                    References to Market Value in 
                    <internal.reference refid="a364553">paragraph 3.5</internal.reference>
                     are to the Market Value on the date on which the relevant option was granted.
                  </paratext>
                </para>
              </subclause1>
            </clause>
            <clause id="a980024">
              <identifier>4.</identifier>
              <head align="left" preservecase="true">
                <headtext>Requirements relating to Options</headtext>
              </head>
              <drafting.note id="a725675" jurisdiction="">
                <head align="left" preservecase="true">
                  <headtext>Requirements relating to Options</headtext>
                </head>
                <division id="a000117" level="1">
                  <para>
                    <paratext>
                      <internal.reference refid="a980024">paragraph 4</internal.reference>
                       contains the requirements for CSOP Options that are set out in 
                      <link href="6-573-1387" style="ACTLinkPLCtoPLC">
                        <ital>paragraphs 21A to 25</ital>
                      </link>
                       of Schedule 4. For more information on these requirements, see 
                      <link href="8-580-3552" style="ACTLinkPLCtoPLC">
                        <ital>Practice note, Company share option plans (CSOPs): statutory requirements for setting up and operating a CSOP</ital>
                      </link>
                      .
                    </paratext>
                  </para>
                </division>
              </drafting.note>
              <subclause1 id="a400642">
                <identifier>4.1</identifier>
                <para>
                  <paratext>
                    In addition to the matters required by 
                    <internal.reference refid="a959101">rule 2.4</internal.reference>
                    , an Award Certificate relating to a CSOP Option shall state:
                  </paratext>
                </para>
                <subclause2 id="a873211">
                  <identifier>(a)</identifier>
                  <para>
                    <paratext>that the CSOP Option is granted under the provisions of Schedule 4;</paratext>
                  </para>
                </subclause2>
                <subclause2 id="a986661">
                  <identifier>(b)</identifier>
                  <para>
                    <paratext>the times at which the CSOP Option may be exercised (in whole or in part); and</paratext>
                  </para>
                </subclause2>
                <subclause2 id="a911891">
                  <identifier>(c)</identifier>
                  <para>
                    <paratext>the circumstances under which the CSOP Option will lapse or be cancelled (in whole or in part).</paratext>
                  </para>
                </subclause2>
              </subclause1>
              <subclause1 id="a136200">
                <identifier>4.2</identifier>
                <para>
                  <paratext>The Exercise Price of a CSOP Option shall not be less than the Market Value of a Share on the Grant Date.</paratext>
                </para>
              </subclause1>
              <subclause1 id="a197697">
                <identifier>4.3</identifier>
                <para>
                  <paratext>
                    <internal.reference refid="a129837">rule 22</internal.reference>
                     shall apply to CSOP Options with the following variations:
                  </paratext>
                </para>
                <subclause2 id="a482048">
                  <identifier>(a)</identifier>
                  <para>
                    <paratext>the payment by the Company of a special dividend, or a demerger of a Group Company, or any other extraordinary distribution to shareholders is not an event that permits the Board to adjust a CSOP Option;</paratext>
                  </para>
                </subclause2>
                <subclause2 id="a137176">
                  <identifier>(b)</identifier>
                  <para>
                    <paratext>
                      <internal.reference refid="a919478">rule 22.3</internal.reference>
                       shall not apply to CSOP Options;
                    </paratext>
                  </para>
                </subclause2>
                <subclause2 id="a894574">
                  <identifier>(c)</identifier>
                  <para>
                    <paratext>the Board may adjust the Exercise Price only in accordance with the provisions of paragraph 22 of Schedule 4;</paratext>
                  </para>
                </subclause2>
                <subclause2 id="a922573">
                  <identifier>(d)</identifier>
                  <para>
                    <paratext>the Board may adjust the number of Shares only in accordance with either paragraph 22 of Schedule 4 or a mechanism notified to the Award Holder on the Grant Date;</paratext>
                  </para>
                </subclause2>
                <subclause2 id="a104156">
                  <identifier>(e)</identifier>
                  <para>
                    <paratext>the total Market Value of the Shares subject to the CSOP Option, immediately after the variation of share capital, must be substantially the same as immediately before the variation of share capital; and</paratext>
                  </para>
                </subclause2>
                <subclause2 id="a293829">
                  <identifier>(f)</identifier>
                  <para>
                    <paratext>the total amount payable on exercise of a CSOP Option immediately after the variation of share Capital must be substantially the same as immediately before the variation of share capital.</paratext>
                  </para>
                </subclause2>
              </subclause1>
              <subclause1 id="a193652">
                <identifier>4.4</identifier>
                <para>
                  <paratext>The personal representatives of an Award Holder who dies may under no circumstances exercise a CSOP Option more than 12 months after the Award Holder's death.</paratext>
                </para>
              </subclause1>
            </clause>
            <clause id="a759762">
              <identifier>5.</identifier>
              <head align="left" preservecase="true">
                <headtext>Change of Control</headtext>
              </head>
              <drafting.note id="a593454" jurisdiction="">
                <head align="left" preservecase="true">
                  <headtext>Change of Control</headtext>
                </head>
                <division id="a000118" level="1">
                  <para>
                    <paratext>
                      <internal.reference refid="a759762">paragraph 5</internal.reference>
                       gives effect to the requirements of 
                      <link href="0-535-5991" style="ACTLinkPLCtoPLC">
                        <ital>paragraph 25A</ital>
                      </link>
                       of Schedule 4. This sets out the terms on which an Award Holder can exercise a CSOP Option following a change of Control and retain the tax advantages. For more information, see 
                      <link href="8-580-3552#a252293" style="ACTLinkPLCtoPLC">
                        <ital>Practice note, Company share option plans (CSOPs): statutory requirements for setting up and operating a CSOP: Corporate events</ital>
                      </link>
                      <ital>.</ital>
                    </paratext>
                  </para>
                </division>
              </drafting.note>
              <subclause1 id="a61431">
                <identifier>5.1</identifier>
                <para>
                  <paratext>
                    <internal.reference refid="a1037750">rule 20</internal.reference>
                     is varied to the extent necessary to give effect to the following provisions of 
                    <internal.reference refid="a759762">paragraph 5</internal.reference>
                    .
                  </paratext>
                </para>
              </subclause1>
              <subclause1 id="a422005">
                <identifier>5.2</identifier>
                <para>
                  <paratext>An Award Holder may exercise a CSOP Option in relation to the Releasable Number of Shares if the Acquiror obtains Control of the Company as a result of making an offer falling within paragraph 25A(3) of Schedule 4. The period within which the Award Holder may exercise the CSOP Option shall begin when any condition subject to which the offer is made has been satisfied and shall end on the first to expire of:</paratext>
                </para>
                <subclause2 id="a809123">
                  <identifier>(a)</identifier>
                  <para>
                    <paratext>six months; or</paratext>
                  </para>
                </subclause2>
                <subclause2 id="a178925">
                  <identifier>(b)</identifier>
                  <para>
                    <paratext>if, as a result of the change of Control, Shares no longer satisfy the requirements of Part 4 of Schedule 4, 20 days.</paratext>
                  </para>
                </subclause2>
                <para>
                  <paratext>The CSOP Option shall lapse at the end of that period.</paratext>
                </para>
              </subclause1>
              <subclause1 id="a69521">
                <identifier>5.3</identifier>
                <para>
                  <paratext>An Award Holder may exercise a CSOP Option in relation to the Releasable Number of Shares if the court sanctions a compromise or arrangement under either section 899 or section 901F of the Companies Act 2006 that is applicable to or affects:</paratext>
                </para>
                <subclause2 id="a866575">
                  <identifier>(a)</identifier>
                  <para>
                    <paratext>all the ordinary share capital of the Company or all the Shares of the same class as the Shares to which the CSOP Option relates; or</paratext>
                  </para>
                </subclause2>
                <subclause2 id="a475411">
                  <identifier>(b)</identifier>
                  <para>
                    <paratext>all the Shares, or all the Shares of that same class, which are held by a class of shareholders identified otherwise than by reference to their employment or directorships or their participation in a Schedule 4 CSOP scheme.</paratext>
                  </para>
                </subclause2>
                <para>
                  <paratext>The period within which the Award Holder may exercise the CSOP Option shall begin on the date of the court sanction and shall end on the first to expire of:</paratext>
                </para>
                <subclause2 id="a648904">
                  <identifier>(c)</identifier>
                  <para>
                    <paratext>six months; or</paratext>
                  </para>
                </subclause2>
                <subclause2 id="a659585">
                  <identifier>(d)</identifier>
                  <para>
                    <paratext>if the Acquiror obtains Control as a result of the compromise or arrangement, and consequently Shares no longer satisfy the requirements of Part 4 of Schedule 4, 20 days.</paratext>
                  </para>
                </subclause2>
                <para>
                  <paratext>The CSOP Option shall lapse at the end of that period.</paratext>
                </para>
              </subclause1>
              <subclause1 id="a627541">
                <identifier>5.4</identifier>
                <para>
                  <paratext>An Award Holder may exercise a CSOP Option in relation to the Releasable Number of Shares if shareholders become bound by a Non-UK Reorganisation Arrangement that is applicable to or affects:</paratext>
                </para>
                <subclause2 id="a723673">
                  <identifier>(a)</identifier>
                  <para>
                    <paratext>all the ordinary share capital of the Company or all the Shares of the same class as the Shares to which the Option relates; or</paratext>
                  </para>
                </subclause2>
                <subclause2 id="a435277">
                  <identifier>(b)</identifier>
                  <para>
                    <paratext>all the Shares, or all the Shares of that same class, which are held by a class of shareholders identified otherwise than by reference to their employment or directorships or their participation in a Schedule 4 CSOP scheme.</paratext>
                  </para>
                </subclause2>
                <para>
                  <paratext>The period within which the Award Holder may exercise the CSOP Option shall begin on the date the non-UK reorganisation arrangement becomes binding on shareholders and shall end on the first to expire of:</paratext>
                </para>
                <subclause2 id="a300465">
                  <identifier>(c)</identifier>
                  <para>
                    <paratext>six months; or</paratext>
                  </para>
                </subclause2>
                <subclause2 id="a439322">
                  <identifier>(d)</identifier>
                  <para>
                    <paratext>if the Acquiror obtains Control as a result of the non-UK reorganisation arrangement, and consequently Shares no longer satisfy the requirements of Part 4 of Schedule 4, 20 days.</paratext>
                  </para>
                </subclause2>
                <para>
                  <paratext>The CSOP Option shall lapse at the end of that period.</paratext>
                </para>
              </subclause1>
              <subclause1 id="a1022750">
                <identifier>5.5</identifier>
                <para>
                  <paratext>If a person who is bound or entitled to acquire Shares under sections 979 to 982 or 983 to 985 of the Companies Act 2006 obtains Control of the Company, and consequently Shares no longer satisfy the requirements of Part 4 of Schedule 4, Award Holders may exercise CSOP Options within the period of 20 days following the change of Control. If a CSOP Option is not exercised, it will lapse at the expiry of 20 days following the change of Control or, if earlier, the end of the period during which the person is so bound or entitled.</paratext>
                </para>
              </subclause1>
              <subclause1 id="a272466">
                <identifier>5.6</identifier>
                <para>
                  <paratext>
                    If the Board reasonably expects any of the events referred to in 
                    <internal.reference refid="a422005">paragraph 5.2</internal.reference>
                     to 
                    <internal.reference refid="a1022750">paragraph 5.5</internal.reference>
                     to occur, the Board may make arrangements permitting Award Holders to exercise CSOP Options during a period of 20 days ending with:
                  </paratext>
                </para>
                <subclause2 id="a257740">
                  <identifier>(a)</identifier>
                  <para>
                    <paratext>
                      in relation to 
                      <internal.reference refid="a422005">paragraph 5.2</internal.reference>
                      , the date on which the Acquiror obtains Control and any condition subject to which the offer is made has been satisfied;
                    </paratext>
                  </para>
                </subclause2>
                <subclause2 id="a567498">
                  <identifier>(b)</identifier>
                  <para>
                    <paratext>
                      in relation to 
                      <internal.reference refid="a69521">paragraph 5.3</internal.reference>
                      , the date of the court sanction;
                    </paratext>
                  </para>
                </subclause2>
                <subclause2 id="a638222">
                  <identifier>(c)</identifier>
                  <para>
                    <paratext>
                      in relation to 
                      <internal.reference refid="a627541">paragraph 5.4</internal.reference>
                      , the date the Non-UK Reorganisation Arrangement becomes binding on shareholders; and
                    </paratext>
                  </para>
                </subclause2>
                <subclause2 id="a691629">
                  <identifier>(d)</identifier>
                  <para>
                    <paratext>
                      in relation to 
                      <internal.reference refid="a1022750">paragraph 5.5</internal.reference>
                      , the date on which the person becomes bound or entitled to acquire Shares.
                    </paratext>
                  </para>
                </subclause2>
                <para>
                  <paratext>
                    An Award Holder who exercises a CSOP Option under this 
                    <internal.reference refid="a272466">paragraph 5.6</internal.reference>
                     will be treated as having exercised it in accordance with 
                    <internal.reference refid="a422005">paragraph 5.2</internal.reference>
                     to 
                    <internal.reference refid="a1022750">paragraph 5.5</internal.reference>
                     as the case may be.
                  </paratext>
                </para>
                <para>
                  <paratext>
                    If the Board makes arrangements for the exercise of CSOP Options under 
                    <internal.reference refid="a272466">paragraph 5.6</internal.reference>
                     and the expected event does not occur within 20 days of the date of purported exercise, the purported exercise of the CSOP Option shall be treated as having had no effect.
                  </paratext>
                </para>
              </subclause1>
            </clause>
            <clause id="a531409">
              <identifier>6.</identifier>
              <head align="left" preservecase="true">
                <headtext>Exchange of CSOP Options</headtext>
              </head>
              <drafting.note id="a137885" jurisdiction="">
                <head align="left" preservecase="true">
                  <headtext>Exchange of CSOP Options</headtext>
                </head>
                <division id="a000119" level="1">
                  <para>
                    <paratext>
                      <internal.reference refid="a531409">paragraph 6</internal.reference>
                       gives effect to Part 6 of Schedule 4. For more information on this, see 
                      <link href="8-580-3552#a615662" style="ACTLinkPLCtoPLC">
                        <ital>Practice note, Company share option plans (CSOPs): statutory requirements for setting up and operating a CSOP: Exchange of options (rollover)</ital>
                      </link>
                      .
                    </paratext>
                  </para>
                </division>
              </drafting.note>
              <subclause1 id="a1012068">
                <identifier>6.1</identifier>
                <para>
                  <paratext>
                    <internal.reference refid="a580292">rule 21</internal.reference>
                     is varied to the extent necessary to give effect to the following provisions of this 
                    <internal.reference refid="a531409">paragraph 6</internal.reference>
                    .
                  </paratext>
                </para>
              </subclause1>
              <subclause1 id="a304510">
                <identifier>6.2</identifier>
                <para>
                  <paratext>
                    If the Company is affected by a Company Reorganisation then an Award Holder may agree with the Acquiring Company within the Rollover Period to release a CSOP Option (
                    <defn.term>Old Option</defn.term>
                    ) in consideration of being granted a new option (
                    <defn.term>New Option</defn.term>
                    ).
                  </paratext>
                </para>
              </subclause1>
              <subclause1 id="a161608">
                <identifier>6.3</identifier>
                <para>
                  <paratext>A New Option shall:</paratext>
                </para>
                <subclause2 id="a855894">
                  <identifier>(a)</identifier>
                  <para>
                    <paratext>be over shares that satisfy the requirements of paragraphs 16 to 20 of Schedule 4 in the Acquiring Company (or some other company falling within paragraph 27(2)(b) of Schedule 4);</paratext>
                  </para>
                </subclause2>
                <subclause2 id="a241876">
                  <identifier>(b)</identifier>
                  <para>
                    <paratext>be a right to acquire such number of those shares as have, immediately after grant of the New Option, a total Market Value substantially the same as the total Market Value of the shares subject to the Old Option immediately before its release;</paratext>
                  </para>
                </subclause2>
                <subclause2 id="a287193">
                  <identifier>(c)</identifier>
                  <para>
                    <paratext>have an exercise price per share such that the total price payable on complete exercise of the New Option is substantially the same as the total price that would have been payable on complete exercise of the Old Option; and</paratext>
                  </para>
                </subclause2>
                <subclause2 id="a682402">
                  <identifier>(d)</identifier>
                  <para>
                    <paratext>so far as practicable, be on terms otherwise identical to the Old Option immediately before the Old Option's release.</paratext>
                  </para>
                </subclause2>
              </subclause1>
              <subclause1 id="a231195">
                <identifier>6.4</identifier>
                <para>
                  <paratext>Any Rollover Period shall have the same duration as the applicable appropriate period defined in paragraph 26(3) of Schedule 4.</paratext>
                </para>
              </subclause1>
              <subclause1 id="a319237">
                <identifier>6.5</identifier>
                <para>
                  <paratext>
                    Any New Option granted under 
                    <internal.reference refid="a304510">paragraph 6.2</internal.reference>
                     shall be treated as having been acquired at the same time as the relevant Old Option for all other purposes of the Plan.
                  </paratext>
                </para>
              </subclause1>
              <subclause1 id="a586270">
                <identifier>6.6</identifier>
                <para>
                  <paratext>The Plan shall be interpreted in relation to any New Options as if references to:</paratext>
                </para>
                <subclause2 id="a785170">
                  <identifier>(a)</identifier>
                  <para>
                    <paratext>the Company (except for those in the definition of Constituent Company) were references to the Acquiring Company (or to any other company whose shares are subject to the New Options, as the context may require); and</paratext>
                  </para>
                </subclause2>
                <subclause2 id="a188470">
                  <identifier>(b)</identifier>
                  <para>
                    <paratext>the Shares were references to the shares subject to the New Options.</paratext>
                  </para>
                </subclause2>
              </subclause1>
              <subclause1 id="a447412">
                <identifier>6.7</identifier>
                <para>
                  <paratext>
                    The Company will remain the scheme organiser of the Plan (as defined in paragraph 2(2) of Schedule 4) following the release of Options and the grant of New Options under 
                    <internal.reference refid="a304510">paragraph 6.2</internal.reference>
                    .
                  </paratext>
                </para>
              </subclause1>
              <subclause1 id="a201742">
                <identifier>6.8</identifier>
                <para>
                  <paratext>The Acquiring Company shall issue (or procure the issue of) an Award Certificate for each New Option.</paratext>
                </para>
              </subclause1>
            </clause>
            <clause id="a938753">
              <identifier>7.</identifier>
              <head align="left" preservecase="true">
                <headtext>Other provisions</headtext>
              </head>
              <subclause1 id="a462139">
                <identifier>7.1</identifier>
                <para>
                  <paratext>Any Performance Condition applying to a CSOP Option shall be an objective measure of the performance of:</paratext>
                </para>
                <subclause2 id="a891983">
                  <identifier>(a)</identifier>
                  <para>
                    <paratext>the Company;</paratext>
                  </para>
                </subclause2>
                <subclause2 id="a868029">
                  <identifier>(b)</identifier>
                  <para>
                    <paratext>the Award Holder; or</paratext>
                  </para>
                </subclause2>
                <subclause2 id="a408732">
                  <identifier>(c)</identifier>
                  <para>
                    <paratext>a business unit of which the Award Holder is a part.</paratext>
                  </para>
                </subclause2>
              </subclause1>
              <subclause1 id="a1052203">
                <identifier>7.2</identifier>
                <para>
                  <paratext>
                    The Board may exercise its power under 
                    <internal.reference refid="a858924">rule 3.2</internal.reference>
                     to vary or waive a Performance Condition applying to a CSOP Option only if events occur that cause:
                  </paratext>
                </para>
                <subclause2 id="a387370">
                  <identifier>(a)</identifier>
                  <para>
                    <paratext>the CSOP Option to become exercisable before the end of the Performance Period and the original Performance Condition cannot reasonably be applied to the shortened time period; or</paratext>
                  </para>
                </subclause2>
                <subclause2 id="a116292">
                  <identifier>(b)</identifier>
                  <para>
                    <paratext>the Board to decide that the Performance Condition is no longer an appropriate measure of performance.</paratext>
                  </para>
                </subclause2>
              </subclause1>
              <subclause1 id="a195106">
                <identifier>7.3</identifier>
                <para>
                  <paratext>
                    In relation to a CSOP Option, the following wording shall be substituted for 
                    <internal.reference refid="a757512">rule 18.4(f)</internal.reference>
                    :
                  </paratext>
                </para>
                <para>
                  <paratext>"the Constituent Company that employs the Award Holder ceasing to be Controlled by the Company".</paratext>
                </para>
              </subclause1>
              <subclause1 id="a693083">
                <identifier>7.4</identifier>
                <para>
                  <paratext>
                    In relation to a CSOP Option, the following wording shall be substituted for 
                    <internal.reference refid="a1024545">rule 18.4(g)</internal.reference>
                    :
                  </paratext>
                </para>
                <para>
                  <paratext>
                    "a relevant transfer within the meaning of the Transfer of Undertakings (Protection of Employment) Regulations 2006 (
                    <ital>SI 2006/246</ital>
                    )".
                  </paratext>
                </para>
              </subclause1>
              <subclause1 id="a199151">
                <identifier>7.5</identifier>
                <para>
                  <paratext>The Board may not amend a key feature of the Plan if, as a result of the amendment, the CSOP sub-plan would no longer be a Schedule 4 CSOP scheme. A key feature is any provision of the Plan that is necessary to meet the requirements of Schedule 4.</paratext>
                </para>
              </subclause1>
            </clause>
          </schedule>
          <schedule id="a415369">
            <identifier>Schedule 2</identifier>
            <head align="left" preservecase="true">
              <headtext>US Taxpayers</headtext>
            </head>
            <clause id="a297874">
              <identifier>1.</identifier>
              <head align="left" preservecase="true">
                <headtext>Purpose and interpretation</headtext>
              </head>
              <subclause1 id="a650358">
                <identifier>1.1</identifier>
                <para>
                  <paratext>
                    <internal.reference refid="a415369">Schedule 2</internal.reference>
                     contains provisions which modify the Plan in relation to Award Holders who are US Taxpayers. 
                    <internal.reference refid="a415369">Schedule 2</internal.reference>
                     provides for the grant of Incentive Stock Options. For the avoidance of doubt, 
                    <internal.reference refid="a415369">Schedule 2</internal.reference>
                     has no application to Award Holders who are not US Taxpayers.
                  </paratext>
                </para>
              </subclause1>
              <subclause1 id="a592906">
                <identifier>1.2</identifier>
                <para>
                  <paratext>
                    The following definitions apply in 
                    <internal.reference refid="a415369">Schedule 2</internal.reference>
                    .
                  </paratext>
                </para>
                <defn.item id="a279136">
                  <defn.term>Affiliate</defn.term>
                  <defn>
                    <para>
                      <paratext>a company or other entity that, directly or through one or more intermediaries, controls, is controlled by or is under common control with, the Company.</paratext>
                    </para>
                  </defn>
                </defn.item>
                <defn.item id="a590152">
                  <defn.term>Code</defn.term>
                  <defn>
                    <para>
                      <paratext>the United States Internal Revenue Code of 1986, as amended from time to time.</paratext>
                    </para>
                  </defn>
                </defn.item>
                <defn.item id="a891222">
                  <defn.term>Eligible Employee</defn.term>
                  <defn>
                    <para>
                      <paratext>an employee of the Company or a parent or subsidiary corporation within the meaning of Section 424 of the Code.</paratext>
                    </para>
                  </defn>
                </defn.item>
                <defn.item id="a143422">
                  <defn.term>Fair Market Value</defn.term>
                  <defn>
                    <para>
                      <paratext>on any date, the value of a Share as determined below. If the Shares are listed on the London Stock Exchange, the Fair Market Value shall be the closing price of a Share (or if no sales were reported, the closing price on the date immediately preceding such date) as quoted on such exchange on the day of determination, as reported in the Daily Official List. In the absence of an established market for the Shares, the Fair Market Value shall be determined in good faith by the Board and such determination shall be conclusive and binding on all persons.</paratext>
                    </para>
                  </defn>
                </defn.item>
                <defn.item id="a232039">
                  <defn.term>Incentive Stock Option</defn.term>
                  <defn>
                    <para>
                      <paratext>a Market Value Option intended to qualify as an incentive stock option within the meaning of Section 422 of the Code.</paratext>
                    </para>
                  </defn>
                </defn.item>
                <defn.item id="a216307">
                  <defn.term>Ten Percent Shareholder</defn.term>
                  <defn>
                    <para>
                      <paratext>a person who owns (or is deemed to own pursuant to Section 424(d) of the Code) shares possessing more than 10% of the total combined voting power of all classes of share of the Company or of any of its Affiliates.</paratext>
                    </para>
                  </defn>
                </defn.item>
                <defn.item id="a873674">
                  <defn.term>US Taxpayer</defn.term>
                  <defn>
                    <para>
                      <paratext>A person who is subject to the tax laws of the United States of America.</paratext>
                    </para>
                  </defn>
                </defn.item>
              </subclause1>
            </clause>
            <clause id="a621379">
              <identifier>2.</identifier>
              <head align="left" preservecase="true">
                <headtext>THE ISO SUB-PLAN</headtext>
              </head>
              <drafting.note id="a961532" jurisdiction="">
                <head align="left" preservecase="true">
                  <headtext>The ISO sub-plan</headtext>
                </head>
                <division id="a000120" level="1">
                  <para>
                    <paratext>
                      <link href="7-594-8305" style="ACTLinkPLCtoPLC">
                        <ital>Paragraph 2</ital>
                      </link>
                       contains a set of provisions to allow the Company to grant ISOs, which are tax-advantaged for US Taxpayers. Note in particular that:
                    </paratext>
                  </para>
                  <list type="bulleted">
                    <list.item>
                      <para>
                        <paratext>
                          ISOs can only be granted under a plan that has been approved by the Company's shareholders within 12 months before or after the date the plan is adopted by the Company (see 
                          <internal.reference refid="a626782">Drafting note, Shareholder approval</internal.reference>
                          ).
                        </paratext>
                      </para>
                    </list.item>
                    <list.item>
                      <para>
                        <paratext>ISOs can only be granted within ten years after the earlier of the date the plan was adopted by the Company and the date the plan was approved by the Company's shareholders.</paratext>
                      </para>
                    </list.item>
                    <list.item>
                      <para>
                        <paratext>
                          An ISO plan must contain a fixed numerical limit on the number of Shares over which ISOs may be granted. A percentage limit is not sufficient. The fixed numerical limit can be amended to reflect changes in share capital (see 
                          <internal.reference refid="a526227">paragraph 2.12</internal.reference>
                          ).
                        </paratext>
                      </para>
                    </list.item>
                  </list>
                  <para>
                    <paratext>A company should always consult US counsel before adopting an ISO sub-plan. US federal and state securities laws can often pose problems.</paratext>
                  </para>
                </division>
              </drafting.note>
              <subclause1 id="a448207">
                <identifier>2.1</identifier>
                <para>
                  <paratext>
                    <link href="http://www.practicallaw.com/7-594-8305" style="ACTLinkURL">
                      <ital>Paragraph 2</ital>
                    </link>
                     specifies variations to the Plan and the way it is operated. The Plan as so varied is referred as the ISO Sub-Plan.
                  </paratext>
                </para>
              </subclause1>
              <subclause1 id="a889392">
                <identifier>2.2</identifier>
                <para>
                  <paratext>An Incentive Stock Option is a form of Market Value Option. It is not possible to grant any other type of Award under the ISO Sub-Plan.</paratext>
                </para>
              </subclause1>
              <subclause1 id="a344644">
                <identifier>2.3</identifier>
                <para>
                  <paratext>
                    <internal.reference refid="a309757">rule 16</internal.reference>
                     shall not apply to Incentive Stock Options.
                  </paratext>
                </para>
              </subclause1>
              <subclause1 id="a244467">
                <identifier>2.4</identifier>
                <para>
                  <paratext>The Company may grant an Incentive Stock Option only to a person who at the Grant Date is an Eligible Employee.</paratext>
                </para>
              </subclause1>
              <subclause1 id="a810577">
                <identifier>2.5</identifier>
                <para>
                  <paratext>The Company may grant an Incentive Stock Option to a Ten Percent Shareholder only if the Exercise Price is at least 110% of the Fair Market Value of a Share at the Grant Date and the Option is not exercisable after the expiration of five years from the Grant Date.</paratext>
                </para>
              </subclause1>
              <subclause1 id="a846666">
                <identifier>2.6</identifier>
                <para>
                  <paratext>
                    In addition to the matters required by 
                    <internal.reference refid="a959101">rule 2.4</internal.reference>
                     an Award Certificate relating to an Incentive Stock Option shall state that it is intended to be an Incentive Stock Option.
                  </paratext>
                </para>
              </subclause1>
              <subclause1 id="a472820">
                <identifier>2.7</identifier>
                <para>
                  <paratext>The Exercise Price of an Incentive Stock Option shall not be less than 100% of the Fair Market Value of a Share on the Grant Date. Notwithstanding the foregoing, an Incentive Stock Option may be granted with an Exercise Price lower than that stated in the preceding sentence if such Option is granted pursuant to an assumption or substitution for another option in a manner satisfying the provisions of Section 424(a) of the Code and the regulations promulgated thereunder.</paratext>
                </para>
              </subclause1>
              <subclause1 id="a859939">
                <identifier>2.8</identifier>
                <para>
                  <paratext>The Company shall have no liability to any Award Holder or any other person if an Option designated as an Incentive Stock Option fails to qualify as such at any time.</paratext>
                </para>
              </subclause1>
              <subclause1 id="a964161">
                <identifier>2.9</identifier>
                <para>
                  <paratext>
                    Subject to the provisions of 
                    <internal.reference refid="a810577">paragraph 2.5</internal.reference>
                     regarding Ten Percent Shareholders, no Incentive Stock Option shall be exercisable after the expiration of ten years from the Grant Date.
                  </paratext>
                </para>
              </subclause1>
              <subclause1 id="a120337">
                <identifier>2.10</identifier>
                <para>
                  <paratext>An Incentive Stock Option shall not be transferable except by will or by the laws of descent and distribution and shall be exercisable during the lifetime of the Award Holder only by the Award Holder. Notwithstanding the foregoing, the Award Holder may, by delivering written notice to the Company, in a form satisfactory to the Company, designate a third party who, in the event of the death of the Award Holder, shall thereafter be entitled to exercise the Option.</paratext>
                </para>
              </subclause1>
              <subclause1 id="a917391">
                <identifier>2.11</identifier>
                <para>
                  <paratext>To the extent that the aggregate Fair Market Value (determined on the Grant Date) of Shares with respect to which Incentive Stock Options are exercisable for the first time by any Award Holder during any calendar year (under all plans of the Company and its Affiliates) exceeds US$100,000, the Options or portions thereof which exceed such limit (according to the order in which they were granted) shall be treated as not being Incentive Stock Options.</paratext>
                </para>
              </subclause1>
              <subclause1 id="a526227">
                <identifier>2.12</identifier>
                <para>
                  <paratext>
                    Incentive Stock Options may not be granted over more than [INSERT NUMBER] Shares. The Board may adjust this number if they adjust the Award in accordance with 
                    <internal.reference refid="a129837">rule 22</internal.reference>
                    .
                  </paratext>
                </para>
                <drafting.note id="a210029" jurisdiction="">
                  <head align="left" preservecase="true">
                    <headtext>Numerical limit on shares</headtext>
                  </head>
                  <division id="a000121" level="1">
                    <para>
                      <paratext>There must be a fixed numerical limit on the number of shares over which a company can grant ISOs. A percentage limit alone is not sufficient. The numerical limit can be adjusted to reflect variations of share capital.</paratext>
                    </para>
                  </division>
                </drafting.note>
              </subclause1>
              <subclause1 id="a699719">
                <identifier>2.13</identifier>
                <para>
                  <paratext>
                    In exercising its powers under 
                    <internal.reference refid="a129837">rule 22</internal.reference>
                     the Board shall ensure that any adjustments will not constitute a modification, extension or renewal of the Incentive Stock Options within the meaning of Section 424(h)(3) of the Code.
                  </paratext>
                </para>
              </subclause1>
              <subclause1 id="a710400">
                <identifier>2.14</identifier>
                <para>
                  <paratext>
                    Any Award Holder who shall make a disposition (as defined in Section 424 of the Code) of all or any Shares acquired upon exercise of an Incentive Stock Option within two years from the Grant Date of such Incentive Stock Option or within one year after the issue or transfer of the Shares acquired upon exercise of such Incentive Stock Option (a 
                    <defn.term>Disqualifying Disposition</defn.term>
                    ) shall be required to immediately advise the Company in writing as to the occurrence of the sale and the price realised upon the sale of such Shares.
                  </paratext>
                </para>
              </subclause1>
              <subclause1 id="a678356">
                <identifier>2.15</identifier>
                <para>
                  <paratext>
                    For the purposes of 
                    <internal.reference refid="a991047">rule 18.4(c)</internal.reference>
                     "disability" has the same meaning as in Section 22(e)(3) of the Code.
                  </paratext>
                </para>
              </subclause1>
            </clause>
            <clause id="a774488">
              <identifier>3.</identifier>
              <head align="left" preservecase="true">
                <headtext>Provisions applicable to US Taxpayers</headtext>
              </head>
              <drafting.note id="a107858" jurisdiction="">
                <head align="left" preservecase="true">
                  <headtext>Provisions applicable to US Taxpayers</headtext>
                </head>
                <division id="a000122" level="1">
                  <para>
                    <paratext>
                      <internal.reference refid="a774488">paragraph 3</internal.reference>
                       contains a set of provisions that apply to US Taxpayers. These are intended to prevent the Awards falling foul of the tax rules of 
                      <link href="https://us.practicallaw.thomsonreuters.com/Document/N2D00DD7057A211E89E73AA5118781479/View/FullText.html" style="ACTLinkURL">
                        <ital>Section 409A</ital>
                      </link>
                       of the Internal Revenue Code. For more information on this, see 
                      <link href="9-375-8274" style="ACTLinkPLCtoPLC">
                        <ital>Practice note, US Internal Revenue Code section 409A: impact on UK share incentives</ital>
                      </link>
                      . In particular note that:
                    </paratext>
                  </para>
                  <list type="bulleted">
                    <list.item>
                      <para>
                        <paratext>Nil Cost Options and Phantom Options should not be granted to US Taxpayers.</paratext>
                      </para>
                    </list.item>
                    <list.item>
                      <para>
                        <paratext>
                          Market Value Options and Share Appreciation Rights are generally outside the scope of Section 409A, if the Exercise Price is no less than Fair Market Value of the underlying shares on the Grant Date for US tax purposes. This may be different from the Market Value for UK purposes. See the definition of 
                          <link href="9-375-8274" style="ACTLinkPLCtoPLC">
                            <ital>Fair Market Value</ital>
                          </link>
                          .
                        </paratext>
                      </para>
                    </list.item>
                    <list.item>
                      <para>
                        <paratext>Forfeitable Share Awards are outside the scope of Section 409A.</paratext>
                      </para>
                    </list.item>
                    <list.item>
                      <para>
                        <paratext>Conditional Share Awards, and Phantom Share Awards are potentially within the scope of Section 409A. However, there is an exclusion for Awards that have a fixed payment schedule that complies with Section 409A. Awards under the Plan should fall within the exclusion since they are either Released on the Release Date or they lapse on termination of employment or on the Performance Measurement Date. There is no possibility of Release being deferred. The only circumstances in which Release can be accelerated are on death or a change of Control, both of which are permitted acceleration events under Section 409A. For this reason, the term change of Control is modified in relation to a US Taxpayer so as to be limited to an event that constitutes a change in Control within Section 409A(a)(2)(A)(v) of the Code.</paratext>
                      </para>
                    </list.item>
                  </list>
                </division>
              </drafting.note>
              <subclause1 id="a220514">
                <identifier>3.1</identifier>
                <para>
                  <paratext>The Company may not grant a Nil Cost Option or a Phantom Option to a US Taxpayer.</paratext>
                </para>
              </subclause1>
              <subclause1 id="a351281">
                <identifier>3.2</identifier>
                <para>
                  <paratext>The Company may not grant a Market Value Option to a US Taxpayer with an Exercise Price less than 100% of the Fair Market Value of a Share on the Grant Date, except where such Option is granted pursuant to an assumption or substitution for another option in a manner satisfying the provisions of Section 409A of the Code.</paratext>
                </para>
              </subclause1>
              <subclause1 id="a946843">
                <identifier>3.3</identifier>
                <para>
                  <paratext>The Company may not grant a Share Appreciation Right to a US Taxpayer with a Base Price less than 100% of the Fair Market Value of a Share on the Grant Date.</paratext>
                </para>
              </subclause1>
              <subclause1 id="a393663">
                <identifier>3.4</identifier>
                <para>
                  <paratext>
                    The definition of change of Control in 
                    <internal.reference refid="a336895">rule 1.1</internal.reference>
                     is modified so that an event is not a change of Control for the purposes of the Plan unless it is also falls within Section 409A(a)(2)(A)(v) of the Code.
                  </paratext>
                </para>
              </subclause1>
              <subclause1 id="a678013">
                <identifier>3.5</identifier>
                <para>
                  <paratext>
                    <internal.reference refid="a403621">rule 20.3</internal.reference>
                     (which permits the acceleration of Release before a change of Control) does not apply to Awards held by US Taxpayers.
                  </paratext>
                </para>
              </subclause1>
              <subclause1 id="a641130">
                <identifier>3.6</identifier>
                <para>
                  <paratext>
                    The Board shall ensure that any adjustments to an Award under 
                    <internal.reference refid="a129837">rule 22</internal.reference>
                     will not constitute a modification of the Award within the meaning of Section 409A of the Code.
                  </paratext>
                </para>
              </subclause1>
              <subclause1 id="a292692">
                <identifier>3.7</identifier>
                <para>
                  <paratext>The Company shall have no liability to any Award Holder or any other person if an Award is determined to constitute "nonqualified deferred compensation" within the meaning of Section 409A of the Code and the terms of such Award do not satisfy the requirements of Section 409A of the Code.</paratext>
                </para>
              </subclause1>
              <subclause1 id="a338008">
                <identifier>3.8</identifier>
                <para>
                  <paratext>The Plan is intended to comply with Section 409A of the Code to the extent subject thereto, and, accordingly, in relation to any Award Holder who is a US Taxpayer, and to the maximum extent permitted, the Plan shall be interpreted and administered to be in compliance therewith.</paratext>
                </para>
              </subclause1>
              <subclause1 id="a90541">
                <identifier>3.9</identifier>
                <para>
                  <paratext>Any payments described in the Plan that are due within the short-term deferral period as defined in Section 409A of the Code shall not be treated as deferred compensation unless required otherwise by law.</paratext>
                </para>
              </subclause1>
              <subclause1 id="a118540">
                <identifier>3.10</identifier>
                <para>
                  <paratext>Notwithstanding anything to the contrary in the Plan, to the extent required to avoid accelerated taxation and tax penalties under Section 409A of the Code, amounts that would otherwise be payable and benefits that would otherwise be provided pursuant to the Plan during the six-month period immediately following the Award Holder's termination of employment shall instead be paid on the first payroll date after the six-month anniversary of the Award Holder's termination of service (or the Award Holder's death, if earlier).</paratext>
                </para>
              </subclause1>
              <subclause1 id="a300122">
                <identifier>3.11</identifier>
                <para>
                  <paratext>Notwithstanding the foregoing, neither the Company nor the Board has any obligation to take any action to prevent the assessment of any excise tax or penalty on any Award Holder under Section 409A of the Code and neither the Company nor the Board shall have any liability to any Award Holder for such tax or penalty.</paratext>
                </para>
              </subclause1>
            </clause>
          </schedule>
        </disclosure.schedule>
      </body>
      <rev.history>
        <rev.item>
          <rev.title>Brexit (March 2019)</rev.title>
          <rev.date>20190315</rev.date>
          <rev.author>Practical Law Share Schemes &amp; Incentives</rev.author>
          <rev.body>
            <division id="a000001" level="1">
              <para>
                <paratext>Updated for the UK's exit from the EU.</paratext>
              </para>
            </division>
          </rev.body>
        </rev.item>
        <rev.item>
          <rev.title>2018 UK Corporate Governance Code (January 2019)</rev.title>
          <rev.date>20190102</rev.date>
          <rev.author>Practical Law Share Schemes &amp; Incentives</rev.author>
          <rev.body>
            <division id="a000002" level="1">
              <para>
                <paratext>Updated for coming into force of revised Corporate Governance Code.</paratext>
              </para>
            </division>
          </rev.body>
        </rev.item>
        <rev.item>
          <rev.title>Parmar v HSBC Private Bank (November 2018)</rev.title>
          <rev.date>20181128</rev.date>
          <rev.author>Practical Law Share Schemes &amp; Incentives</rev.author>
          <rev.body>
            <division id="a000003" level="1">
              <para>
                <paratext>Updated for decision in Parmar v HSBC Private Bank.</paratext>
              </para>
            </division>
          </rev.body>
        </rev.item>
        <rev.item>
          <rev.title>Investment Association principles of remuneration (November 2018)</rev.title>
          <rev.date>20181123</rev.date>
          <rev.author>Practical Law Share Schemes &amp; Incentives</rev.author>
          <rev.body>
            <division id="a000004" level="1">
              <para>
                <paratext>Updated to reflect new Investment Association principles of remuneration.</paratext>
              </para>
            </division>
          </rev.body>
        </rev.item>
        <rev.item>
          <rev.title>Publication of 2018 Corporate Governance Code (July 2018)</rev.title>
          <rev.date>20180716</rev.date>
          <rev.author>Practical Law Share Schemes &amp; Incentives</rev.author>
          <rev.body>
            <division id="a000005" level="1">
              <para>
                <paratext>Updated for publication of revised Corporate Governance code</paratext>
              </para>
            </division>
          </rev.body>
        </rev.item>
        <rev.item>
          <rev.title>Resource created</rev.title>
          <rev.date>20160303</rev.date>
          <rev.author>Practical Law Share Schemes &amp; Incentives</rev.author>
          <rev.body>
            <division id="a000006" level="1">
              <para>
                <paratext>We will record here any changes to this resource as a result of developments in the law or practice.</paratext>
              </para>
            </division>
          </rev.body>
        </rev.item>
      </rev.history>
    </standard.doc>
  </n-docbody>
</n-document>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16504A025F56429A6E17351BB868AA" ma:contentTypeVersion="18" ma:contentTypeDescription="Create a new document." ma:contentTypeScope="" ma:versionID="b2b0ce97dc09563ff3e388a3caa5331e">
  <xsd:schema xmlns:xsd="http://www.w3.org/2001/XMLSchema" xmlns:xs="http://www.w3.org/2001/XMLSchema" xmlns:p="http://schemas.microsoft.com/office/2006/metadata/properties" xmlns:ns2="de996aa1-5117-40ea-acfd-7228c3ca8ae2" xmlns:ns3="cc2c3a37-5bbf-42df-95a3-3b3e92758812" targetNamespace="http://schemas.microsoft.com/office/2006/metadata/properties" ma:root="true" ma:fieldsID="2cff7a56f51815615e3c600ea794624a" ns2:_="" ns3:_="">
    <xsd:import namespace="de996aa1-5117-40ea-acfd-7228c3ca8ae2"/>
    <xsd:import namespace="cc2c3a37-5bbf-42df-95a3-3b3e927588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96aa1-5117-40ea-acfd-7228c3ca8a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e1e6c7-74e1-4b5e-99cc-5a19607835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2c3a37-5bbf-42df-95a3-3b3e927588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aebcb2-29b3-43b5-bfbd-9115261761e5}" ma:internalName="TaxCatchAll" ma:showField="CatchAllData" ma:web="cc2c3a37-5bbf-42df-95a3-3b3e927588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c2c3a37-5bbf-42df-95a3-3b3e92758812" xsi:nil="true"/>
    <lcf76f155ced4ddcb4097134ff3c332f xmlns="de996aa1-5117-40ea-acfd-7228c3ca8ae2">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7.xml><?xml version="1.0" encoding="utf-8"?>
<cdm:cachedDataManifest xmlns:cdm="http://schemas.microsoft.com/2004/VisualStudio/Tools/Applications/CachedDataManifest.xsd" cdm:revision="1"/>
</file>

<file path=customXml/item8.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9.xml><?xml version="1.0" encoding="utf-8"?>
<p:properties xmlns:p="http://schemas.microsoft.com/office/2006/metadata/properties" xmlns:xsi="http://www.w3.org/2001/XMLSchema-instance" xmlns:pc="http://schemas.microsoft.com/office/infopath/2007/PartnerControls">
  <documentManagement>
    <SharedWithUsers xmlns="cc2c3a37-5bbf-42df-95a3-3b3e92758812">
      <UserInfo>
        <DisplayName>Louise Dean</DisplayName>
        <AccountId>109</AccountId>
        <AccountType/>
      </UserInfo>
      <UserInfo>
        <DisplayName>Ian Shaw</DisplayName>
        <AccountId>112</AccountId>
        <AccountType/>
      </UserInfo>
    </SharedWithUsers>
    <TaxCatchAll xmlns="cc2c3a37-5bbf-42df-95a3-3b3e92758812" xsi:nil="true"/>
    <lcf76f155ced4ddcb4097134ff3c332f xmlns="de996aa1-5117-40ea-acfd-7228c3ca8a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C0FB2C-F95D-4CE9-B0B3-8FE149F35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96aa1-5117-40ea-acfd-7228c3ca8ae2"/>
    <ds:schemaRef ds:uri="cc2c3a37-5bbf-42df-95a3-3b3e92758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D8DAF256-5917-420E-8F1E-4B1AE5A8B60F}">
  <ds:schemaRefs>
    <ds:schemaRef ds:uri="http://schemas.openxmlformats.org/officeDocument/2006/bibliography"/>
  </ds:schemaRefs>
</ds:datastoreItem>
</file>

<file path=customXml/itemProps11.xml><?xml version="1.0" encoding="utf-8"?>
<ds:datastoreItem xmlns:ds="http://schemas.openxmlformats.org/officeDocument/2006/customXml" ds:itemID="{98FEB5AA-9728-4FA2-AC25-B51187AFC503}">
  <ds:schemaRefs>
    <ds:schemaRef ds:uri="http://www.w3.org/2001/XMLSchema"/>
  </ds:schemaRefs>
</ds:datastoreItem>
</file>

<file path=customXml/itemProps2.xml><?xml version="1.0" encoding="utf-8"?>
<ds:datastoreItem xmlns:ds="http://schemas.openxmlformats.org/officeDocument/2006/customXml" ds:itemID="{9421B1B3-3180-460F-9500-63AF43BBFD00}">
  <ds:schemaRefs>
    <ds:schemaRef ds:uri="http://schemas.microsoft.com/sharepoint/v3/contenttype/forms"/>
  </ds:schemaRefs>
</ds:datastoreItem>
</file>

<file path=customXml/itemProps3.xml><?xml version="1.0" encoding="utf-8"?>
<ds:datastoreItem xmlns:ds="http://schemas.openxmlformats.org/officeDocument/2006/customXml" ds:itemID="{E8FC0919-C2DB-410C-A576-A70E900EF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96aa1-5117-40ea-acfd-7228c3ca8ae2"/>
    <ds:schemaRef ds:uri="cc2c3a37-5bbf-42df-95a3-3b3e92758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12427A-0405-4C2A-82BD-67E8496BF252}">
  <ds:schemaRefs>
    <ds:schemaRef ds:uri="http://schemas.microsoft.com/office/2006/metadata/properties"/>
    <ds:schemaRef ds:uri="http://schemas.microsoft.com/office/infopath/2007/PartnerControls"/>
    <ds:schemaRef ds:uri="cc2c3a37-5bbf-42df-95a3-3b3e92758812"/>
    <ds:schemaRef ds:uri="de996aa1-5117-40ea-acfd-7228c3ca8ae2"/>
  </ds:schemaRefs>
</ds:datastoreItem>
</file>

<file path=customXml/itemProps5.xml><?xml version="1.0" encoding="utf-8"?>
<ds:datastoreItem xmlns:ds="http://schemas.openxmlformats.org/officeDocument/2006/customXml" ds:itemID="{716DF7BE-878E-4A85-9A84-DF8308264ABD}">
  <ds:schemaRefs>
    <ds:schemaRef ds:uri="http://schemas.microsoft.com/sharepoint/v3/contenttype/forms"/>
  </ds:schemaRefs>
</ds:datastoreItem>
</file>

<file path=customXml/itemProps6.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7.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8.xml><?xml version="1.0" encoding="utf-8"?>
<ds:datastoreItem xmlns:ds="http://schemas.openxmlformats.org/officeDocument/2006/customXml" ds:itemID="{38D4F6BE-C619-455A-B631-18E97154460B}">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9.xml><?xml version="1.0" encoding="utf-8"?>
<ds:datastoreItem xmlns:ds="http://schemas.openxmlformats.org/officeDocument/2006/customXml" ds:itemID="{F4B5226F-D7D1-46F5-82A7-A5A247E949D1}">
  <ds:schemaRefs>
    <ds:schemaRef ds:uri="http://schemas.microsoft.com/office/2006/metadata/properties"/>
    <ds:schemaRef ds:uri="http://schemas.microsoft.com/office/infopath/2007/PartnerControls"/>
    <ds:schemaRef ds:uri="cc2c3a37-5bbf-42df-95a3-3b3e92758812"/>
    <ds:schemaRef ds:uri="de996aa1-5117-40ea-acfd-7228c3ca8ae2"/>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34</Pages>
  <Words>13312</Words>
  <Characters>75883</Characters>
  <Application>Microsoft Office Word</Application>
  <DocSecurity>4</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Shaw</dc:creator>
  <cp:keywords/>
  <cp:lastModifiedBy>Colette Thompson</cp:lastModifiedBy>
  <cp:revision>2</cp:revision>
  <cp:lastPrinted>2024-03-27T09:30:00Z</cp:lastPrinted>
  <dcterms:created xsi:type="dcterms:W3CDTF">2024-04-24T08:27:00Z</dcterms:created>
  <dcterms:modified xsi:type="dcterms:W3CDTF">2024-04-24T08:27:00Z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
    <vt:lpwstr>{REF:0692010003}</vt:lpwstr>
  </property>
  <property fmtid="{D5CDD505-2E9C-101B-9397-08002B2CF9AE}" pid="3" name="ContentTypeId">
    <vt:lpwstr>0x010100CA16504A025F56429A6E17351BB868AA</vt:lpwstr>
  </property>
  <property fmtid="{D5CDD505-2E9C-101B-9397-08002B2CF9AE}" pid="4" name="MediaServiceImageTags">
    <vt:lpwstr/>
  </property>
</Properties>
</file>