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28ED8" w14:textId="7ED3719B" w:rsidR="00DC2E62" w:rsidRPr="00636822" w:rsidRDefault="008E52C3" w:rsidP="00DC2E62">
      <w:pPr>
        <w:rPr>
          <w:rFonts w:ascii="Ambit" w:hAnsi="Ambit"/>
          <w:sz w:val="20"/>
          <w:szCs w:val="20"/>
        </w:rPr>
      </w:pPr>
      <w:r>
        <w:rPr>
          <w:rFonts w:ascii="Ambit" w:hAnsi="Ambit"/>
          <w:sz w:val="20"/>
          <w:szCs w:val="20"/>
        </w:rPr>
        <w:t>20 June 2023</w:t>
      </w:r>
    </w:p>
    <w:p w14:paraId="3B2EE7C9" w14:textId="55701D19" w:rsidR="005B7EBD" w:rsidRPr="00636822" w:rsidRDefault="00A666FD" w:rsidP="00DC2E62">
      <w:pPr>
        <w:jc w:val="center"/>
        <w:rPr>
          <w:rFonts w:ascii="Ambit" w:hAnsi="Ambit"/>
          <w:b/>
          <w:sz w:val="20"/>
          <w:szCs w:val="20"/>
        </w:rPr>
      </w:pPr>
      <w:r w:rsidRPr="00636822">
        <w:rPr>
          <w:rFonts w:ascii="Ambit" w:hAnsi="Ambit"/>
          <w:b/>
          <w:sz w:val="20"/>
          <w:szCs w:val="20"/>
        </w:rPr>
        <w:t>SAGA PLC</w:t>
      </w:r>
      <w:r w:rsidR="00921DED" w:rsidRPr="00636822">
        <w:rPr>
          <w:rFonts w:ascii="Ambit" w:hAnsi="Ambit"/>
          <w:b/>
          <w:sz w:val="20"/>
          <w:szCs w:val="20"/>
        </w:rPr>
        <w:t xml:space="preserve"> – ANNUAL GENERAL MEETING 20</w:t>
      </w:r>
      <w:r w:rsidR="007F722E" w:rsidRPr="00636822">
        <w:rPr>
          <w:rFonts w:ascii="Ambit" w:hAnsi="Ambit"/>
          <w:b/>
          <w:sz w:val="20"/>
          <w:szCs w:val="20"/>
        </w:rPr>
        <w:t>2</w:t>
      </w:r>
      <w:r w:rsidR="008E52C3">
        <w:rPr>
          <w:rFonts w:ascii="Ambit" w:hAnsi="Ambit"/>
          <w:b/>
          <w:sz w:val="20"/>
          <w:szCs w:val="20"/>
        </w:rPr>
        <w:t>3</w:t>
      </w:r>
    </w:p>
    <w:p w14:paraId="117ED267" w14:textId="33716CE0" w:rsidR="00A42CFD" w:rsidRPr="00636822" w:rsidRDefault="00880A77" w:rsidP="00DC2E62">
      <w:pPr>
        <w:jc w:val="center"/>
        <w:rPr>
          <w:rFonts w:ascii="Ambit" w:hAnsi="Ambit"/>
          <w:b/>
          <w:sz w:val="20"/>
          <w:szCs w:val="20"/>
        </w:rPr>
      </w:pPr>
      <w:r w:rsidRPr="00636822">
        <w:rPr>
          <w:rFonts w:ascii="Ambit" w:hAnsi="Ambit"/>
          <w:b/>
          <w:sz w:val="20"/>
          <w:szCs w:val="20"/>
        </w:rPr>
        <w:t>Results of Annual General Meeting</w:t>
      </w:r>
      <w:r w:rsidR="00D21F6C" w:rsidRPr="00636822">
        <w:rPr>
          <w:rFonts w:ascii="Ambit" w:hAnsi="Ambit"/>
          <w:b/>
          <w:sz w:val="20"/>
          <w:szCs w:val="20"/>
        </w:rPr>
        <w:t xml:space="preserve"> (AGM)</w:t>
      </w:r>
      <w:r w:rsidR="00921DED" w:rsidRPr="00636822">
        <w:rPr>
          <w:rFonts w:ascii="Ambit" w:hAnsi="Ambit"/>
          <w:b/>
          <w:sz w:val="20"/>
          <w:szCs w:val="20"/>
        </w:rPr>
        <w:t xml:space="preserve"> held on </w:t>
      </w:r>
      <w:r w:rsidR="008E52C3">
        <w:rPr>
          <w:rFonts w:ascii="Ambit" w:hAnsi="Ambit"/>
          <w:b/>
          <w:sz w:val="20"/>
          <w:szCs w:val="20"/>
        </w:rPr>
        <w:t>20 June 2023</w:t>
      </w:r>
    </w:p>
    <w:p w14:paraId="495A7EBA" w14:textId="2CE09AE8" w:rsidR="00C840D2" w:rsidRPr="00636822" w:rsidRDefault="006F29F1" w:rsidP="008E52C3">
      <w:pPr>
        <w:jc w:val="center"/>
        <w:rPr>
          <w:rFonts w:ascii="Ambit" w:hAnsi="Ambit"/>
          <w:sz w:val="20"/>
          <w:szCs w:val="20"/>
        </w:rPr>
      </w:pPr>
      <w:r w:rsidRPr="00636822">
        <w:rPr>
          <w:rFonts w:ascii="Ambit" w:hAnsi="Ambit"/>
          <w:sz w:val="20"/>
          <w:szCs w:val="20"/>
        </w:rPr>
        <w:t>Saga plc (</w:t>
      </w:r>
      <w:r w:rsidR="00880A77" w:rsidRPr="00636822">
        <w:rPr>
          <w:rFonts w:ascii="Ambit" w:hAnsi="Ambit"/>
          <w:sz w:val="20"/>
          <w:szCs w:val="20"/>
        </w:rPr>
        <w:t xml:space="preserve">the </w:t>
      </w:r>
      <w:r w:rsidR="00880A77" w:rsidRPr="00B012D7">
        <w:rPr>
          <w:rFonts w:ascii="Ambit" w:hAnsi="Ambit"/>
          <w:b/>
          <w:bCs/>
          <w:sz w:val="20"/>
          <w:szCs w:val="20"/>
        </w:rPr>
        <w:t>Company</w:t>
      </w:r>
      <w:r w:rsidR="00880A77" w:rsidRPr="00636822">
        <w:rPr>
          <w:rFonts w:ascii="Ambit" w:hAnsi="Ambit"/>
          <w:sz w:val="20"/>
          <w:szCs w:val="20"/>
        </w:rPr>
        <w:t xml:space="preserve">) </w:t>
      </w:r>
      <w:r w:rsidR="00BF32D7" w:rsidRPr="00636822">
        <w:rPr>
          <w:rFonts w:ascii="Ambit" w:hAnsi="Ambit"/>
          <w:sz w:val="20"/>
          <w:szCs w:val="20"/>
        </w:rPr>
        <w:t>announces that,</w:t>
      </w:r>
      <w:r w:rsidR="00880A77" w:rsidRPr="00636822">
        <w:rPr>
          <w:rFonts w:ascii="Ambit" w:hAnsi="Ambit"/>
          <w:sz w:val="20"/>
          <w:szCs w:val="20"/>
        </w:rPr>
        <w:t xml:space="preserve"> at its </w:t>
      </w:r>
      <w:r w:rsidR="00593F06" w:rsidRPr="00636822">
        <w:rPr>
          <w:rFonts w:ascii="Ambit" w:hAnsi="Ambit"/>
          <w:sz w:val="20"/>
          <w:szCs w:val="20"/>
        </w:rPr>
        <w:t>AGM</w:t>
      </w:r>
      <w:r w:rsidR="00D21F6C" w:rsidRPr="00636822">
        <w:rPr>
          <w:rFonts w:ascii="Ambit" w:hAnsi="Ambit"/>
          <w:sz w:val="20"/>
          <w:szCs w:val="20"/>
        </w:rPr>
        <w:t xml:space="preserve"> held </w:t>
      </w:r>
      <w:r w:rsidR="00BF32D7" w:rsidRPr="00636822">
        <w:rPr>
          <w:rFonts w:ascii="Ambit" w:hAnsi="Ambit"/>
          <w:sz w:val="20"/>
          <w:szCs w:val="20"/>
        </w:rPr>
        <w:t xml:space="preserve">earlier </w:t>
      </w:r>
      <w:r w:rsidR="00D21F6C" w:rsidRPr="00636822">
        <w:rPr>
          <w:rFonts w:ascii="Ambit" w:hAnsi="Ambit"/>
          <w:sz w:val="20"/>
          <w:szCs w:val="20"/>
        </w:rPr>
        <w:t xml:space="preserve">today at </w:t>
      </w:r>
      <w:r w:rsidR="008E52C3">
        <w:rPr>
          <w:rFonts w:ascii="Ambit" w:hAnsi="Ambit"/>
          <w:sz w:val="20"/>
          <w:szCs w:val="20"/>
        </w:rPr>
        <w:t xml:space="preserve">the office of </w:t>
      </w:r>
      <w:proofErr w:type="spellStart"/>
      <w:r w:rsidR="008E52C3">
        <w:rPr>
          <w:rFonts w:ascii="Ambit" w:hAnsi="Ambit"/>
          <w:sz w:val="20"/>
          <w:szCs w:val="20"/>
        </w:rPr>
        <w:t>Numis</w:t>
      </w:r>
      <w:proofErr w:type="spellEnd"/>
      <w:r w:rsidR="008E52C3">
        <w:rPr>
          <w:rFonts w:ascii="Ambit" w:hAnsi="Ambit"/>
          <w:sz w:val="20"/>
          <w:szCs w:val="20"/>
        </w:rPr>
        <w:t xml:space="preserve"> Securities Limited, 45 Gresham Street, London EC2V 7BF</w:t>
      </w:r>
      <w:r w:rsidR="00BF32D7" w:rsidRPr="00636822">
        <w:rPr>
          <w:rFonts w:ascii="Ambit" w:hAnsi="Ambit"/>
          <w:sz w:val="20"/>
          <w:szCs w:val="20"/>
        </w:rPr>
        <w:t xml:space="preserve">, the resolutions set </w:t>
      </w:r>
      <w:r w:rsidR="00500915" w:rsidRPr="00636822">
        <w:rPr>
          <w:rFonts w:ascii="Ambit" w:hAnsi="Ambit"/>
          <w:sz w:val="20"/>
          <w:szCs w:val="20"/>
        </w:rPr>
        <w:t xml:space="preserve">out in the Notice of AGM dated </w:t>
      </w:r>
      <w:r w:rsidR="008E52C3">
        <w:rPr>
          <w:rFonts w:ascii="Ambit" w:hAnsi="Ambit"/>
          <w:sz w:val="20"/>
          <w:szCs w:val="20"/>
        </w:rPr>
        <w:t xml:space="preserve">15 </w:t>
      </w:r>
      <w:r w:rsidR="00921DED" w:rsidRPr="00636822">
        <w:rPr>
          <w:rFonts w:ascii="Ambit" w:hAnsi="Ambit"/>
          <w:sz w:val="20"/>
          <w:szCs w:val="20"/>
        </w:rPr>
        <w:t xml:space="preserve">May </w:t>
      </w:r>
      <w:r w:rsidR="00926395" w:rsidRPr="00636822">
        <w:rPr>
          <w:rFonts w:ascii="Ambit" w:hAnsi="Ambit"/>
          <w:sz w:val="20"/>
          <w:szCs w:val="20"/>
        </w:rPr>
        <w:t>202</w:t>
      </w:r>
      <w:r w:rsidR="008E52C3">
        <w:rPr>
          <w:rFonts w:ascii="Ambit" w:hAnsi="Ambit"/>
          <w:sz w:val="20"/>
          <w:szCs w:val="20"/>
        </w:rPr>
        <w:t>3</w:t>
      </w:r>
      <w:r w:rsidR="00926395" w:rsidRPr="00636822">
        <w:rPr>
          <w:rFonts w:ascii="Ambit" w:hAnsi="Ambit"/>
          <w:sz w:val="20"/>
          <w:szCs w:val="20"/>
        </w:rPr>
        <w:t xml:space="preserve"> </w:t>
      </w:r>
      <w:r w:rsidR="00BF32D7" w:rsidRPr="00636822">
        <w:rPr>
          <w:rFonts w:ascii="Ambit" w:hAnsi="Ambit"/>
          <w:sz w:val="20"/>
          <w:szCs w:val="20"/>
        </w:rPr>
        <w:t>were passed following a poll on each resolution.</w:t>
      </w:r>
      <w:r w:rsidR="00880A77" w:rsidRPr="00636822">
        <w:rPr>
          <w:rFonts w:ascii="Ambit" w:hAnsi="Ambit"/>
          <w:sz w:val="20"/>
          <w:szCs w:val="20"/>
        </w:rPr>
        <w:t xml:space="preserve"> </w:t>
      </w:r>
      <w:r w:rsidR="00D21F6C" w:rsidRPr="00636822">
        <w:rPr>
          <w:rFonts w:ascii="Ambit" w:hAnsi="Ambit"/>
          <w:sz w:val="20"/>
          <w:szCs w:val="20"/>
        </w:rPr>
        <w:t xml:space="preserve">In accordance with the Company’s Articles of Association, on a poll every member present in person or by proxy has one vote for every share held. </w:t>
      </w:r>
      <w:r w:rsidR="005F72F2" w:rsidRPr="00636822">
        <w:rPr>
          <w:rFonts w:ascii="Ambit" w:hAnsi="Ambit"/>
          <w:sz w:val="20"/>
          <w:szCs w:val="20"/>
        </w:rPr>
        <w:t>Resolutions 1-</w:t>
      </w:r>
      <w:r w:rsidR="00921DED" w:rsidRPr="00636822">
        <w:rPr>
          <w:rFonts w:ascii="Ambit" w:hAnsi="Ambit"/>
          <w:sz w:val="20"/>
          <w:szCs w:val="20"/>
        </w:rPr>
        <w:t>1</w:t>
      </w:r>
      <w:r w:rsidR="008E52C3">
        <w:rPr>
          <w:rFonts w:ascii="Ambit" w:hAnsi="Ambit"/>
          <w:sz w:val="20"/>
          <w:szCs w:val="20"/>
        </w:rPr>
        <w:t>7</w:t>
      </w:r>
      <w:r w:rsidR="00880A77" w:rsidRPr="00636822">
        <w:rPr>
          <w:rFonts w:ascii="Ambit" w:hAnsi="Ambit"/>
          <w:sz w:val="20"/>
          <w:szCs w:val="20"/>
        </w:rPr>
        <w:t xml:space="preserve"> were passed as ordinary </w:t>
      </w:r>
      <w:r w:rsidR="00926395" w:rsidRPr="00636822">
        <w:rPr>
          <w:rFonts w:ascii="Ambit" w:hAnsi="Ambit"/>
          <w:sz w:val="20"/>
          <w:szCs w:val="20"/>
        </w:rPr>
        <w:t>resolutions;</w:t>
      </w:r>
      <w:r w:rsidR="00A43186" w:rsidRPr="00636822">
        <w:rPr>
          <w:rFonts w:ascii="Ambit" w:hAnsi="Ambit"/>
          <w:sz w:val="20"/>
          <w:szCs w:val="20"/>
        </w:rPr>
        <w:t xml:space="preserve"> Resolutions</w:t>
      </w:r>
      <w:r w:rsidR="00880A77" w:rsidRPr="00636822">
        <w:rPr>
          <w:rFonts w:ascii="Ambit" w:hAnsi="Ambit"/>
          <w:sz w:val="20"/>
          <w:szCs w:val="20"/>
        </w:rPr>
        <w:t xml:space="preserve"> </w:t>
      </w:r>
      <w:r w:rsidR="00926395" w:rsidRPr="00636822">
        <w:rPr>
          <w:rFonts w:ascii="Ambit" w:hAnsi="Ambit"/>
          <w:sz w:val="20"/>
          <w:szCs w:val="20"/>
        </w:rPr>
        <w:t>1</w:t>
      </w:r>
      <w:r w:rsidR="008E52C3">
        <w:rPr>
          <w:rFonts w:ascii="Ambit" w:hAnsi="Ambit"/>
          <w:sz w:val="20"/>
          <w:szCs w:val="20"/>
        </w:rPr>
        <w:t>8</w:t>
      </w:r>
      <w:r w:rsidR="00926395" w:rsidRPr="00636822">
        <w:rPr>
          <w:rFonts w:ascii="Ambit" w:hAnsi="Ambit"/>
          <w:sz w:val="20"/>
          <w:szCs w:val="20"/>
        </w:rPr>
        <w:t>-</w:t>
      </w:r>
      <w:r w:rsidR="008E52C3">
        <w:rPr>
          <w:rFonts w:ascii="Ambit" w:hAnsi="Ambit"/>
          <w:sz w:val="20"/>
          <w:szCs w:val="20"/>
        </w:rPr>
        <w:t>21</w:t>
      </w:r>
      <w:r w:rsidR="00926395" w:rsidRPr="00636822">
        <w:rPr>
          <w:rFonts w:ascii="Ambit" w:hAnsi="Ambit"/>
          <w:sz w:val="20"/>
          <w:szCs w:val="20"/>
        </w:rPr>
        <w:t xml:space="preserve"> </w:t>
      </w:r>
      <w:r w:rsidR="00880A77" w:rsidRPr="00636822">
        <w:rPr>
          <w:rFonts w:ascii="Ambit" w:hAnsi="Ambit"/>
          <w:sz w:val="20"/>
          <w:szCs w:val="20"/>
        </w:rPr>
        <w:t>were passed as special resolutions.</w:t>
      </w:r>
      <w:r w:rsidR="00CE4469" w:rsidRPr="00636822">
        <w:rPr>
          <w:rFonts w:ascii="Ambit" w:hAnsi="Ambit"/>
          <w:sz w:val="20"/>
          <w:szCs w:val="20"/>
        </w:rPr>
        <w:t xml:space="preserve"> The following table shows the votes cast on each resolution. </w:t>
      </w:r>
    </w:p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985"/>
        <w:gridCol w:w="1134"/>
        <w:gridCol w:w="1701"/>
        <w:gridCol w:w="1276"/>
        <w:gridCol w:w="1701"/>
        <w:gridCol w:w="1701"/>
      </w:tblGrid>
      <w:tr w:rsidR="00CE4469" w:rsidRPr="00636822" w14:paraId="7449EED2" w14:textId="77777777" w:rsidTr="00566E2F">
        <w:tc>
          <w:tcPr>
            <w:tcW w:w="567" w:type="dxa"/>
          </w:tcPr>
          <w:p w14:paraId="2FBC8016" w14:textId="77777777" w:rsidR="00CE4469" w:rsidRPr="00636822" w:rsidRDefault="00CE4469" w:rsidP="00566E2F">
            <w:pPr>
              <w:rPr>
                <w:rFonts w:ascii="Ambit" w:hAnsi="Ambit"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D8A8FA6" w14:textId="77777777" w:rsidR="00CE4469" w:rsidRPr="00636822" w:rsidRDefault="00CE4469" w:rsidP="00566E2F">
            <w:pPr>
              <w:rPr>
                <w:rFonts w:ascii="Ambit" w:hAnsi="Ambit" w:cstheme="minorHAnsi"/>
                <w:b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b/>
                <w:sz w:val="20"/>
                <w:szCs w:val="20"/>
              </w:rPr>
              <w:t>RESOLUTION</w:t>
            </w:r>
          </w:p>
        </w:tc>
        <w:tc>
          <w:tcPr>
            <w:tcW w:w="1985" w:type="dxa"/>
          </w:tcPr>
          <w:p w14:paraId="77B5D454" w14:textId="77777777" w:rsidR="00CE4469" w:rsidRPr="00636822" w:rsidRDefault="00CE4469" w:rsidP="00566E2F">
            <w:pPr>
              <w:rPr>
                <w:rFonts w:ascii="Ambit" w:hAnsi="Ambit" w:cstheme="minorHAnsi"/>
                <w:b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b/>
                <w:sz w:val="20"/>
                <w:szCs w:val="20"/>
              </w:rPr>
              <w:t>VOTES FOR</w:t>
            </w:r>
          </w:p>
        </w:tc>
        <w:tc>
          <w:tcPr>
            <w:tcW w:w="1134" w:type="dxa"/>
          </w:tcPr>
          <w:p w14:paraId="159F92A1" w14:textId="77777777" w:rsidR="00CE4469" w:rsidRPr="00636822" w:rsidRDefault="00CE4469" w:rsidP="00566E2F">
            <w:pPr>
              <w:rPr>
                <w:rFonts w:ascii="Ambit" w:hAnsi="Ambit" w:cstheme="minorHAnsi"/>
                <w:b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b/>
                <w:sz w:val="20"/>
                <w:szCs w:val="20"/>
              </w:rPr>
              <w:t>% OF VOTES CAST</w:t>
            </w:r>
            <w:r w:rsidR="00D93B4E" w:rsidRPr="00636822">
              <w:rPr>
                <w:rFonts w:ascii="Ambit" w:hAnsi="Ambit" w:cstheme="minorHAnsi"/>
                <w:b/>
                <w:sz w:val="20"/>
                <w:szCs w:val="20"/>
              </w:rPr>
              <w:t xml:space="preserve"> FOR</w:t>
            </w:r>
          </w:p>
        </w:tc>
        <w:tc>
          <w:tcPr>
            <w:tcW w:w="1701" w:type="dxa"/>
          </w:tcPr>
          <w:p w14:paraId="25C8E48F" w14:textId="77777777" w:rsidR="00CE4469" w:rsidRPr="00636822" w:rsidRDefault="00CE4469" w:rsidP="00566E2F">
            <w:pPr>
              <w:rPr>
                <w:rFonts w:ascii="Ambit" w:hAnsi="Ambit" w:cstheme="minorHAnsi"/>
                <w:b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b/>
                <w:sz w:val="20"/>
                <w:szCs w:val="20"/>
              </w:rPr>
              <w:t>VOTES AGAINST</w:t>
            </w:r>
          </w:p>
        </w:tc>
        <w:tc>
          <w:tcPr>
            <w:tcW w:w="1276" w:type="dxa"/>
          </w:tcPr>
          <w:p w14:paraId="26F51306" w14:textId="77777777" w:rsidR="00CE4469" w:rsidRPr="00636822" w:rsidRDefault="00CE4469" w:rsidP="00566E2F">
            <w:pPr>
              <w:rPr>
                <w:rFonts w:ascii="Ambit" w:hAnsi="Ambit" w:cstheme="minorHAnsi"/>
                <w:b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b/>
                <w:sz w:val="20"/>
                <w:szCs w:val="20"/>
              </w:rPr>
              <w:t>% OF VOTES CAST</w:t>
            </w:r>
            <w:r w:rsidR="00D93B4E" w:rsidRPr="00636822">
              <w:rPr>
                <w:rFonts w:ascii="Ambit" w:hAnsi="Ambit" w:cstheme="minorHAnsi"/>
                <w:b/>
                <w:sz w:val="20"/>
                <w:szCs w:val="20"/>
              </w:rPr>
              <w:t xml:space="preserve"> AGAINST</w:t>
            </w:r>
          </w:p>
        </w:tc>
        <w:tc>
          <w:tcPr>
            <w:tcW w:w="1701" w:type="dxa"/>
          </w:tcPr>
          <w:p w14:paraId="22E79530" w14:textId="77777777" w:rsidR="00CE4469" w:rsidRPr="00636822" w:rsidRDefault="00CE4469" w:rsidP="00566E2F">
            <w:pPr>
              <w:rPr>
                <w:rFonts w:ascii="Ambit" w:hAnsi="Ambit" w:cstheme="minorHAnsi"/>
                <w:b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b/>
                <w:sz w:val="20"/>
                <w:szCs w:val="20"/>
              </w:rPr>
              <w:t>VOTES WITHHELD</w:t>
            </w:r>
          </w:p>
        </w:tc>
        <w:tc>
          <w:tcPr>
            <w:tcW w:w="1701" w:type="dxa"/>
          </w:tcPr>
          <w:p w14:paraId="29531B45" w14:textId="77777777" w:rsidR="00CE4469" w:rsidRPr="00636822" w:rsidRDefault="00CE4469" w:rsidP="00566E2F">
            <w:pPr>
              <w:rPr>
                <w:rFonts w:ascii="Ambit" w:hAnsi="Ambit" w:cstheme="minorHAnsi"/>
                <w:b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b/>
                <w:sz w:val="20"/>
                <w:szCs w:val="20"/>
              </w:rPr>
              <w:t>VOTES CAST IN TOTAL (INCLUDING VOTES WITHHELD)</w:t>
            </w:r>
          </w:p>
        </w:tc>
      </w:tr>
      <w:tr w:rsidR="00E47C75" w:rsidRPr="00636822" w14:paraId="6EC94B4B" w14:textId="77777777" w:rsidTr="002D1D19">
        <w:tc>
          <w:tcPr>
            <w:tcW w:w="567" w:type="dxa"/>
          </w:tcPr>
          <w:p w14:paraId="0305B2DA" w14:textId="77103BEE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14:paraId="44D82042" w14:textId="77777777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sz w:val="20"/>
                <w:szCs w:val="20"/>
              </w:rPr>
              <w:t>to receive the Annual Report and Accounts and Director and Auditor Reports for year ended</w:t>
            </w:r>
          </w:p>
          <w:p w14:paraId="0CAB0A9F" w14:textId="325A5520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sz w:val="20"/>
                <w:szCs w:val="20"/>
              </w:rPr>
              <w:t>31 January 202</w:t>
            </w:r>
            <w:r>
              <w:rPr>
                <w:rFonts w:ascii="Ambit" w:hAnsi="Ambit" w:cstheme="minorHAnsi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18C33CCC" w14:textId="74497F20" w:rsidR="00E47C75" w:rsidRDefault="00E47C75" w:rsidP="00E47C75">
            <w:pPr>
              <w:jc w:val="center"/>
              <w:rPr>
                <w:rFonts w:ascii="Ambit" w:hAnsi="Ambit" w:cs="Arial"/>
                <w:sz w:val="20"/>
                <w:szCs w:val="20"/>
              </w:rPr>
            </w:pPr>
            <w:r w:rsidRPr="000870ED">
              <w:t>70,167,729</w:t>
            </w:r>
          </w:p>
        </w:tc>
        <w:tc>
          <w:tcPr>
            <w:tcW w:w="1134" w:type="dxa"/>
            <w:shd w:val="clear" w:color="auto" w:fill="auto"/>
          </w:tcPr>
          <w:p w14:paraId="15003013" w14:textId="62E4734D" w:rsidR="00E47C75" w:rsidRPr="0092192F" w:rsidRDefault="00E47C75" w:rsidP="00E47C75">
            <w:pPr>
              <w:jc w:val="center"/>
              <w:rPr>
                <w:rFonts w:ascii="Ambit" w:hAnsi="Ambit" w:cs="Arial"/>
                <w:sz w:val="20"/>
                <w:szCs w:val="20"/>
              </w:rPr>
            </w:pPr>
            <w:r w:rsidRPr="000870ED">
              <w:t>99.95</w:t>
            </w:r>
          </w:p>
        </w:tc>
        <w:tc>
          <w:tcPr>
            <w:tcW w:w="1701" w:type="dxa"/>
            <w:shd w:val="clear" w:color="auto" w:fill="auto"/>
          </w:tcPr>
          <w:p w14:paraId="4341088E" w14:textId="2E0A9335" w:rsidR="00E47C75" w:rsidRPr="0092192F" w:rsidRDefault="00E47C75" w:rsidP="00E47C75">
            <w:pPr>
              <w:jc w:val="center"/>
              <w:rPr>
                <w:rFonts w:ascii="Ambit" w:hAnsi="Ambit" w:cs="Arial"/>
                <w:sz w:val="20"/>
                <w:szCs w:val="20"/>
              </w:rPr>
            </w:pPr>
            <w:r w:rsidRPr="000870ED">
              <w:t>34,856</w:t>
            </w:r>
          </w:p>
        </w:tc>
        <w:tc>
          <w:tcPr>
            <w:tcW w:w="1276" w:type="dxa"/>
            <w:shd w:val="clear" w:color="auto" w:fill="auto"/>
          </w:tcPr>
          <w:p w14:paraId="30F201E5" w14:textId="29949464" w:rsidR="00E47C75" w:rsidRPr="0092192F" w:rsidRDefault="00E47C75" w:rsidP="00E47C75">
            <w:pPr>
              <w:jc w:val="center"/>
              <w:rPr>
                <w:rFonts w:ascii="Ambit" w:hAnsi="Ambit" w:cs="Arial"/>
                <w:sz w:val="20"/>
                <w:szCs w:val="20"/>
              </w:rPr>
            </w:pPr>
            <w:r w:rsidRPr="000870ED">
              <w:t>0.05</w:t>
            </w:r>
          </w:p>
        </w:tc>
        <w:tc>
          <w:tcPr>
            <w:tcW w:w="1701" w:type="dxa"/>
            <w:shd w:val="clear" w:color="auto" w:fill="auto"/>
          </w:tcPr>
          <w:p w14:paraId="4F3F894E" w14:textId="26AF7258" w:rsidR="00E47C75" w:rsidRPr="0092192F" w:rsidRDefault="00E47C75" w:rsidP="00E47C75">
            <w:pPr>
              <w:jc w:val="center"/>
              <w:rPr>
                <w:rFonts w:ascii="Ambit" w:hAnsi="Ambit" w:cs="Arial"/>
                <w:sz w:val="20"/>
                <w:szCs w:val="20"/>
              </w:rPr>
            </w:pPr>
            <w:r w:rsidRPr="004F683A">
              <w:t>25,447</w:t>
            </w:r>
          </w:p>
        </w:tc>
        <w:tc>
          <w:tcPr>
            <w:tcW w:w="1701" w:type="dxa"/>
            <w:shd w:val="clear" w:color="auto" w:fill="auto"/>
          </w:tcPr>
          <w:p w14:paraId="53834A61" w14:textId="35464E5D" w:rsidR="00E47C75" w:rsidRPr="0092192F" w:rsidRDefault="00E47C75" w:rsidP="00E47C75">
            <w:pPr>
              <w:jc w:val="center"/>
              <w:rPr>
                <w:rFonts w:ascii="Ambit" w:hAnsi="Ambit" w:cs="Arial"/>
                <w:sz w:val="20"/>
                <w:szCs w:val="20"/>
              </w:rPr>
            </w:pPr>
            <w:r w:rsidRPr="00E70C06">
              <w:t>70,228,032</w:t>
            </w:r>
          </w:p>
        </w:tc>
      </w:tr>
      <w:tr w:rsidR="00E47C75" w:rsidRPr="00636822" w14:paraId="3A1E46A1" w14:textId="77777777" w:rsidTr="00D9024F">
        <w:tc>
          <w:tcPr>
            <w:tcW w:w="567" w:type="dxa"/>
          </w:tcPr>
          <w:p w14:paraId="5DA4FF30" w14:textId="77777777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14:paraId="1DDEB47F" w14:textId="0433A09A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sz w:val="20"/>
                <w:szCs w:val="20"/>
              </w:rPr>
              <w:t>to approve the Directors’ Remuneration Report</w:t>
            </w:r>
          </w:p>
        </w:tc>
        <w:tc>
          <w:tcPr>
            <w:tcW w:w="1985" w:type="dxa"/>
            <w:shd w:val="clear" w:color="auto" w:fill="auto"/>
          </w:tcPr>
          <w:p w14:paraId="03BF40BC" w14:textId="58CEF611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57,255,601</w:t>
            </w:r>
          </w:p>
        </w:tc>
        <w:tc>
          <w:tcPr>
            <w:tcW w:w="1134" w:type="dxa"/>
            <w:shd w:val="clear" w:color="auto" w:fill="auto"/>
          </w:tcPr>
          <w:p w14:paraId="5B23228B" w14:textId="4C89F539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81.75</w:t>
            </w:r>
          </w:p>
        </w:tc>
        <w:tc>
          <w:tcPr>
            <w:tcW w:w="1701" w:type="dxa"/>
            <w:shd w:val="clear" w:color="auto" w:fill="auto"/>
          </w:tcPr>
          <w:p w14:paraId="6DF11BD0" w14:textId="5CFFB160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12,782,808</w:t>
            </w:r>
          </w:p>
        </w:tc>
        <w:tc>
          <w:tcPr>
            <w:tcW w:w="1276" w:type="dxa"/>
            <w:shd w:val="clear" w:color="auto" w:fill="auto"/>
          </w:tcPr>
          <w:p w14:paraId="55C4FB4A" w14:textId="57C30A65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18.25</w:t>
            </w:r>
          </w:p>
        </w:tc>
        <w:tc>
          <w:tcPr>
            <w:tcW w:w="1701" w:type="dxa"/>
            <w:shd w:val="clear" w:color="auto" w:fill="auto"/>
          </w:tcPr>
          <w:p w14:paraId="00E92220" w14:textId="4091FB0B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4F683A">
              <w:t>194,130</w:t>
            </w:r>
          </w:p>
        </w:tc>
        <w:tc>
          <w:tcPr>
            <w:tcW w:w="1701" w:type="dxa"/>
            <w:shd w:val="clear" w:color="auto" w:fill="auto"/>
          </w:tcPr>
          <w:p w14:paraId="0ACEC9BE" w14:textId="5A8AB9CA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E70C06">
              <w:t>70,232,539</w:t>
            </w:r>
          </w:p>
        </w:tc>
      </w:tr>
      <w:tr w:rsidR="00E47C75" w:rsidRPr="00636822" w14:paraId="67F46E70" w14:textId="77777777" w:rsidTr="00D9024F">
        <w:tc>
          <w:tcPr>
            <w:tcW w:w="567" w:type="dxa"/>
          </w:tcPr>
          <w:p w14:paraId="604B22DD" w14:textId="0B3329AF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>
              <w:rPr>
                <w:rFonts w:ascii="Ambit" w:hAnsi="Ambit" w:cstheme="minorHAnsi"/>
                <w:sz w:val="20"/>
                <w:szCs w:val="20"/>
              </w:rPr>
              <w:t>3.</w:t>
            </w:r>
          </w:p>
        </w:tc>
        <w:tc>
          <w:tcPr>
            <w:tcW w:w="3969" w:type="dxa"/>
          </w:tcPr>
          <w:p w14:paraId="3D856FB9" w14:textId="1140A7B8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sz w:val="20"/>
                <w:szCs w:val="20"/>
              </w:rPr>
              <w:t xml:space="preserve">to </w:t>
            </w:r>
            <w:r>
              <w:rPr>
                <w:rFonts w:ascii="Ambit" w:hAnsi="Ambit" w:cstheme="minorHAnsi"/>
                <w:sz w:val="20"/>
                <w:szCs w:val="20"/>
              </w:rPr>
              <w:t>re-</w:t>
            </w:r>
            <w:r w:rsidRPr="00636822">
              <w:rPr>
                <w:rFonts w:ascii="Ambit" w:hAnsi="Ambit" w:cstheme="minorHAnsi"/>
                <w:sz w:val="20"/>
                <w:szCs w:val="20"/>
              </w:rPr>
              <w:t>elect</w:t>
            </w:r>
            <w:r>
              <w:rPr>
                <w:rFonts w:ascii="Ambit" w:hAnsi="Ambit" w:cstheme="minorHAnsi"/>
                <w:sz w:val="20"/>
                <w:szCs w:val="20"/>
              </w:rPr>
              <w:t xml:space="preserve"> Sir</w:t>
            </w:r>
            <w:r w:rsidRPr="00636822">
              <w:rPr>
                <w:rFonts w:ascii="Ambit" w:hAnsi="Ambit" w:cstheme="minorHAnsi"/>
                <w:sz w:val="20"/>
                <w:szCs w:val="20"/>
              </w:rPr>
              <w:t xml:space="preserve"> Roger De </w:t>
            </w:r>
            <w:proofErr w:type="spellStart"/>
            <w:r w:rsidRPr="00636822">
              <w:rPr>
                <w:rFonts w:ascii="Ambit" w:hAnsi="Ambit" w:cstheme="minorHAnsi"/>
                <w:sz w:val="20"/>
                <w:szCs w:val="20"/>
              </w:rPr>
              <w:t>Haan</w:t>
            </w:r>
            <w:proofErr w:type="spellEnd"/>
            <w:r w:rsidRPr="00636822">
              <w:rPr>
                <w:rFonts w:ascii="Ambit" w:hAnsi="Ambit" w:cstheme="minorHAnsi"/>
                <w:sz w:val="20"/>
                <w:szCs w:val="20"/>
              </w:rPr>
              <w:t xml:space="preserve"> as a director</w:t>
            </w:r>
          </w:p>
        </w:tc>
        <w:tc>
          <w:tcPr>
            <w:tcW w:w="1985" w:type="dxa"/>
            <w:shd w:val="clear" w:color="auto" w:fill="auto"/>
          </w:tcPr>
          <w:p w14:paraId="431BD437" w14:textId="783E58D1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69,072,921</w:t>
            </w:r>
          </w:p>
        </w:tc>
        <w:tc>
          <w:tcPr>
            <w:tcW w:w="1134" w:type="dxa"/>
            <w:shd w:val="clear" w:color="auto" w:fill="auto"/>
          </w:tcPr>
          <w:p w14:paraId="1DA90AD0" w14:textId="24F534BD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98.43</w:t>
            </w:r>
          </w:p>
        </w:tc>
        <w:tc>
          <w:tcPr>
            <w:tcW w:w="1701" w:type="dxa"/>
            <w:shd w:val="clear" w:color="auto" w:fill="auto"/>
          </w:tcPr>
          <w:p w14:paraId="79109651" w14:textId="6B67889D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1,104,297</w:t>
            </w:r>
          </w:p>
        </w:tc>
        <w:tc>
          <w:tcPr>
            <w:tcW w:w="1276" w:type="dxa"/>
            <w:shd w:val="clear" w:color="auto" w:fill="auto"/>
          </w:tcPr>
          <w:p w14:paraId="0C638994" w14:textId="1B0637BA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1.57</w:t>
            </w:r>
          </w:p>
        </w:tc>
        <w:tc>
          <w:tcPr>
            <w:tcW w:w="1701" w:type="dxa"/>
            <w:shd w:val="clear" w:color="auto" w:fill="auto"/>
          </w:tcPr>
          <w:p w14:paraId="61A1B8D2" w14:textId="531006BC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4F683A">
              <w:t>55,103</w:t>
            </w:r>
          </w:p>
        </w:tc>
        <w:tc>
          <w:tcPr>
            <w:tcW w:w="1701" w:type="dxa"/>
            <w:shd w:val="clear" w:color="auto" w:fill="auto"/>
          </w:tcPr>
          <w:p w14:paraId="143C4A20" w14:textId="6989387D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E70C06">
              <w:t>70,232,321</w:t>
            </w:r>
          </w:p>
        </w:tc>
      </w:tr>
      <w:tr w:rsidR="00E47C75" w:rsidRPr="00636822" w14:paraId="7E4FC497" w14:textId="77777777" w:rsidTr="00D9024F">
        <w:tc>
          <w:tcPr>
            <w:tcW w:w="567" w:type="dxa"/>
          </w:tcPr>
          <w:p w14:paraId="38E019A6" w14:textId="1488BA1C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>
              <w:rPr>
                <w:rFonts w:ascii="Ambit" w:hAnsi="Ambit" w:cstheme="minorHAnsi"/>
                <w:sz w:val="20"/>
                <w:szCs w:val="20"/>
              </w:rPr>
              <w:t>4.</w:t>
            </w:r>
          </w:p>
        </w:tc>
        <w:tc>
          <w:tcPr>
            <w:tcW w:w="3969" w:type="dxa"/>
          </w:tcPr>
          <w:p w14:paraId="0844C82E" w14:textId="68EBF79B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sz w:val="20"/>
                <w:szCs w:val="20"/>
              </w:rPr>
              <w:t>to re-elect Euan Sutherland as a director</w:t>
            </w:r>
          </w:p>
        </w:tc>
        <w:tc>
          <w:tcPr>
            <w:tcW w:w="1985" w:type="dxa"/>
            <w:shd w:val="clear" w:color="auto" w:fill="auto"/>
          </w:tcPr>
          <w:p w14:paraId="51C03C24" w14:textId="56707027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69,519,386</w:t>
            </w:r>
          </w:p>
        </w:tc>
        <w:tc>
          <w:tcPr>
            <w:tcW w:w="1134" w:type="dxa"/>
            <w:shd w:val="clear" w:color="auto" w:fill="auto"/>
          </w:tcPr>
          <w:p w14:paraId="56D00A18" w14:textId="26E2C7EB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99.09</w:t>
            </w:r>
          </w:p>
        </w:tc>
        <w:tc>
          <w:tcPr>
            <w:tcW w:w="1701" w:type="dxa"/>
            <w:shd w:val="clear" w:color="auto" w:fill="auto"/>
          </w:tcPr>
          <w:p w14:paraId="06200C78" w14:textId="0B581D50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641,467</w:t>
            </w:r>
          </w:p>
        </w:tc>
        <w:tc>
          <w:tcPr>
            <w:tcW w:w="1276" w:type="dxa"/>
            <w:shd w:val="clear" w:color="auto" w:fill="auto"/>
          </w:tcPr>
          <w:p w14:paraId="168B1197" w14:textId="33CBCC16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0.91</w:t>
            </w:r>
          </w:p>
        </w:tc>
        <w:tc>
          <w:tcPr>
            <w:tcW w:w="1701" w:type="dxa"/>
            <w:shd w:val="clear" w:color="auto" w:fill="auto"/>
          </w:tcPr>
          <w:p w14:paraId="702E97F5" w14:textId="162D90E6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4F683A">
              <w:t>71,764</w:t>
            </w:r>
          </w:p>
        </w:tc>
        <w:tc>
          <w:tcPr>
            <w:tcW w:w="1701" w:type="dxa"/>
            <w:shd w:val="clear" w:color="auto" w:fill="auto"/>
          </w:tcPr>
          <w:p w14:paraId="4688847F" w14:textId="1B438516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E70C06">
              <w:t>70,232,617</w:t>
            </w:r>
          </w:p>
        </w:tc>
      </w:tr>
      <w:tr w:rsidR="00E47C75" w:rsidRPr="00636822" w14:paraId="649E6BD7" w14:textId="77777777" w:rsidTr="00D9024F">
        <w:tc>
          <w:tcPr>
            <w:tcW w:w="567" w:type="dxa"/>
          </w:tcPr>
          <w:p w14:paraId="36887434" w14:textId="49D04305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>
              <w:rPr>
                <w:rFonts w:ascii="Ambit" w:hAnsi="Ambit" w:cstheme="minorHAnsi"/>
                <w:sz w:val="20"/>
                <w:szCs w:val="20"/>
              </w:rPr>
              <w:t>5</w:t>
            </w:r>
            <w:r w:rsidRPr="00636822">
              <w:rPr>
                <w:rFonts w:ascii="Ambit" w:hAnsi="Ambit" w:cstheme="minorHAnsi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2BDECBA7" w14:textId="373AB7A0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sz w:val="20"/>
                <w:szCs w:val="20"/>
              </w:rPr>
              <w:t>to re-elect James Quin as a director</w:t>
            </w:r>
          </w:p>
        </w:tc>
        <w:tc>
          <w:tcPr>
            <w:tcW w:w="1985" w:type="dxa"/>
            <w:shd w:val="clear" w:color="auto" w:fill="auto"/>
          </w:tcPr>
          <w:p w14:paraId="1D379A90" w14:textId="2644C6CD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69,620,371</w:t>
            </w:r>
          </w:p>
        </w:tc>
        <w:tc>
          <w:tcPr>
            <w:tcW w:w="1134" w:type="dxa"/>
            <w:shd w:val="clear" w:color="auto" w:fill="auto"/>
          </w:tcPr>
          <w:p w14:paraId="7931586E" w14:textId="78EC869A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99.23</w:t>
            </w:r>
          </w:p>
        </w:tc>
        <w:tc>
          <w:tcPr>
            <w:tcW w:w="1701" w:type="dxa"/>
            <w:shd w:val="clear" w:color="auto" w:fill="auto"/>
          </w:tcPr>
          <w:p w14:paraId="751A7728" w14:textId="594DE5A4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538,396</w:t>
            </w:r>
          </w:p>
        </w:tc>
        <w:tc>
          <w:tcPr>
            <w:tcW w:w="1276" w:type="dxa"/>
            <w:shd w:val="clear" w:color="auto" w:fill="auto"/>
          </w:tcPr>
          <w:p w14:paraId="135A3BD6" w14:textId="03D20161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0.77</w:t>
            </w:r>
          </w:p>
        </w:tc>
        <w:tc>
          <w:tcPr>
            <w:tcW w:w="1701" w:type="dxa"/>
            <w:shd w:val="clear" w:color="auto" w:fill="auto"/>
          </w:tcPr>
          <w:p w14:paraId="07B62F6D" w14:textId="792A0DC1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4F683A">
              <w:t>73,790</w:t>
            </w:r>
          </w:p>
        </w:tc>
        <w:tc>
          <w:tcPr>
            <w:tcW w:w="1701" w:type="dxa"/>
            <w:shd w:val="clear" w:color="auto" w:fill="auto"/>
          </w:tcPr>
          <w:p w14:paraId="7346224A" w14:textId="4C2DBB11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E70C06">
              <w:t>70,232,557</w:t>
            </w:r>
          </w:p>
        </w:tc>
      </w:tr>
      <w:tr w:rsidR="00E47C75" w:rsidRPr="00636822" w14:paraId="0E547C41" w14:textId="77777777" w:rsidTr="00D9024F">
        <w:tc>
          <w:tcPr>
            <w:tcW w:w="567" w:type="dxa"/>
          </w:tcPr>
          <w:p w14:paraId="2C9BF3CB" w14:textId="25276175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>
              <w:rPr>
                <w:rFonts w:ascii="Ambit" w:hAnsi="Ambit" w:cstheme="minorHAnsi"/>
                <w:sz w:val="20"/>
                <w:szCs w:val="20"/>
              </w:rPr>
              <w:t>6</w:t>
            </w:r>
            <w:r w:rsidRPr="00636822">
              <w:rPr>
                <w:rFonts w:ascii="Ambit" w:hAnsi="Ambit" w:cstheme="minorHAnsi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75E480AB" w14:textId="2851F40C" w:rsidR="00E47C75" w:rsidRPr="00636822" w:rsidRDefault="00E47C75" w:rsidP="00E47C75">
            <w:pPr>
              <w:tabs>
                <w:tab w:val="left" w:pos="1014"/>
                <w:tab w:val="center" w:pos="1876"/>
              </w:tabs>
              <w:rPr>
                <w:rFonts w:ascii="Ambit" w:hAnsi="Ambit" w:cstheme="minorHAnsi"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sz w:val="20"/>
                <w:szCs w:val="20"/>
              </w:rPr>
              <w:t>to re-elect E</w:t>
            </w:r>
            <w:r>
              <w:rPr>
                <w:rFonts w:ascii="Ambit" w:hAnsi="Ambit" w:cstheme="minorHAnsi"/>
                <w:sz w:val="20"/>
                <w:szCs w:val="20"/>
              </w:rPr>
              <w:t xml:space="preserve">va </w:t>
            </w:r>
            <w:proofErr w:type="spellStart"/>
            <w:r w:rsidRPr="008836F4">
              <w:rPr>
                <w:rFonts w:ascii="Ambit" w:hAnsi="Ambit" w:cstheme="minorHAnsi"/>
                <w:sz w:val="20"/>
                <w:szCs w:val="20"/>
              </w:rPr>
              <w:t>Eisenschimmel</w:t>
            </w:r>
            <w:proofErr w:type="spellEnd"/>
            <w:r w:rsidRPr="00636822">
              <w:rPr>
                <w:rFonts w:ascii="Ambit" w:hAnsi="Ambit" w:cstheme="minorHAnsi"/>
                <w:sz w:val="20"/>
                <w:szCs w:val="20"/>
              </w:rPr>
              <w:t xml:space="preserve"> as a director</w:t>
            </w:r>
          </w:p>
        </w:tc>
        <w:tc>
          <w:tcPr>
            <w:tcW w:w="1985" w:type="dxa"/>
            <w:shd w:val="clear" w:color="auto" w:fill="auto"/>
          </w:tcPr>
          <w:p w14:paraId="5A291CBA" w14:textId="49276C8E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65,632,320</w:t>
            </w:r>
          </w:p>
        </w:tc>
        <w:tc>
          <w:tcPr>
            <w:tcW w:w="1134" w:type="dxa"/>
            <w:shd w:val="clear" w:color="auto" w:fill="auto"/>
          </w:tcPr>
          <w:p w14:paraId="763FE81B" w14:textId="29072E84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93.55</w:t>
            </w:r>
          </w:p>
        </w:tc>
        <w:tc>
          <w:tcPr>
            <w:tcW w:w="1701" w:type="dxa"/>
            <w:shd w:val="clear" w:color="auto" w:fill="auto"/>
          </w:tcPr>
          <w:p w14:paraId="0CB83A2A" w14:textId="233CFBA7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4,524,389</w:t>
            </w:r>
          </w:p>
        </w:tc>
        <w:tc>
          <w:tcPr>
            <w:tcW w:w="1276" w:type="dxa"/>
            <w:shd w:val="clear" w:color="auto" w:fill="auto"/>
          </w:tcPr>
          <w:p w14:paraId="129C1588" w14:textId="0A72B580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6.45</w:t>
            </w:r>
          </w:p>
        </w:tc>
        <w:tc>
          <w:tcPr>
            <w:tcW w:w="1701" w:type="dxa"/>
            <w:shd w:val="clear" w:color="auto" w:fill="auto"/>
          </w:tcPr>
          <w:p w14:paraId="08F2C5B2" w14:textId="13DEDBD4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4F683A">
              <w:t>75,908</w:t>
            </w:r>
          </w:p>
        </w:tc>
        <w:tc>
          <w:tcPr>
            <w:tcW w:w="1701" w:type="dxa"/>
            <w:shd w:val="clear" w:color="auto" w:fill="auto"/>
          </w:tcPr>
          <w:p w14:paraId="6496F57C" w14:textId="51AEE164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E70C06">
              <w:t>70,232,617</w:t>
            </w:r>
          </w:p>
        </w:tc>
      </w:tr>
      <w:tr w:rsidR="00E47C75" w:rsidRPr="00636822" w14:paraId="0D005CBE" w14:textId="77777777" w:rsidTr="00D9024F">
        <w:tc>
          <w:tcPr>
            <w:tcW w:w="567" w:type="dxa"/>
          </w:tcPr>
          <w:p w14:paraId="5A2F73CC" w14:textId="12B6C17C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>
              <w:rPr>
                <w:rFonts w:ascii="Ambit" w:hAnsi="Ambit" w:cstheme="minorHAnsi"/>
                <w:sz w:val="20"/>
                <w:szCs w:val="20"/>
              </w:rPr>
              <w:t>7</w:t>
            </w:r>
            <w:r w:rsidRPr="00636822">
              <w:rPr>
                <w:rFonts w:ascii="Ambit" w:hAnsi="Ambit" w:cstheme="minorHAnsi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697A3D10" w14:textId="768573B9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sz w:val="20"/>
                <w:szCs w:val="20"/>
              </w:rPr>
              <w:t>to re-elect J</w:t>
            </w:r>
            <w:r>
              <w:rPr>
                <w:rFonts w:ascii="Ambit" w:hAnsi="Ambit" w:cstheme="minorHAnsi"/>
                <w:sz w:val="20"/>
                <w:szCs w:val="20"/>
              </w:rPr>
              <w:t>ulie Hopes</w:t>
            </w:r>
            <w:r w:rsidRPr="00636822">
              <w:rPr>
                <w:rFonts w:ascii="Ambit" w:hAnsi="Ambit" w:cstheme="minorHAnsi"/>
                <w:sz w:val="20"/>
                <w:szCs w:val="20"/>
              </w:rPr>
              <w:t xml:space="preserve"> as a director</w:t>
            </w:r>
          </w:p>
        </w:tc>
        <w:tc>
          <w:tcPr>
            <w:tcW w:w="1985" w:type="dxa"/>
            <w:shd w:val="clear" w:color="auto" w:fill="auto"/>
          </w:tcPr>
          <w:p w14:paraId="1185747E" w14:textId="1F76A726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67,941,307</w:t>
            </w:r>
          </w:p>
        </w:tc>
        <w:tc>
          <w:tcPr>
            <w:tcW w:w="1134" w:type="dxa"/>
            <w:shd w:val="clear" w:color="auto" w:fill="auto"/>
          </w:tcPr>
          <w:p w14:paraId="47D2CBE8" w14:textId="172932ED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96.84</w:t>
            </w:r>
          </w:p>
        </w:tc>
        <w:tc>
          <w:tcPr>
            <w:tcW w:w="1701" w:type="dxa"/>
            <w:shd w:val="clear" w:color="auto" w:fill="auto"/>
          </w:tcPr>
          <w:p w14:paraId="7CE55DB7" w14:textId="0F3AA63A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2,215,370</w:t>
            </w:r>
          </w:p>
        </w:tc>
        <w:tc>
          <w:tcPr>
            <w:tcW w:w="1276" w:type="dxa"/>
            <w:shd w:val="clear" w:color="auto" w:fill="auto"/>
          </w:tcPr>
          <w:p w14:paraId="06493EE7" w14:textId="3BBDE67F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3.16</w:t>
            </w:r>
          </w:p>
        </w:tc>
        <w:tc>
          <w:tcPr>
            <w:tcW w:w="1701" w:type="dxa"/>
            <w:shd w:val="clear" w:color="auto" w:fill="auto"/>
          </w:tcPr>
          <w:p w14:paraId="42FEDC7D" w14:textId="1E10384C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4F683A">
              <w:t>75,762</w:t>
            </w:r>
          </w:p>
        </w:tc>
        <w:tc>
          <w:tcPr>
            <w:tcW w:w="1701" w:type="dxa"/>
            <w:shd w:val="clear" w:color="auto" w:fill="auto"/>
          </w:tcPr>
          <w:p w14:paraId="465D8692" w14:textId="33CA0582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E70C06">
              <w:t>70,232,439</w:t>
            </w:r>
          </w:p>
        </w:tc>
      </w:tr>
      <w:tr w:rsidR="00E47C75" w:rsidRPr="00636822" w14:paraId="57EABD85" w14:textId="77777777" w:rsidTr="00D9024F">
        <w:tc>
          <w:tcPr>
            <w:tcW w:w="567" w:type="dxa"/>
          </w:tcPr>
          <w:p w14:paraId="61F2A65C" w14:textId="36D81AF9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>
              <w:rPr>
                <w:rFonts w:ascii="Ambit" w:hAnsi="Ambit" w:cstheme="minorHAnsi"/>
                <w:sz w:val="20"/>
                <w:szCs w:val="20"/>
              </w:rPr>
              <w:t>8</w:t>
            </w:r>
            <w:r w:rsidRPr="00636822">
              <w:rPr>
                <w:rFonts w:ascii="Ambit" w:hAnsi="Ambit" w:cstheme="minorHAnsi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34E5003F" w14:textId="6F8FB8F1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sz w:val="20"/>
                <w:szCs w:val="20"/>
              </w:rPr>
              <w:t xml:space="preserve">to re-elect </w:t>
            </w:r>
            <w:r>
              <w:rPr>
                <w:rFonts w:ascii="Ambit" w:hAnsi="Ambit" w:cstheme="minorHAnsi"/>
                <w:sz w:val="20"/>
                <w:szCs w:val="20"/>
              </w:rPr>
              <w:t>Gareth Hoskin</w:t>
            </w:r>
            <w:r w:rsidRPr="00636822">
              <w:rPr>
                <w:rFonts w:ascii="Ambit" w:hAnsi="Ambit" w:cstheme="minorHAnsi"/>
                <w:sz w:val="20"/>
                <w:szCs w:val="20"/>
              </w:rPr>
              <w:t xml:space="preserve"> as a director</w:t>
            </w:r>
          </w:p>
        </w:tc>
        <w:tc>
          <w:tcPr>
            <w:tcW w:w="1985" w:type="dxa"/>
            <w:shd w:val="clear" w:color="auto" w:fill="auto"/>
          </w:tcPr>
          <w:p w14:paraId="50474F25" w14:textId="642BF17A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69,661,511</w:t>
            </w:r>
          </w:p>
        </w:tc>
        <w:tc>
          <w:tcPr>
            <w:tcW w:w="1134" w:type="dxa"/>
            <w:shd w:val="clear" w:color="auto" w:fill="auto"/>
          </w:tcPr>
          <w:p w14:paraId="5AB42B9C" w14:textId="7C4B7902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99.29</w:t>
            </w:r>
          </w:p>
        </w:tc>
        <w:tc>
          <w:tcPr>
            <w:tcW w:w="1701" w:type="dxa"/>
            <w:shd w:val="clear" w:color="auto" w:fill="auto"/>
          </w:tcPr>
          <w:p w14:paraId="4CF9F276" w14:textId="0042C96F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497,706</w:t>
            </w:r>
          </w:p>
        </w:tc>
        <w:tc>
          <w:tcPr>
            <w:tcW w:w="1276" w:type="dxa"/>
            <w:shd w:val="clear" w:color="auto" w:fill="auto"/>
          </w:tcPr>
          <w:p w14:paraId="2BD77D33" w14:textId="49A7F7C0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0.71</w:t>
            </w:r>
          </w:p>
        </w:tc>
        <w:tc>
          <w:tcPr>
            <w:tcW w:w="1701" w:type="dxa"/>
            <w:shd w:val="clear" w:color="auto" w:fill="auto"/>
          </w:tcPr>
          <w:p w14:paraId="04EAC953" w14:textId="64063CE0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4F683A">
              <w:t>73,046</w:t>
            </w:r>
          </w:p>
        </w:tc>
        <w:tc>
          <w:tcPr>
            <w:tcW w:w="1701" w:type="dxa"/>
            <w:shd w:val="clear" w:color="auto" w:fill="auto"/>
          </w:tcPr>
          <w:p w14:paraId="3E3A26AE" w14:textId="4CCF4AF1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E70C06">
              <w:t>70,232,263</w:t>
            </w:r>
          </w:p>
        </w:tc>
      </w:tr>
      <w:tr w:rsidR="00E47C75" w:rsidRPr="00636822" w14:paraId="526FBDB6" w14:textId="77777777" w:rsidTr="00D9024F">
        <w:tc>
          <w:tcPr>
            <w:tcW w:w="567" w:type="dxa"/>
          </w:tcPr>
          <w:p w14:paraId="63758F20" w14:textId="6F66218A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>
              <w:rPr>
                <w:rFonts w:ascii="Ambit" w:hAnsi="Ambit" w:cstheme="minorHAnsi"/>
                <w:sz w:val="20"/>
                <w:szCs w:val="20"/>
              </w:rPr>
              <w:t>9</w:t>
            </w:r>
            <w:r w:rsidRPr="00636822">
              <w:rPr>
                <w:rFonts w:ascii="Ambit" w:hAnsi="Ambit" w:cstheme="minorHAnsi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3000A979" w14:textId="6DAD1129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sz w:val="20"/>
                <w:szCs w:val="20"/>
              </w:rPr>
              <w:t xml:space="preserve">to elect </w:t>
            </w:r>
            <w:r>
              <w:rPr>
                <w:rFonts w:ascii="Ambit" w:hAnsi="Ambit" w:cstheme="minorHAnsi"/>
                <w:sz w:val="20"/>
                <w:szCs w:val="20"/>
              </w:rPr>
              <w:t xml:space="preserve">Anand </w:t>
            </w:r>
            <w:proofErr w:type="spellStart"/>
            <w:r>
              <w:rPr>
                <w:rFonts w:ascii="Ambit" w:hAnsi="Ambit" w:cstheme="minorHAnsi"/>
                <w:sz w:val="20"/>
                <w:szCs w:val="20"/>
              </w:rPr>
              <w:t>Aithal</w:t>
            </w:r>
            <w:proofErr w:type="spellEnd"/>
            <w:r>
              <w:rPr>
                <w:rFonts w:ascii="Ambit" w:hAnsi="Ambit" w:cstheme="minorHAnsi"/>
                <w:sz w:val="20"/>
                <w:szCs w:val="20"/>
              </w:rPr>
              <w:t xml:space="preserve"> </w:t>
            </w:r>
            <w:r w:rsidRPr="00636822">
              <w:rPr>
                <w:rFonts w:ascii="Ambit" w:hAnsi="Ambit" w:cstheme="minorHAnsi"/>
                <w:sz w:val="20"/>
                <w:szCs w:val="20"/>
              </w:rPr>
              <w:t>as a director</w:t>
            </w:r>
          </w:p>
        </w:tc>
        <w:tc>
          <w:tcPr>
            <w:tcW w:w="1985" w:type="dxa"/>
            <w:shd w:val="clear" w:color="auto" w:fill="auto"/>
          </w:tcPr>
          <w:p w14:paraId="2472618C" w14:textId="446EB7AB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69,659,507</w:t>
            </w:r>
          </w:p>
        </w:tc>
        <w:tc>
          <w:tcPr>
            <w:tcW w:w="1134" w:type="dxa"/>
            <w:shd w:val="clear" w:color="auto" w:fill="auto"/>
          </w:tcPr>
          <w:p w14:paraId="5315027D" w14:textId="2E839A8B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99.28</w:t>
            </w:r>
          </w:p>
        </w:tc>
        <w:tc>
          <w:tcPr>
            <w:tcW w:w="1701" w:type="dxa"/>
            <w:shd w:val="clear" w:color="auto" w:fill="auto"/>
          </w:tcPr>
          <w:p w14:paraId="680D4BF3" w14:textId="05B208A6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505,651</w:t>
            </w:r>
          </w:p>
        </w:tc>
        <w:tc>
          <w:tcPr>
            <w:tcW w:w="1276" w:type="dxa"/>
            <w:shd w:val="clear" w:color="auto" w:fill="auto"/>
          </w:tcPr>
          <w:p w14:paraId="6127A19C" w14:textId="6C143C2C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0.72</w:t>
            </w:r>
          </w:p>
        </w:tc>
        <w:tc>
          <w:tcPr>
            <w:tcW w:w="1701" w:type="dxa"/>
            <w:shd w:val="clear" w:color="auto" w:fill="auto"/>
          </w:tcPr>
          <w:p w14:paraId="486FD2EF" w14:textId="493565EC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4F683A">
              <w:t>66,965</w:t>
            </w:r>
          </w:p>
        </w:tc>
        <w:tc>
          <w:tcPr>
            <w:tcW w:w="1701" w:type="dxa"/>
            <w:shd w:val="clear" w:color="auto" w:fill="auto"/>
          </w:tcPr>
          <w:p w14:paraId="04FBFEEF" w14:textId="504E735A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E70C06">
              <w:t>70,232,123</w:t>
            </w:r>
          </w:p>
        </w:tc>
      </w:tr>
      <w:tr w:rsidR="00E47C75" w:rsidRPr="00636822" w14:paraId="5D437BC6" w14:textId="77777777" w:rsidTr="00D9024F">
        <w:trPr>
          <w:trHeight w:val="335"/>
        </w:trPr>
        <w:tc>
          <w:tcPr>
            <w:tcW w:w="567" w:type="dxa"/>
          </w:tcPr>
          <w:p w14:paraId="23CDD360" w14:textId="2AB6ADE1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>
              <w:rPr>
                <w:rFonts w:ascii="Ambit" w:hAnsi="Ambit" w:cstheme="minorHAnsi"/>
                <w:sz w:val="20"/>
                <w:szCs w:val="20"/>
              </w:rPr>
              <w:t>10</w:t>
            </w:r>
            <w:r w:rsidRPr="00636822">
              <w:rPr>
                <w:rFonts w:ascii="Ambit" w:hAnsi="Ambit" w:cstheme="minorHAnsi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2A32BEB3" w14:textId="3BE8C44B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sz w:val="20"/>
                <w:szCs w:val="20"/>
              </w:rPr>
              <w:t xml:space="preserve">to elect </w:t>
            </w:r>
            <w:r>
              <w:rPr>
                <w:rFonts w:ascii="Ambit" w:hAnsi="Ambit" w:cstheme="minorHAnsi"/>
                <w:sz w:val="20"/>
                <w:szCs w:val="20"/>
              </w:rPr>
              <w:t xml:space="preserve">Sir Peter </w:t>
            </w:r>
            <w:proofErr w:type="spellStart"/>
            <w:r>
              <w:rPr>
                <w:rFonts w:ascii="Ambit" w:hAnsi="Ambit" w:cstheme="minorHAnsi"/>
                <w:sz w:val="20"/>
                <w:szCs w:val="20"/>
              </w:rPr>
              <w:t>Bazalgette</w:t>
            </w:r>
            <w:proofErr w:type="spellEnd"/>
            <w:r>
              <w:rPr>
                <w:rFonts w:ascii="Ambit" w:hAnsi="Ambit" w:cstheme="minorHAnsi"/>
                <w:sz w:val="20"/>
                <w:szCs w:val="20"/>
              </w:rPr>
              <w:t xml:space="preserve"> </w:t>
            </w:r>
            <w:r w:rsidRPr="00636822">
              <w:rPr>
                <w:rFonts w:ascii="Ambit" w:hAnsi="Ambit" w:cstheme="minorHAnsi"/>
                <w:sz w:val="20"/>
                <w:szCs w:val="20"/>
              </w:rPr>
              <w:t>as a director</w:t>
            </w:r>
          </w:p>
        </w:tc>
        <w:tc>
          <w:tcPr>
            <w:tcW w:w="1985" w:type="dxa"/>
            <w:shd w:val="clear" w:color="auto" w:fill="auto"/>
          </w:tcPr>
          <w:p w14:paraId="77CAB509" w14:textId="6637021E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68,260,826</w:t>
            </w:r>
          </w:p>
        </w:tc>
        <w:tc>
          <w:tcPr>
            <w:tcW w:w="1134" w:type="dxa"/>
            <w:shd w:val="clear" w:color="auto" w:fill="auto"/>
          </w:tcPr>
          <w:p w14:paraId="36901C92" w14:textId="63FC171C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97.29</w:t>
            </w:r>
          </w:p>
        </w:tc>
        <w:tc>
          <w:tcPr>
            <w:tcW w:w="1701" w:type="dxa"/>
            <w:shd w:val="clear" w:color="auto" w:fill="auto"/>
          </w:tcPr>
          <w:p w14:paraId="51A4E215" w14:textId="3F9F07E0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1,903,358</w:t>
            </w:r>
          </w:p>
        </w:tc>
        <w:tc>
          <w:tcPr>
            <w:tcW w:w="1276" w:type="dxa"/>
            <w:shd w:val="clear" w:color="auto" w:fill="auto"/>
          </w:tcPr>
          <w:p w14:paraId="3D821FB0" w14:textId="709CB306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2.71</w:t>
            </w:r>
          </w:p>
        </w:tc>
        <w:tc>
          <w:tcPr>
            <w:tcW w:w="1701" w:type="dxa"/>
            <w:shd w:val="clear" w:color="auto" w:fill="auto"/>
          </w:tcPr>
          <w:p w14:paraId="44067788" w14:textId="68114142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4F683A">
              <w:t>68,087</w:t>
            </w:r>
          </w:p>
        </w:tc>
        <w:tc>
          <w:tcPr>
            <w:tcW w:w="1701" w:type="dxa"/>
            <w:shd w:val="clear" w:color="auto" w:fill="auto"/>
          </w:tcPr>
          <w:p w14:paraId="47247904" w14:textId="21E78317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E70C06">
              <w:t>70,232,271</w:t>
            </w:r>
          </w:p>
        </w:tc>
      </w:tr>
      <w:tr w:rsidR="00E47C75" w:rsidRPr="00636822" w14:paraId="37546AF1" w14:textId="77777777" w:rsidTr="00D9024F">
        <w:tc>
          <w:tcPr>
            <w:tcW w:w="567" w:type="dxa"/>
          </w:tcPr>
          <w:p w14:paraId="00F0354C" w14:textId="0D01C4F3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>
              <w:rPr>
                <w:rFonts w:ascii="Ambit" w:hAnsi="Ambit" w:cstheme="minorHAnsi"/>
                <w:sz w:val="20"/>
                <w:szCs w:val="20"/>
              </w:rPr>
              <w:t>11</w:t>
            </w:r>
            <w:r w:rsidRPr="00636822">
              <w:rPr>
                <w:rFonts w:ascii="Ambit" w:hAnsi="Ambit" w:cstheme="minorHAnsi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1A395A56" w14:textId="4EBB8C18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sz w:val="20"/>
                <w:szCs w:val="20"/>
              </w:rPr>
              <w:t xml:space="preserve">to elect </w:t>
            </w:r>
            <w:r>
              <w:rPr>
                <w:rFonts w:ascii="Ambit" w:hAnsi="Ambit" w:cstheme="minorHAnsi"/>
                <w:sz w:val="20"/>
                <w:szCs w:val="20"/>
              </w:rPr>
              <w:t xml:space="preserve">Gemma Godfrey </w:t>
            </w:r>
            <w:r w:rsidRPr="00636822">
              <w:rPr>
                <w:rFonts w:ascii="Ambit" w:hAnsi="Ambit" w:cstheme="minorHAnsi"/>
                <w:sz w:val="20"/>
                <w:szCs w:val="20"/>
              </w:rPr>
              <w:t>as a director</w:t>
            </w:r>
          </w:p>
        </w:tc>
        <w:tc>
          <w:tcPr>
            <w:tcW w:w="1985" w:type="dxa"/>
            <w:shd w:val="clear" w:color="auto" w:fill="auto"/>
          </w:tcPr>
          <w:p w14:paraId="254B51CA" w14:textId="27AC7814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67,517,419</w:t>
            </w:r>
          </w:p>
        </w:tc>
        <w:tc>
          <w:tcPr>
            <w:tcW w:w="1134" w:type="dxa"/>
            <w:shd w:val="clear" w:color="auto" w:fill="auto"/>
          </w:tcPr>
          <w:p w14:paraId="558D685E" w14:textId="4839C1F6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96.20</w:t>
            </w:r>
          </w:p>
        </w:tc>
        <w:tc>
          <w:tcPr>
            <w:tcW w:w="1701" w:type="dxa"/>
            <w:shd w:val="clear" w:color="auto" w:fill="auto"/>
          </w:tcPr>
          <w:p w14:paraId="2CE9C643" w14:textId="358E2224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2,669,035</w:t>
            </w:r>
          </w:p>
        </w:tc>
        <w:tc>
          <w:tcPr>
            <w:tcW w:w="1276" w:type="dxa"/>
            <w:shd w:val="clear" w:color="auto" w:fill="auto"/>
          </w:tcPr>
          <w:p w14:paraId="1F67CDE9" w14:textId="7FCE4001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3.80</w:t>
            </w:r>
          </w:p>
        </w:tc>
        <w:tc>
          <w:tcPr>
            <w:tcW w:w="1701" w:type="dxa"/>
            <w:shd w:val="clear" w:color="auto" w:fill="auto"/>
          </w:tcPr>
          <w:p w14:paraId="6C5327C1" w14:textId="4741B05A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4F683A">
              <w:t>45,798</w:t>
            </w:r>
          </w:p>
        </w:tc>
        <w:tc>
          <w:tcPr>
            <w:tcW w:w="1701" w:type="dxa"/>
            <w:shd w:val="clear" w:color="auto" w:fill="auto"/>
          </w:tcPr>
          <w:p w14:paraId="4D28F539" w14:textId="200D2623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E70C06">
              <w:t>70,232,252</w:t>
            </w:r>
          </w:p>
        </w:tc>
      </w:tr>
      <w:tr w:rsidR="00E47C75" w:rsidRPr="00636822" w14:paraId="2E5CE49A" w14:textId="77777777" w:rsidTr="00D9024F">
        <w:tc>
          <w:tcPr>
            <w:tcW w:w="567" w:type="dxa"/>
          </w:tcPr>
          <w:p w14:paraId="1A1CF6CF" w14:textId="5A2EDC3E" w:rsidR="00E47C75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>
              <w:rPr>
                <w:rFonts w:ascii="Ambit" w:hAnsi="Ambit" w:cstheme="minorHAnsi"/>
                <w:sz w:val="20"/>
                <w:szCs w:val="20"/>
              </w:rPr>
              <w:t>12.</w:t>
            </w:r>
          </w:p>
        </w:tc>
        <w:tc>
          <w:tcPr>
            <w:tcW w:w="3969" w:type="dxa"/>
          </w:tcPr>
          <w:p w14:paraId="64351D7E" w14:textId="5D80E438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sz w:val="20"/>
                <w:szCs w:val="20"/>
              </w:rPr>
              <w:t xml:space="preserve">to elect </w:t>
            </w:r>
            <w:r>
              <w:rPr>
                <w:rFonts w:ascii="Ambit" w:hAnsi="Ambit" w:cstheme="minorHAnsi"/>
                <w:sz w:val="20"/>
                <w:szCs w:val="20"/>
              </w:rPr>
              <w:t xml:space="preserve">Steve Kingshott </w:t>
            </w:r>
            <w:r w:rsidRPr="00636822">
              <w:rPr>
                <w:rFonts w:ascii="Ambit" w:hAnsi="Ambit" w:cstheme="minorHAnsi"/>
                <w:sz w:val="20"/>
                <w:szCs w:val="20"/>
              </w:rPr>
              <w:t>as a director</w:t>
            </w:r>
          </w:p>
        </w:tc>
        <w:tc>
          <w:tcPr>
            <w:tcW w:w="1985" w:type="dxa"/>
            <w:shd w:val="clear" w:color="auto" w:fill="auto"/>
          </w:tcPr>
          <w:p w14:paraId="64B950C0" w14:textId="267A6B83" w:rsidR="00E47C75" w:rsidRPr="00A91BA0" w:rsidRDefault="00E47C75" w:rsidP="00E47C75">
            <w:pPr>
              <w:jc w:val="center"/>
              <w:rPr>
                <w:rFonts w:ascii="Ambit" w:hAnsi="Ambit" w:cs="Arial"/>
                <w:sz w:val="20"/>
                <w:szCs w:val="20"/>
              </w:rPr>
            </w:pPr>
            <w:r w:rsidRPr="000870ED">
              <w:t>69,573,205</w:t>
            </w:r>
          </w:p>
        </w:tc>
        <w:tc>
          <w:tcPr>
            <w:tcW w:w="1134" w:type="dxa"/>
            <w:shd w:val="clear" w:color="auto" w:fill="auto"/>
          </w:tcPr>
          <w:p w14:paraId="345BB7C2" w14:textId="417B51E3" w:rsidR="00E47C75" w:rsidRPr="00A91BA0" w:rsidRDefault="00E47C75" w:rsidP="00E47C75">
            <w:pPr>
              <w:jc w:val="center"/>
              <w:rPr>
                <w:rFonts w:ascii="Ambit" w:hAnsi="Ambit" w:cs="Arial"/>
                <w:sz w:val="20"/>
                <w:szCs w:val="20"/>
              </w:rPr>
            </w:pPr>
            <w:r w:rsidRPr="000870ED">
              <w:t>99.15</w:t>
            </w:r>
          </w:p>
        </w:tc>
        <w:tc>
          <w:tcPr>
            <w:tcW w:w="1701" w:type="dxa"/>
            <w:shd w:val="clear" w:color="auto" w:fill="auto"/>
          </w:tcPr>
          <w:p w14:paraId="3DA5576E" w14:textId="33014E61" w:rsidR="00E47C75" w:rsidRPr="00A91BA0" w:rsidRDefault="00E47C75" w:rsidP="00E47C75">
            <w:pPr>
              <w:jc w:val="center"/>
              <w:rPr>
                <w:rFonts w:ascii="Ambit" w:hAnsi="Ambit" w:cs="Arial"/>
                <w:sz w:val="20"/>
                <w:szCs w:val="20"/>
              </w:rPr>
            </w:pPr>
            <w:r w:rsidRPr="000870ED">
              <w:t>595,261</w:t>
            </w:r>
          </w:p>
        </w:tc>
        <w:tc>
          <w:tcPr>
            <w:tcW w:w="1276" w:type="dxa"/>
            <w:shd w:val="clear" w:color="auto" w:fill="auto"/>
          </w:tcPr>
          <w:p w14:paraId="0B17FB85" w14:textId="54289BB4" w:rsidR="00E47C75" w:rsidRPr="00A91BA0" w:rsidRDefault="00E47C75" w:rsidP="00E47C75">
            <w:pPr>
              <w:jc w:val="center"/>
              <w:rPr>
                <w:rFonts w:ascii="Ambit" w:hAnsi="Ambit" w:cs="Arial"/>
                <w:sz w:val="20"/>
                <w:szCs w:val="20"/>
              </w:rPr>
            </w:pPr>
            <w:r w:rsidRPr="000870ED">
              <w:t>0.85</w:t>
            </w:r>
          </w:p>
        </w:tc>
        <w:tc>
          <w:tcPr>
            <w:tcW w:w="1701" w:type="dxa"/>
            <w:shd w:val="clear" w:color="auto" w:fill="auto"/>
          </w:tcPr>
          <w:p w14:paraId="3218C7A7" w14:textId="3E1748A2" w:rsidR="00E47C75" w:rsidRPr="00A91BA0" w:rsidRDefault="00E47C75" w:rsidP="00E47C75">
            <w:pPr>
              <w:jc w:val="center"/>
              <w:rPr>
                <w:rFonts w:ascii="Ambit" w:hAnsi="Ambit" w:cs="Arial"/>
                <w:sz w:val="20"/>
                <w:szCs w:val="20"/>
              </w:rPr>
            </w:pPr>
            <w:r w:rsidRPr="004F683A">
              <w:t>63,597</w:t>
            </w:r>
          </w:p>
        </w:tc>
        <w:tc>
          <w:tcPr>
            <w:tcW w:w="1701" w:type="dxa"/>
            <w:shd w:val="clear" w:color="auto" w:fill="auto"/>
          </w:tcPr>
          <w:p w14:paraId="7BB01D31" w14:textId="337CBF98" w:rsidR="00E47C75" w:rsidRPr="00A91BA0" w:rsidRDefault="00E47C75" w:rsidP="00E47C75">
            <w:pPr>
              <w:jc w:val="center"/>
              <w:rPr>
                <w:rFonts w:ascii="Ambit" w:hAnsi="Ambit" w:cs="Arial"/>
                <w:sz w:val="20"/>
                <w:szCs w:val="20"/>
              </w:rPr>
            </w:pPr>
            <w:r w:rsidRPr="00E70C06">
              <w:t>70,232,063</w:t>
            </w:r>
          </w:p>
        </w:tc>
      </w:tr>
      <w:tr w:rsidR="00E47C75" w:rsidRPr="00636822" w14:paraId="04BAF629" w14:textId="77777777" w:rsidTr="00D9024F">
        <w:tc>
          <w:tcPr>
            <w:tcW w:w="567" w:type="dxa"/>
          </w:tcPr>
          <w:p w14:paraId="3C977438" w14:textId="47EB0238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sz w:val="20"/>
                <w:szCs w:val="20"/>
              </w:rPr>
              <w:t>1</w:t>
            </w:r>
            <w:r>
              <w:rPr>
                <w:rFonts w:ascii="Ambit" w:hAnsi="Ambit" w:cstheme="minorHAnsi"/>
                <w:sz w:val="20"/>
                <w:szCs w:val="20"/>
              </w:rPr>
              <w:t>3</w:t>
            </w:r>
            <w:r w:rsidRPr="00636822">
              <w:rPr>
                <w:rFonts w:ascii="Ambit" w:hAnsi="Ambit" w:cstheme="minorHAnsi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19526BED" w14:textId="22EDBBCA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sz w:val="20"/>
                <w:szCs w:val="20"/>
              </w:rPr>
              <w:t>to re-appoint KPMG LLP as auditor</w:t>
            </w:r>
          </w:p>
        </w:tc>
        <w:tc>
          <w:tcPr>
            <w:tcW w:w="1985" w:type="dxa"/>
            <w:shd w:val="clear" w:color="auto" w:fill="auto"/>
          </w:tcPr>
          <w:p w14:paraId="0A0325F0" w14:textId="188B7C71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69,687,134</w:t>
            </w:r>
          </w:p>
        </w:tc>
        <w:tc>
          <w:tcPr>
            <w:tcW w:w="1134" w:type="dxa"/>
            <w:shd w:val="clear" w:color="auto" w:fill="auto"/>
          </w:tcPr>
          <w:p w14:paraId="35D31C90" w14:textId="1E40AB62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99.57</w:t>
            </w:r>
          </w:p>
        </w:tc>
        <w:tc>
          <w:tcPr>
            <w:tcW w:w="1701" w:type="dxa"/>
            <w:shd w:val="clear" w:color="auto" w:fill="auto"/>
          </w:tcPr>
          <w:p w14:paraId="7EFB98E0" w14:textId="19CB1EA7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302,092</w:t>
            </w:r>
          </w:p>
        </w:tc>
        <w:tc>
          <w:tcPr>
            <w:tcW w:w="1276" w:type="dxa"/>
            <w:shd w:val="clear" w:color="auto" w:fill="auto"/>
          </w:tcPr>
          <w:p w14:paraId="1524BE0B" w14:textId="2D842941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0.43</w:t>
            </w:r>
          </w:p>
        </w:tc>
        <w:tc>
          <w:tcPr>
            <w:tcW w:w="1701" w:type="dxa"/>
            <w:shd w:val="clear" w:color="auto" w:fill="auto"/>
          </w:tcPr>
          <w:p w14:paraId="3D9B586E" w14:textId="2218A862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4F683A">
              <w:t>242,793</w:t>
            </w:r>
          </w:p>
        </w:tc>
        <w:tc>
          <w:tcPr>
            <w:tcW w:w="1701" w:type="dxa"/>
            <w:shd w:val="clear" w:color="auto" w:fill="auto"/>
          </w:tcPr>
          <w:p w14:paraId="0B9C42CA" w14:textId="44075139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E70C06">
              <w:t>70,232,019</w:t>
            </w:r>
          </w:p>
        </w:tc>
      </w:tr>
      <w:tr w:rsidR="00E47C75" w:rsidRPr="00636822" w14:paraId="37D4AF17" w14:textId="77777777" w:rsidTr="00D9024F">
        <w:tc>
          <w:tcPr>
            <w:tcW w:w="567" w:type="dxa"/>
          </w:tcPr>
          <w:p w14:paraId="13822DE8" w14:textId="104E459E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sz w:val="20"/>
                <w:szCs w:val="20"/>
              </w:rPr>
              <w:lastRenderedPageBreak/>
              <w:t>1</w:t>
            </w:r>
            <w:r>
              <w:rPr>
                <w:rFonts w:ascii="Ambit" w:hAnsi="Ambit" w:cstheme="minorHAnsi"/>
                <w:sz w:val="20"/>
                <w:szCs w:val="20"/>
              </w:rPr>
              <w:t>4</w:t>
            </w:r>
            <w:r w:rsidRPr="00636822">
              <w:rPr>
                <w:rFonts w:ascii="Ambit" w:hAnsi="Ambit" w:cstheme="minorHAnsi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0427DACD" w14:textId="07D72901" w:rsidR="00E47C75" w:rsidRPr="00636822" w:rsidRDefault="00E47C75" w:rsidP="00E47C75">
            <w:pPr>
              <w:tabs>
                <w:tab w:val="left" w:pos="1315"/>
              </w:tabs>
              <w:rPr>
                <w:rFonts w:ascii="Ambit" w:hAnsi="Ambit" w:cstheme="minorHAnsi"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sz w:val="20"/>
                <w:szCs w:val="20"/>
              </w:rPr>
              <w:t>to authorise the Audit Committee to agree the remuneration of the auditor</w:t>
            </w:r>
          </w:p>
        </w:tc>
        <w:tc>
          <w:tcPr>
            <w:tcW w:w="1985" w:type="dxa"/>
            <w:shd w:val="clear" w:color="auto" w:fill="auto"/>
          </w:tcPr>
          <w:p w14:paraId="0801A2D3" w14:textId="3244E5A2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69,759,455</w:t>
            </w:r>
          </w:p>
        </w:tc>
        <w:tc>
          <w:tcPr>
            <w:tcW w:w="1134" w:type="dxa"/>
            <w:shd w:val="clear" w:color="auto" w:fill="auto"/>
          </w:tcPr>
          <w:p w14:paraId="41D01C8B" w14:textId="298730BE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99.69</w:t>
            </w:r>
          </w:p>
        </w:tc>
        <w:tc>
          <w:tcPr>
            <w:tcW w:w="1701" w:type="dxa"/>
            <w:shd w:val="clear" w:color="auto" w:fill="auto"/>
          </w:tcPr>
          <w:p w14:paraId="67E3DA8F" w14:textId="5395999B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216,239</w:t>
            </w:r>
          </w:p>
        </w:tc>
        <w:tc>
          <w:tcPr>
            <w:tcW w:w="1276" w:type="dxa"/>
            <w:shd w:val="clear" w:color="auto" w:fill="auto"/>
          </w:tcPr>
          <w:p w14:paraId="2B448687" w14:textId="0B7BC963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0.31</w:t>
            </w:r>
          </w:p>
        </w:tc>
        <w:tc>
          <w:tcPr>
            <w:tcW w:w="1701" w:type="dxa"/>
            <w:shd w:val="clear" w:color="auto" w:fill="auto"/>
          </w:tcPr>
          <w:p w14:paraId="7EE9B611" w14:textId="55ED91E0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4F683A">
              <w:t>256,722</w:t>
            </w:r>
          </w:p>
        </w:tc>
        <w:tc>
          <w:tcPr>
            <w:tcW w:w="1701" w:type="dxa"/>
            <w:shd w:val="clear" w:color="auto" w:fill="auto"/>
          </w:tcPr>
          <w:p w14:paraId="66FA9FE3" w14:textId="5C1A32C0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E70C06">
              <w:t>70,232,416</w:t>
            </w:r>
          </w:p>
        </w:tc>
      </w:tr>
      <w:tr w:rsidR="00E47C75" w:rsidRPr="00636822" w14:paraId="38A11F64" w14:textId="77777777" w:rsidTr="00A57809">
        <w:tc>
          <w:tcPr>
            <w:tcW w:w="567" w:type="dxa"/>
          </w:tcPr>
          <w:p w14:paraId="754DE735" w14:textId="7174743D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sz w:val="20"/>
                <w:szCs w:val="20"/>
              </w:rPr>
              <w:t>1</w:t>
            </w:r>
            <w:r>
              <w:rPr>
                <w:rFonts w:ascii="Ambit" w:hAnsi="Ambit" w:cstheme="minorHAnsi"/>
                <w:sz w:val="20"/>
                <w:szCs w:val="20"/>
              </w:rPr>
              <w:t>5</w:t>
            </w:r>
            <w:r w:rsidRPr="00636822">
              <w:rPr>
                <w:rFonts w:ascii="Ambit" w:hAnsi="Ambit" w:cstheme="minorHAnsi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48ABE4FF" w14:textId="0B2BB13F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sz w:val="20"/>
                <w:szCs w:val="20"/>
              </w:rPr>
              <w:t>to authorise the Directors to make political donations and expenditure up to a specified amount</w:t>
            </w:r>
          </w:p>
        </w:tc>
        <w:tc>
          <w:tcPr>
            <w:tcW w:w="1985" w:type="dxa"/>
            <w:shd w:val="clear" w:color="auto" w:fill="auto"/>
          </w:tcPr>
          <w:p w14:paraId="057CF783" w14:textId="678C07EC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69,254,873</w:t>
            </w:r>
          </w:p>
        </w:tc>
        <w:tc>
          <w:tcPr>
            <w:tcW w:w="1134" w:type="dxa"/>
            <w:shd w:val="clear" w:color="auto" w:fill="auto"/>
          </w:tcPr>
          <w:p w14:paraId="26300D25" w14:textId="0C82A0D8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98.65</w:t>
            </w:r>
          </w:p>
        </w:tc>
        <w:tc>
          <w:tcPr>
            <w:tcW w:w="1701" w:type="dxa"/>
            <w:shd w:val="clear" w:color="auto" w:fill="auto"/>
          </w:tcPr>
          <w:p w14:paraId="1C7512E5" w14:textId="4CDD240E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949,324</w:t>
            </w:r>
          </w:p>
        </w:tc>
        <w:tc>
          <w:tcPr>
            <w:tcW w:w="1276" w:type="dxa"/>
            <w:shd w:val="clear" w:color="auto" w:fill="auto"/>
          </w:tcPr>
          <w:p w14:paraId="5262957C" w14:textId="2111141D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1.35</w:t>
            </w:r>
          </w:p>
        </w:tc>
        <w:tc>
          <w:tcPr>
            <w:tcW w:w="1701" w:type="dxa"/>
            <w:shd w:val="clear" w:color="auto" w:fill="auto"/>
          </w:tcPr>
          <w:p w14:paraId="2B0D9C07" w14:textId="6CDA3FF2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4F683A">
              <w:t>28,523</w:t>
            </w:r>
          </w:p>
        </w:tc>
        <w:tc>
          <w:tcPr>
            <w:tcW w:w="1701" w:type="dxa"/>
            <w:shd w:val="clear" w:color="auto" w:fill="auto"/>
          </w:tcPr>
          <w:p w14:paraId="44277430" w14:textId="1BF89BCC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E70C06">
              <w:t>70,232,720</w:t>
            </w:r>
          </w:p>
        </w:tc>
      </w:tr>
      <w:tr w:rsidR="00E47C75" w:rsidRPr="00636822" w14:paraId="15B25CE3" w14:textId="77777777" w:rsidTr="00A57809">
        <w:tc>
          <w:tcPr>
            <w:tcW w:w="567" w:type="dxa"/>
          </w:tcPr>
          <w:p w14:paraId="2FF6C919" w14:textId="5C2CF2F3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>
              <w:rPr>
                <w:rFonts w:ascii="Ambit" w:hAnsi="Ambit" w:cstheme="minorHAnsi"/>
                <w:sz w:val="20"/>
                <w:szCs w:val="20"/>
              </w:rPr>
              <w:t>16.</w:t>
            </w:r>
          </w:p>
        </w:tc>
        <w:tc>
          <w:tcPr>
            <w:tcW w:w="3969" w:type="dxa"/>
          </w:tcPr>
          <w:p w14:paraId="298D8725" w14:textId="3530A050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>
              <w:rPr>
                <w:rFonts w:ascii="Ambit" w:hAnsi="Ambit" w:cstheme="minorHAnsi"/>
                <w:sz w:val="20"/>
                <w:szCs w:val="20"/>
              </w:rPr>
              <w:t xml:space="preserve">To </w:t>
            </w:r>
            <w:r w:rsidRPr="00384404">
              <w:rPr>
                <w:rFonts w:ascii="Ambit" w:hAnsi="Ambit" w:cstheme="minorHAnsi"/>
                <w:sz w:val="20"/>
                <w:szCs w:val="20"/>
              </w:rPr>
              <w:t>approve the Saga plc 2023 Deferred Bonus Plan</w:t>
            </w:r>
          </w:p>
        </w:tc>
        <w:tc>
          <w:tcPr>
            <w:tcW w:w="1985" w:type="dxa"/>
            <w:shd w:val="clear" w:color="auto" w:fill="auto"/>
          </w:tcPr>
          <w:p w14:paraId="35865FB9" w14:textId="75FCB737" w:rsidR="00E47C75" w:rsidRPr="000754F3" w:rsidRDefault="00E47C75" w:rsidP="00E47C75">
            <w:pPr>
              <w:jc w:val="center"/>
              <w:rPr>
                <w:rFonts w:ascii="Ambit" w:hAnsi="Ambit" w:cs="Arial"/>
                <w:sz w:val="20"/>
                <w:szCs w:val="20"/>
              </w:rPr>
            </w:pPr>
            <w:r w:rsidRPr="000870ED">
              <w:t>67,501,649</w:t>
            </w:r>
          </w:p>
        </w:tc>
        <w:tc>
          <w:tcPr>
            <w:tcW w:w="1134" w:type="dxa"/>
            <w:shd w:val="clear" w:color="auto" w:fill="auto"/>
          </w:tcPr>
          <w:p w14:paraId="7F130868" w14:textId="58B12FF4" w:rsidR="00E47C75" w:rsidRPr="000754F3" w:rsidRDefault="00E47C75" w:rsidP="00E47C75">
            <w:pPr>
              <w:jc w:val="center"/>
              <w:rPr>
                <w:rFonts w:ascii="Ambit" w:hAnsi="Ambit" w:cs="Arial"/>
                <w:sz w:val="20"/>
                <w:szCs w:val="20"/>
              </w:rPr>
            </w:pPr>
            <w:r w:rsidRPr="000870ED">
              <w:t>96.36</w:t>
            </w:r>
          </w:p>
        </w:tc>
        <w:tc>
          <w:tcPr>
            <w:tcW w:w="1701" w:type="dxa"/>
            <w:shd w:val="clear" w:color="auto" w:fill="auto"/>
          </w:tcPr>
          <w:p w14:paraId="18367392" w14:textId="59E3F836" w:rsidR="00E47C75" w:rsidRPr="000754F3" w:rsidRDefault="00E47C75" w:rsidP="00E47C75">
            <w:pPr>
              <w:jc w:val="center"/>
              <w:rPr>
                <w:rFonts w:ascii="Ambit" w:hAnsi="Ambit" w:cs="Arial"/>
                <w:sz w:val="20"/>
                <w:szCs w:val="20"/>
              </w:rPr>
            </w:pPr>
            <w:r w:rsidRPr="000870ED">
              <w:t>2,547,717</w:t>
            </w:r>
          </w:p>
        </w:tc>
        <w:tc>
          <w:tcPr>
            <w:tcW w:w="1276" w:type="dxa"/>
            <w:shd w:val="clear" w:color="auto" w:fill="auto"/>
          </w:tcPr>
          <w:p w14:paraId="7BFC7031" w14:textId="788CD40D" w:rsidR="00E47C75" w:rsidRPr="000754F3" w:rsidRDefault="00E47C75" w:rsidP="00E47C75">
            <w:pPr>
              <w:jc w:val="center"/>
              <w:rPr>
                <w:rFonts w:ascii="Ambit" w:hAnsi="Ambit" w:cs="Arial"/>
                <w:sz w:val="20"/>
                <w:szCs w:val="20"/>
              </w:rPr>
            </w:pPr>
            <w:r w:rsidRPr="000870ED">
              <w:t>3.64</w:t>
            </w:r>
          </w:p>
        </w:tc>
        <w:tc>
          <w:tcPr>
            <w:tcW w:w="1701" w:type="dxa"/>
            <w:shd w:val="clear" w:color="auto" w:fill="auto"/>
          </w:tcPr>
          <w:p w14:paraId="1E6904EF" w14:textId="64FBDAEC" w:rsidR="00E47C75" w:rsidRPr="000754F3" w:rsidRDefault="00E47C75" w:rsidP="00E47C75">
            <w:pPr>
              <w:jc w:val="center"/>
              <w:rPr>
                <w:rFonts w:ascii="Ambit" w:hAnsi="Ambit" w:cs="Arial"/>
                <w:sz w:val="20"/>
                <w:szCs w:val="20"/>
              </w:rPr>
            </w:pPr>
            <w:r w:rsidRPr="004F683A">
              <w:t>182,807</w:t>
            </w:r>
          </w:p>
        </w:tc>
        <w:tc>
          <w:tcPr>
            <w:tcW w:w="1701" w:type="dxa"/>
            <w:shd w:val="clear" w:color="auto" w:fill="auto"/>
          </w:tcPr>
          <w:p w14:paraId="3DEF057D" w14:textId="0ECDACBB" w:rsidR="00E47C75" w:rsidRPr="000754F3" w:rsidRDefault="00E47C75" w:rsidP="00E47C75">
            <w:pPr>
              <w:jc w:val="center"/>
              <w:rPr>
                <w:rFonts w:ascii="Ambit" w:hAnsi="Ambit" w:cs="Arial"/>
                <w:sz w:val="20"/>
                <w:szCs w:val="20"/>
              </w:rPr>
            </w:pPr>
            <w:r w:rsidRPr="00E70C06">
              <w:t>70,232,173</w:t>
            </w:r>
          </w:p>
        </w:tc>
      </w:tr>
      <w:tr w:rsidR="00E47C75" w:rsidRPr="00636822" w14:paraId="2D196521" w14:textId="77777777" w:rsidTr="00A57809">
        <w:tc>
          <w:tcPr>
            <w:tcW w:w="567" w:type="dxa"/>
          </w:tcPr>
          <w:p w14:paraId="183E23E2" w14:textId="7F400CFB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sz w:val="20"/>
                <w:szCs w:val="20"/>
              </w:rPr>
              <w:t>1</w:t>
            </w:r>
            <w:r>
              <w:rPr>
                <w:rFonts w:ascii="Ambit" w:hAnsi="Ambit" w:cstheme="minorHAnsi"/>
                <w:sz w:val="20"/>
                <w:szCs w:val="20"/>
              </w:rPr>
              <w:t>7</w:t>
            </w:r>
            <w:r w:rsidRPr="00636822">
              <w:rPr>
                <w:rFonts w:ascii="Ambit" w:hAnsi="Ambit" w:cstheme="minorHAnsi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22F365CD" w14:textId="0598C8F0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sz w:val="20"/>
                <w:szCs w:val="20"/>
              </w:rPr>
              <w:t>to authorise the Directors to allot shares up to a specified amount</w:t>
            </w:r>
          </w:p>
        </w:tc>
        <w:tc>
          <w:tcPr>
            <w:tcW w:w="1985" w:type="dxa"/>
            <w:shd w:val="clear" w:color="auto" w:fill="auto"/>
          </w:tcPr>
          <w:p w14:paraId="6E9534FF" w14:textId="7130C465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68,335,998</w:t>
            </w:r>
          </w:p>
        </w:tc>
        <w:tc>
          <w:tcPr>
            <w:tcW w:w="1134" w:type="dxa"/>
            <w:shd w:val="clear" w:color="auto" w:fill="auto"/>
          </w:tcPr>
          <w:p w14:paraId="6D1F1E6F" w14:textId="3CFB8651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97.52</w:t>
            </w:r>
          </w:p>
        </w:tc>
        <w:tc>
          <w:tcPr>
            <w:tcW w:w="1701" w:type="dxa"/>
            <w:shd w:val="clear" w:color="auto" w:fill="auto"/>
          </w:tcPr>
          <w:p w14:paraId="5DDF75A5" w14:textId="34BEB16A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1,738,659</w:t>
            </w:r>
          </w:p>
        </w:tc>
        <w:tc>
          <w:tcPr>
            <w:tcW w:w="1276" w:type="dxa"/>
            <w:shd w:val="clear" w:color="auto" w:fill="auto"/>
          </w:tcPr>
          <w:p w14:paraId="60B11561" w14:textId="75DEDAC8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2.48</w:t>
            </w:r>
          </w:p>
        </w:tc>
        <w:tc>
          <w:tcPr>
            <w:tcW w:w="1701" w:type="dxa"/>
            <w:shd w:val="clear" w:color="auto" w:fill="auto"/>
          </w:tcPr>
          <w:p w14:paraId="048E0D4C" w14:textId="06190034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4F683A">
              <w:t>157,754</w:t>
            </w:r>
          </w:p>
        </w:tc>
        <w:tc>
          <w:tcPr>
            <w:tcW w:w="1701" w:type="dxa"/>
            <w:shd w:val="clear" w:color="auto" w:fill="auto"/>
          </w:tcPr>
          <w:p w14:paraId="58A0D507" w14:textId="53062A16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E70C06">
              <w:t>70,232,411</w:t>
            </w:r>
          </w:p>
        </w:tc>
      </w:tr>
      <w:tr w:rsidR="00E47C75" w:rsidRPr="00636822" w14:paraId="32EEA684" w14:textId="77777777" w:rsidTr="00A57809">
        <w:tc>
          <w:tcPr>
            <w:tcW w:w="567" w:type="dxa"/>
          </w:tcPr>
          <w:p w14:paraId="424978EE" w14:textId="22998341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sz w:val="20"/>
                <w:szCs w:val="20"/>
              </w:rPr>
              <w:t>1</w:t>
            </w:r>
            <w:r>
              <w:rPr>
                <w:rFonts w:ascii="Ambit" w:hAnsi="Ambit" w:cstheme="minorHAnsi"/>
                <w:sz w:val="20"/>
                <w:szCs w:val="20"/>
              </w:rPr>
              <w:t>8</w:t>
            </w:r>
            <w:r w:rsidRPr="00636822">
              <w:rPr>
                <w:rFonts w:ascii="Ambit" w:hAnsi="Ambit" w:cstheme="minorHAnsi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17B1296A" w14:textId="232A8681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sz w:val="20"/>
                <w:szCs w:val="20"/>
              </w:rPr>
              <w:t>to authorise the Directors to allot shares and sell treasury shares for cash without making a pre-emptive offer to shareholders</w:t>
            </w:r>
          </w:p>
        </w:tc>
        <w:tc>
          <w:tcPr>
            <w:tcW w:w="1985" w:type="dxa"/>
            <w:shd w:val="clear" w:color="auto" w:fill="auto"/>
          </w:tcPr>
          <w:p w14:paraId="028E9104" w14:textId="139C0AA3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67,805,270</w:t>
            </w:r>
          </w:p>
        </w:tc>
        <w:tc>
          <w:tcPr>
            <w:tcW w:w="1134" w:type="dxa"/>
            <w:shd w:val="clear" w:color="auto" w:fill="auto"/>
          </w:tcPr>
          <w:p w14:paraId="325E0133" w14:textId="0B12E8EA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96.62</w:t>
            </w:r>
          </w:p>
        </w:tc>
        <w:tc>
          <w:tcPr>
            <w:tcW w:w="1701" w:type="dxa"/>
            <w:shd w:val="clear" w:color="auto" w:fill="auto"/>
          </w:tcPr>
          <w:p w14:paraId="5B60C497" w14:textId="535E0F73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2,369,064</w:t>
            </w:r>
          </w:p>
        </w:tc>
        <w:tc>
          <w:tcPr>
            <w:tcW w:w="1276" w:type="dxa"/>
            <w:shd w:val="clear" w:color="auto" w:fill="auto"/>
          </w:tcPr>
          <w:p w14:paraId="2A62B524" w14:textId="0305E81C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3.38</w:t>
            </w:r>
          </w:p>
        </w:tc>
        <w:tc>
          <w:tcPr>
            <w:tcW w:w="1701" w:type="dxa"/>
            <w:shd w:val="clear" w:color="auto" w:fill="auto"/>
          </w:tcPr>
          <w:p w14:paraId="27CBE937" w14:textId="3BE18250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4F683A">
              <w:t>57,805</w:t>
            </w:r>
          </w:p>
        </w:tc>
        <w:tc>
          <w:tcPr>
            <w:tcW w:w="1701" w:type="dxa"/>
            <w:shd w:val="clear" w:color="auto" w:fill="auto"/>
          </w:tcPr>
          <w:p w14:paraId="54BEB33A" w14:textId="6B24483C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E70C06">
              <w:t>70,232,139</w:t>
            </w:r>
          </w:p>
        </w:tc>
      </w:tr>
      <w:tr w:rsidR="00E47C75" w:rsidRPr="00636822" w14:paraId="5A5F40EC" w14:textId="77777777" w:rsidTr="00A57809">
        <w:tc>
          <w:tcPr>
            <w:tcW w:w="567" w:type="dxa"/>
          </w:tcPr>
          <w:p w14:paraId="0876E5C1" w14:textId="05478001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sz w:val="20"/>
                <w:szCs w:val="20"/>
              </w:rPr>
              <w:t>1</w:t>
            </w:r>
            <w:r>
              <w:rPr>
                <w:rFonts w:ascii="Ambit" w:hAnsi="Ambit" w:cstheme="minorHAnsi"/>
                <w:sz w:val="20"/>
                <w:szCs w:val="20"/>
              </w:rPr>
              <w:t>9</w:t>
            </w:r>
            <w:r w:rsidRPr="00636822">
              <w:rPr>
                <w:rFonts w:ascii="Ambit" w:hAnsi="Ambit" w:cstheme="minorHAnsi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5458E1BF" w14:textId="1AF57740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sz w:val="20"/>
                <w:szCs w:val="20"/>
              </w:rPr>
              <w:t>to authorise the Directors to allot shares and sell treasury shares for cash without making a pre-emptive offer to shareholders (in connection with capital investment)</w:t>
            </w:r>
          </w:p>
        </w:tc>
        <w:tc>
          <w:tcPr>
            <w:tcW w:w="1985" w:type="dxa"/>
            <w:shd w:val="clear" w:color="auto" w:fill="auto"/>
          </w:tcPr>
          <w:p w14:paraId="70D944E9" w14:textId="4551D511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67,836,764</w:t>
            </w:r>
          </w:p>
        </w:tc>
        <w:tc>
          <w:tcPr>
            <w:tcW w:w="1134" w:type="dxa"/>
            <w:shd w:val="clear" w:color="auto" w:fill="auto"/>
          </w:tcPr>
          <w:p w14:paraId="5A358765" w14:textId="7B19D852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96.67</w:t>
            </w:r>
          </w:p>
        </w:tc>
        <w:tc>
          <w:tcPr>
            <w:tcW w:w="1701" w:type="dxa"/>
            <w:shd w:val="clear" w:color="auto" w:fill="auto"/>
          </w:tcPr>
          <w:p w14:paraId="52980522" w14:textId="16ECCB2E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2,337,449</w:t>
            </w:r>
          </w:p>
        </w:tc>
        <w:tc>
          <w:tcPr>
            <w:tcW w:w="1276" w:type="dxa"/>
            <w:shd w:val="clear" w:color="auto" w:fill="auto"/>
          </w:tcPr>
          <w:p w14:paraId="2D09C238" w14:textId="22166C65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3.33</w:t>
            </w:r>
          </w:p>
        </w:tc>
        <w:tc>
          <w:tcPr>
            <w:tcW w:w="1701" w:type="dxa"/>
            <w:shd w:val="clear" w:color="auto" w:fill="auto"/>
          </w:tcPr>
          <w:p w14:paraId="6A6CA227" w14:textId="1EB8057C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4F683A">
              <w:t>58,529</w:t>
            </w:r>
          </w:p>
        </w:tc>
        <w:tc>
          <w:tcPr>
            <w:tcW w:w="1701" w:type="dxa"/>
            <w:shd w:val="clear" w:color="auto" w:fill="auto"/>
          </w:tcPr>
          <w:p w14:paraId="64959AC4" w14:textId="53DEBCB7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E70C06">
              <w:t>70,232,742</w:t>
            </w:r>
          </w:p>
        </w:tc>
      </w:tr>
      <w:tr w:rsidR="00E47C75" w:rsidRPr="00636822" w14:paraId="4B931BDE" w14:textId="77777777" w:rsidTr="00A57809">
        <w:tc>
          <w:tcPr>
            <w:tcW w:w="567" w:type="dxa"/>
          </w:tcPr>
          <w:p w14:paraId="134A70E8" w14:textId="1BB1F4CD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>
              <w:rPr>
                <w:rFonts w:ascii="Ambit" w:hAnsi="Ambit" w:cstheme="minorHAnsi"/>
                <w:sz w:val="20"/>
                <w:szCs w:val="20"/>
              </w:rPr>
              <w:t>20</w:t>
            </w:r>
            <w:r w:rsidRPr="00636822">
              <w:rPr>
                <w:rFonts w:ascii="Ambit" w:hAnsi="Ambit" w:cstheme="minorHAnsi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29DA3F96" w14:textId="6C651D7A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sz w:val="20"/>
                <w:szCs w:val="20"/>
              </w:rPr>
              <w:t>to authorise the Company to purchase its own shares</w:t>
            </w:r>
          </w:p>
        </w:tc>
        <w:tc>
          <w:tcPr>
            <w:tcW w:w="1985" w:type="dxa"/>
            <w:shd w:val="clear" w:color="auto" w:fill="auto"/>
          </w:tcPr>
          <w:p w14:paraId="34C62606" w14:textId="7CDA5B50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69,910,615</w:t>
            </w:r>
          </w:p>
        </w:tc>
        <w:tc>
          <w:tcPr>
            <w:tcW w:w="1134" w:type="dxa"/>
            <w:shd w:val="clear" w:color="auto" w:fill="auto"/>
          </w:tcPr>
          <w:p w14:paraId="30AD876D" w14:textId="4AACBAA0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99.58</w:t>
            </w:r>
          </w:p>
        </w:tc>
        <w:tc>
          <w:tcPr>
            <w:tcW w:w="1701" w:type="dxa"/>
            <w:shd w:val="clear" w:color="auto" w:fill="auto"/>
          </w:tcPr>
          <w:p w14:paraId="0C3132DF" w14:textId="5B19AECF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294,546</w:t>
            </w:r>
          </w:p>
        </w:tc>
        <w:tc>
          <w:tcPr>
            <w:tcW w:w="1276" w:type="dxa"/>
            <w:shd w:val="clear" w:color="auto" w:fill="auto"/>
          </w:tcPr>
          <w:p w14:paraId="5679596C" w14:textId="4B8CD43F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0.42</w:t>
            </w:r>
          </w:p>
        </w:tc>
        <w:tc>
          <w:tcPr>
            <w:tcW w:w="1701" w:type="dxa"/>
            <w:shd w:val="clear" w:color="auto" w:fill="auto"/>
          </w:tcPr>
          <w:p w14:paraId="086857DC" w14:textId="52043CB3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4F683A">
              <w:t>27,080</w:t>
            </w:r>
          </w:p>
        </w:tc>
        <w:tc>
          <w:tcPr>
            <w:tcW w:w="1701" w:type="dxa"/>
            <w:shd w:val="clear" w:color="auto" w:fill="auto"/>
          </w:tcPr>
          <w:p w14:paraId="25FF3B4F" w14:textId="03223613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E70C06">
              <w:t>70,232,241</w:t>
            </w:r>
          </w:p>
        </w:tc>
      </w:tr>
      <w:tr w:rsidR="00E47C75" w:rsidRPr="00636822" w14:paraId="4F0A87EA" w14:textId="77777777" w:rsidTr="00A57809">
        <w:tc>
          <w:tcPr>
            <w:tcW w:w="567" w:type="dxa"/>
          </w:tcPr>
          <w:p w14:paraId="65A0E924" w14:textId="09AEE50C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>
              <w:rPr>
                <w:rFonts w:ascii="Ambit" w:hAnsi="Ambit" w:cstheme="minorHAnsi"/>
                <w:sz w:val="20"/>
                <w:szCs w:val="20"/>
              </w:rPr>
              <w:t>21.</w:t>
            </w:r>
          </w:p>
        </w:tc>
        <w:tc>
          <w:tcPr>
            <w:tcW w:w="3969" w:type="dxa"/>
          </w:tcPr>
          <w:p w14:paraId="691CED95" w14:textId="158F9E39" w:rsidR="00E47C75" w:rsidRPr="00636822" w:rsidRDefault="00E47C75" w:rsidP="00E47C75">
            <w:pPr>
              <w:rPr>
                <w:rFonts w:ascii="Ambit" w:hAnsi="Ambit" w:cstheme="minorHAnsi"/>
                <w:sz w:val="20"/>
                <w:szCs w:val="20"/>
              </w:rPr>
            </w:pPr>
            <w:r w:rsidRPr="00636822">
              <w:rPr>
                <w:rFonts w:ascii="Ambit" w:hAnsi="Ambit" w:cstheme="minorHAnsi"/>
                <w:sz w:val="20"/>
                <w:szCs w:val="20"/>
              </w:rPr>
              <w:t>to authorise the Company to hold general meetings on not less than 14 days’ notice</w:t>
            </w:r>
          </w:p>
        </w:tc>
        <w:tc>
          <w:tcPr>
            <w:tcW w:w="1985" w:type="dxa"/>
            <w:shd w:val="clear" w:color="auto" w:fill="auto"/>
          </w:tcPr>
          <w:p w14:paraId="15D34F5D" w14:textId="3506D8C2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66,917,633</w:t>
            </w:r>
          </w:p>
        </w:tc>
        <w:tc>
          <w:tcPr>
            <w:tcW w:w="1134" w:type="dxa"/>
            <w:shd w:val="clear" w:color="auto" w:fill="auto"/>
          </w:tcPr>
          <w:p w14:paraId="66985B47" w14:textId="08E5D81A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95.31</w:t>
            </w:r>
          </w:p>
        </w:tc>
        <w:tc>
          <w:tcPr>
            <w:tcW w:w="1701" w:type="dxa"/>
            <w:shd w:val="clear" w:color="auto" w:fill="auto"/>
          </w:tcPr>
          <w:p w14:paraId="7DF2B158" w14:textId="3E4B21A9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3,292,613</w:t>
            </w:r>
          </w:p>
        </w:tc>
        <w:tc>
          <w:tcPr>
            <w:tcW w:w="1276" w:type="dxa"/>
            <w:shd w:val="clear" w:color="auto" w:fill="auto"/>
          </w:tcPr>
          <w:p w14:paraId="628A7527" w14:textId="2399FED9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0870ED">
              <w:t>4.69</w:t>
            </w:r>
          </w:p>
        </w:tc>
        <w:tc>
          <w:tcPr>
            <w:tcW w:w="1701" w:type="dxa"/>
            <w:shd w:val="clear" w:color="auto" w:fill="auto"/>
          </w:tcPr>
          <w:p w14:paraId="74BD407E" w14:textId="28C9AB46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4F683A">
              <w:t>22,298</w:t>
            </w:r>
          </w:p>
        </w:tc>
        <w:tc>
          <w:tcPr>
            <w:tcW w:w="1701" w:type="dxa"/>
            <w:shd w:val="clear" w:color="auto" w:fill="auto"/>
          </w:tcPr>
          <w:p w14:paraId="1B600E1F" w14:textId="41716F55" w:rsidR="00E47C75" w:rsidRPr="001A7B8A" w:rsidRDefault="00E47C75" w:rsidP="00E47C75">
            <w:pPr>
              <w:jc w:val="center"/>
              <w:rPr>
                <w:rFonts w:ascii="Ambit" w:eastAsia="Times New Roman" w:hAnsi="Ambit" w:cstheme="minorHAnsi"/>
                <w:sz w:val="20"/>
                <w:szCs w:val="20"/>
                <w:lang w:eastAsia="en-GB"/>
              </w:rPr>
            </w:pPr>
            <w:r w:rsidRPr="00E70C06">
              <w:t>70,232,544</w:t>
            </w:r>
          </w:p>
        </w:tc>
      </w:tr>
    </w:tbl>
    <w:p w14:paraId="13E49E9E" w14:textId="65D46020" w:rsidR="00332DF7" w:rsidRDefault="00332DF7" w:rsidP="001A7B8A">
      <w:pPr>
        <w:jc w:val="both"/>
        <w:rPr>
          <w:rFonts w:ascii="Ambit" w:hAnsi="Ambit"/>
          <w:sz w:val="20"/>
          <w:szCs w:val="20"/>
        </w:rPr>
      </w:pPr>
    </w:p>
    <w:p w14:paraId="1F78877D" w14:textId="510C0509" w:rsidR="001A7B8A" w:rsidRPr="001A7B8A" w:rsidRDefault="001A7B8A" w:rsidP="001A7B8A">
      <w:pPr>
        <w:jc w:val="both"/>
        <w:rPr>
          <w:rFonts w:ascii="Ambit" w:hAnsi="Ambit"/>
          <w:sz w:val="20"/>
          <w:szCs w:val="20"/>
        </w:rPr>
      </w:pPr>
      <w:r>
        <w:rPr>
          <w:rFonts w:ascii="Ambit" w:hAnsi="Ambit"/>
          <w:sz w:val="20"/>
          <w:szCs w:val="20"/>
        </w:rPr>
        <w:t>Notes:</w:t>
      </w:r>
    </w:p>
    <w:p w14:paraId="28B3FB10" w14:textId="77777777" w:rsidR="00B54827" w:rsidRPr="00636822" w:rsidRDefault="00B54827" w:rsidP="009625FE">
      <w:pPr>
        <w:pStyle w:val="ListParagraph"/>
        <w:numPr>
          <w:ilvl w:val="0"/>
          <w:numId w:val="2"/>
        </w:numPr>
        <w:jc w:val="both"/>
        <w:rPr>
          <w:rFonts w:ascii="Ambit" w:hAnsi="Ambit"/>
          <w:sz w:val="20"/>
          <w:szCs w:val="20"/>
        </w:rPr>
      </w:pPr>
      <w:r w:rsidRPr="00636822">
        <w:rPr>
          <w:rFonts w:ascii="Ambit" w:hAnsi="Ambit"/>
          <w:sz w:val="20"/>
          <w:szCs w:val="20"/>
        </w:rPr>
        <w:t>A vote withheld is not a vote in law and is not counted towards votes cast “For” or “Against” a resolution.</w:t>
      </w:r>
    </w:p>
    <w:p w14:paraId="1BB3642A" w14:textId="1A972851" w:rsidR="00C604FA" w:rsidRPr="00636822" w:rsidRDefault="00C604FA" w:rsidP="009625FE">
      <w:pPr>
        <w:pStyle w:val="ListParagraph"/>
        <w:numPr>
          <w:ilvl w:val="0"/>
          <w:numId w:val="2"/>
        </w:numPr>
        <w:jc w:val="both"/>
        <w:rPr>
          <w:rFonts w:ascii="Ambit" w:hAnsi="Ambit"/>
          <w:sz w:val="20"/>
          <w:szCs w:val="20"/>
        </w:rPr>
      </w:pPr>
      <w:r w:rsidRPr="00636822">
        <w:rPr>
          <w:rFonts w:ascii="Ambit" w:hAnsi="Ambit"/>
          <w:sz w:val="20"/>
          <w:szCs w:val="20"/>
        </w:rPr>
        <w:t xml:space="preserve">Resolutions </w:t>
      </w:r>
      <w:r w:rsidR="00E83A60" w:rsidRPr="00636822">
        <w:rPr>
          <w:rFonts w:ascii="Ambit" w:hAnsi="Ambit"/>
          <w:sz w:val="20"/>
          <w:szCs w:val="20"/>
        </w:rPr>
        <w:t>1</w:t>
      </w:r>
      <w:r w:rsidR="008E52C3">
        <w:rPr>
          <w:rFonts w:ascii="Ambit" w:hAnsi="Ambit"/>
          <w:sz w:val="20"/>
          <w:szCs w:val="20"/>
        </w:rPr>
        <w:t>8-21</w:t>
      </w:r>
      <w:r w:rsidR="00F0433F" w:rsidRPr="00636822">
        <w:rPr>
          <w:rFonts w:ascii="Ambit" w:hAnsi="Ambit"/>
          <w:sz w:val="20"/>
          <w:szCs w:val="20"/>
        </w:rPr>
        <w:t xml:space="preserve"> inclusive</w:t>
      </w:r>
      <w:r w:rsidRPr="00636822">
        <w:rPr>
          <w:rFonts w:ascii="Ambit" w:hAnsi="Ambit"/>
          <w:sz w:val="20"/>
          <w:szCs w:val="20"/>
        </w:rPr>
        <w:t xml:space="preserve"> </w:t>
      </w:r>
      <w:r w:rsidR="00FB6F58">
        <w:rPr>
          <w:rFonts w:ascii="Ambit" w:hAnsi="Ambit"/>
          <w:sz w:val="20"/>
          <w:szCs w:val="20"/>
        </w:rPr>
        <w:t>were</w:t>
      </w:r>
      <w:r w:rsidRPr="00636822">
        <w:rPr>
          <w:rFonts w:ascii="Ambit" w:hAnsi="Ambit"/>
          <w:sz w:val="20"/>
          <w:szCs w:val="20"/>
        </w:rPr>
        <w:t xml:space="preserve"> proposed as special resolutions and required a 75% majority.</w:t>
      </w:r>
    </w:p>
    <w:p w14:paraId="4C166072" w14:textId="0A28C9CF" w:rsidR="00C604FA" w:rsidRPr="00636822" w:rsidRDefault="00C604FA" w:rsidP="009625FE">
      <w:pPr>
        <w:pStyle w:val="ListParagraph"/>
        <w:numPr>
          <w:ilvl w:val="0"/>
          <w:numId w:val="2"/>
        </w:numPr>
        <w:jc w:val="both"/>
        <w:rPr>
          <w:rFonts w:ascii="Ambit" w:hAnsi="Ambit"/>
          <w:sz w:val="20"/>
          <w:szCs w:val="20"/>
        </w:rPr>
      </w:pPr>
      <w:r w:rsidRPr="00636822">
        <w:rPr>
          <w:rFonts w:ascii="Ambit" w:hAnsi="Ambit"/>
          <w:sz w:val="20"/>
          <w:szCs w:val="20"/>
        </w:rPr>
        <w:t>The total</w:t>
      </w:r>
      <w:r w:rsidR="00F72A97" w:rsidRPr="00636822">
        <w:rPr>
          <w:rFonts w:ascii="Ambit" w:hAnsi="Ambit"/>
          <w:sz w:val="20"/>
          <w:szCs w:val="20"/>
        </w:rPr>
        <w:t xml:space="preserve"> votin</w:t>
      </w:r>
      <w:r w:rsidR="00CF3201" w:rsidRPr="00636822">
        <w:rPr>
          <w:rFonts w:ascii="Ambit" w:hAnsi="Ambit"/>
          <w:sz w:val="20"/>
          <w:szCs w:val="20"/>
        </w:rPr>
        <w:t xml:space="preserve">g rights of the Company as at </w:t>
      </w:r>
      <w:r w:rsidR="008F1C6D" w:rsidRPr="00636822">
        <w:rPr>
          <w:rFonts w:ascii="Ambit" w:hAnsi="Ambit"/>
          <w:sz w:val="20"/>
          <w:szCs w:val="20"/>
        </w:rPr>
        <w:t>1</w:t>
      </w:r>
      <w:r w:rsidR="008E52C3">
        <w:rPr>
          <w:rFonts w:ascii="Ambit" w:hAnsi="Ambit"/>
          <w:sz w:val="20"/>
          <w:szCs w:val="20"/>
        </w:rPr>
        <w:t>6 June 2023</w:t>
      </w:r>
      <w:r w:rsidR="00F72A97" w:rsidRPr="00636822">
        <w:rPr>
          <w:rFonts w:ascii="Ambit" w:hAnsi="Ambit"/>
          <w:sz w:val="20"/>
          <w:szCs w:val="20"/>
        </w:rPr>
        <w:t>,</w:t>
      </w:r>
      <w:r w:rsidRPr="00636822">
        <w:rPr>
          <w:rFonts w:ascii="Ambit" w:hAnsi="Ambit"/>
          <w:sz w:val="20"/>
          <w:szCs w:val="20"/>
        </w:rPr>
        <w:t xml:space="preserve"> the day on which shareholders had to be on the register </w:t>
      </w:r>
      <w:proofErr w:type="gramStart"/>
      <w:r w:rsidRPr="00636822">
        <w:rPr>
          <w:rFonts w:ascii="Ambit" w:hAnsi="Ambit"/>
          <w:sz w:val="20"/>
          <w:szCs w:val="20"/>
        </w:rPr>
        <w:t>in order to</w:t>
      </w:r>
      <w:proofErr w:type="gramEnd"/>
      <w:r w:rsidRPr="00636822">
        <w:rPr>
          <w:rFonts w:ascii="Ambit" w:hAnsi="Ambit"/>
          <w:sz w:val="20"/>
          <w:szCs w:val="20"/>
        </w:rPr>
        <w:t xml:space="preserve"> be eligible to vote</w:t>
      </w:r>
      <w:r w:rsidR="00F72A97" w:rsidRPr="00636822">
        <w:rPr>
          <w:rFonts w:ascii="Ambit" w:hAnsi="Ambit"/>
          <w:sz w:val="20"/>
          <w:szCs w:val="20"/>
        </w:rPr>
        <w:t>,</w:t>
      </w:r>
      <w:r w:rsidRPr="00636822">
        <w:rPr>
          <w:rFonts w:ascii="Ambit" w:hAnsi="Ambit"/>
          <w:sz w:val="20"/>
          <w:szCs w:val="20"/>
        </w:rPr>
        <w:t xml:space="preserve"> was </w:t>
      </w:r>
      <w:r w:rsidR="008F1C6D" w:rsidRPr="00D30BAA">
        <w:rPr>
          <w:rFonts w:ascii="Ambit" w:hAnsi="Ambit"/>
          <w:sz w:val="20"/>
          <w:szCs w:val="20"/>
        </w:rPr>
        <w:t>140,</w:t>
      </w:r>
      <w:r w:rsidR="002B42BB" w:rsidRPr="00D30BAA">
        <w:rPr>
          <w:rFonts w:ascii="Ambit" w:hAnsi="Ambit"/>
          <w:sz w:val="20"/>
          <w:szCs w:val="20"/>
        </w:rPr>
        <w:t>337</w:t>
      </w:r>
      <w:r w:rsidR="008F1C6D" w:rsidRPr="00D30BAA">
        <w:rPr>
          <w:rFonts w:ascii="Ambit" w:hAnsi="Ambit"/>
          <w:sz w:val="20"/>
          <w:szCs w:val="20"/>
        </w:rPr>
        <w:t>,2</w:t>
      </w:r>
      <w:r w:rsidR="002B42BB" w:rsidRPr="00D30BAA">
        <w:rPr>
          <w:rFonts w:ascii="Ambit" w:hAnsi="Ambit"/>
          <w:sz w:val="20"/>
          <w:szCs w:val="20"/>
        </w:rPr>
        <w:t>71</w:t>
      </w:r>
      <w:r w:rsidRPr="00D30BAA">
        <w:rPr>
          <w:rFonts w:ascii="Ambit" w:hAnsi="Ambit"/>
          <w:sz w:val="20"/>
          <w:szCs w:val="20"/>
        </w:rPr>
        <w:t>.</w:t>
      </w:r>
    </w:p>
    <w:p w14:paraId="117ED04E" w14:textId="77777777" w:rsidR="00C604FA" w:rsidRPr="00636822" w:rsidRDefault="00C604FA" w:rsidP="009625FE">
      <w:pPr>
        <w:pStyle w:val="ListParagraph"/>
        <w:numPr>
          <w:ilvl w:val="0"/>
          <w:numId w:val="2"/>
        </w:numPr>
        <w:jc w:val="both"/>
        <w:rPr>
          <w:rFonts w:ascii="Ambit" w:hAnsi="Ambit"/>
          <w:sz w:val="20"/>
          <w:szCs w:val="20"/>
        </w:rPr>
      </w:pPr>
      <w:r w:rsidRPr="00636822">
        <w:rPr>
          <w:rFonts w:ascii="Ambit" w:hAnsi="Ambit"/>
          <w:sz w:val="20"/>
          <w:szCs w:val="20"/>
        </w:rPr>
        <w:t xml:space="preserve">The results will be made available on the Company’s website: </w:t>
      </w:r>
      <w:hyperlink r:id="rId9" w:history="1">
        <w:r w:rsidRPr="00636822">
          <w:rPr>
            <w:rStyle w:val="Hyperlink"/>
            <w:rFonts w:ascii="Ambit" w:hAnsi="Ambit"/>
            <w:sz w:val="20"/>
            <w:szCs w:val="20"/>
          </w:rPr>
          <w:t>www.corporate.saga.co.uk</w:t>
        </w:r>
      </w:hyperlink>
      <w:r w:rsidRPr="00636822">
        <w:rPr>
          <w:rFonts w:ascii="Ambit" w:hAnsi="Ambit"/>
          <w:sz w:val="20"/>
          <w:szCs w:val="20"/>
        </w:rPr>
        <w:t xml:space="preserve"> </w:t>
      </w:r>
    </w:p>
    <w:p w14:paraId="490A0079" w14:textId="512A70B3" w:rsidR="00C604FA" w:rsidRPr="00636822" w:rsidRDefault="00C604FA" w:rsidP="009625FE">
      <w:pPr>
        <w:pStyle w:val="ListParagraph"/>
        <w:numPr>
          <w:ilvl w:val="0"/>
          <w:numId w:val="2"/>
        </w:numPr>
        <w:jc w:val="both"/>
        <w:rPr>
          <w:rFonts w:ascii="Ambit" w:hAnsi="Ambit"/>
          <w:sz w:val="20"/>
          <w:szCs w:val="20"/>
        </w:rPr>
      </w:pPr>
      <w:r w:rsidRPr="00636822">
        <w:rPr>
          <w:rFonts w:ascii="Ambit" w:hAnsi="Ambit"/>
          <w:sz w:val="20"/>
          <w:szCs w:val="20"/>
        </w:rPr>
        <w:t xml:space="preserve">In accordance with LR.9.6.2 a document setting out the resolutions passed at the AGM concerning special business has been submitted to the National Storage Mechanism and will shortly be available for inspection at </w:t>
      </w:r>
      <w:hyperlink r:id="rId10" w:anchor="/nsm/nationalstoragemechanism" w:history="1">
        <w:r w:rsidR="008F1C6D" w:rsidRPr="00636822">
          <w:rPr>
            <w:rStyle w:val="Hyperlink"/>
            <w:rFonts w:ascii="Ambit" w:hAnsi="Ambit"/>
            <w:sz w:val="20"/>
            <w:szCs w:val="20"/>
          </w:rPr>
          <w:t>data.fca.org.uk/#/nsm/nationalstoragemechanism</w:t>
        </w:r>
      </w:hyperlink>
      <w:r w:rsidR="008F1C6D" w:rsidRPr="00636822">
        <w:rPr>
          <w:rFonts w:ascii="Ambit" w:hAnsi="Ambit"/>
          <w:sz w:val="20"/>
          <w:szCs w:val="20"/>
        </w:rPr>
        <w:t xml:space="preserve"> </w:t>
      </w:r>
    </w:p>
    <w:p w14:paraId="19EC4534" w14:textId="77777777" w:rsidR="00D22FD7" w:rsidRPr="00636822" w:rsidRDefault="00D22FD7" w:rsidP="00D22FD7">
      <w:pPr>
        <w:pStyle w:val="ListParagraph"/>
        <w:ind w:left="0"/>
        <w:jc w:val="both"/>
        <w:rPr>
          <w:rFonts w:ascii="Ambit" w:hAnsi="Ambit"/>
          <w:sz w:val="20"/>
          <w:szCs w:val="20"/>
        </w:rPr>
      </w:pPr>
    </w:p>
    <w:p w14:paraId="06493B96" w14:textId="583A571F" w:rsidR="00D22FD7" w:rsidRDefault="00D22FD7" w:rsidP="007F722E">
      <w:pPr>
        <w:pStyle w:val="ListParagraph"/>
        <w:ind w:left="0"/>
        <w:jc w:val="both"/>
        <w:rPr>
          <w:rFonts w:ascii="Ambit" w:hAnsi="Ambit"/>
          <w:b/>
          <w:sz w:val="20"/>
          <w:szCs w:val="20"/>
        </w:rPr>
      </w:pPr>
    </w:p>
    <w:p w14:paraId="512D32FA" w14:textId="77777777" w:rsidR="00D30BAA" w:rsidRPr="00636822" w:rsidRDefault="00D30BAA" w:rsidP="007F722E">
      <w:pPr>
        <w:pStyle w:val="ListParagraph"/>
        <w:ind w:left="0"/>
        <w:jc w:val="both"/>
        <w:rPr>
          <w:rFonts w:ascii="Ambit" w:hAnsi="Ambit"/>
          <w:b/>
          <w:sz w:val="20"/>
          <w:szCs w:val="20"/>
        </w:rPr>
      </w:pPr>
    </w:p>
    <w:p w14:paraId="279CD9A0" w14:textId="77777777" w:rsidR="007F722E" w:rsidRPr="00636822" w:rsidRDefault="007F722E" w:rsidP="007F722E">
      <w:pPr>
        <w:pStyle w:val="ListParagraph"/>
        <w:ind w:left="0"/>
        <w:jc w:val="both"/>
        <w:rPr>
          <w:rFonts w:ascii="Ambit" w:hAnsi="Ambit"/>
          <w:b/>
          <w:sz w:val="20"/>
          <w:szCs w:val="20"/>
        </w:rPr>
      </w:pPr>
    </w:p>
    <w:p w14:paraId="6BAA70EE" w14:textId="2C0A70F9" w:rsidR="00945881" w:rsidRPr="00636822" w:rsidRDefault="00A42CFD" w:rsidP="007F722E">
      <w:pPr>
        <w:pStyle w:val="ListParagraph"/>
        <w:ind w:left="0"/>
        <w:jc w:val="both"/>
        <w:rPr>
          <w:rFonts w:ascii="Ambit" w:hAnsi="Ambit"/>
          <w:b/>
          <w:sz w:val="20"/>
          <w:szCs w:val="20"/>
        </w:rPr>
      </w:pPr>
      <w:r w:rsidRPr="00636822">
        <w:rPr>
          <w:rFonts w:ascii="Ambit" w:hAnsi="Ambit"/>
          <w:b/>
          <w:sz w:val="20"/>
          <w:szCs w:val="20"/>
        </w:rPr>
        <w:lastRenderedPageBreak/>
        <w:t>Enquiries</w:t>
      </w:r>
    </w:p>
    <w:p w14:paraId="04BB38E0" w14:textId="77BCF689" w:rsidR="00D271FE" w:rsidRDefault="00D271FE" w:rsidP="00D271FE">
      <w:pPr>
        <w:pStyle w:val="ListParagraph"/>
        <w:ind w:left="0"/>
        <w:rPr>
          <w:rFonts w:ascii="Ambit" w:hAnsi="Ambit"/>
          <w:b/>
          <w:sz w:val="20"/>
          <w:szCs w:val="20"/>
        </w:rPr>
      </w:pPr>
    </w:p>
    <w:p w14:paraId="1D8197C2" w14:textId="29770FCB" w:rsidR="00D271FE" w:rsidRPr="00636822" w:rsidRDefault="00A42CFD" w:rsidP="00D271FE">
      <w:pPr>
        <w:pStyle w:val="ListParagraph"/>
        <w:ind w:left="0"/>
        <w:rPr>
          <w:rFonts w:ascii="Ambit" w:hAnsi="Ambit"/>
          <w:sz w:val="20"/>
          <w:szCs w:val="20"/>
        </w:rPr>
      </w:pPr>
      <w:r w:rsidRPr="00480DF8">
        <w:rPr>
          <w:rFonts w:ascii="Ambit" w:hAnsi="Ambit"/>
          <w:b/>
          <w:bCs/>
          <w:sz w:val="20"/>
          <w:szCs w:val="20"/>
        </w:rPr>
        <w:t>Saga plc</w:t>
      </w:r>
      <w:r w:rsidR="00D271FE" w:rsidRPr="00636822">
        <w:rPr>
          <w:rFonts w:ascii="Ambit" w:hAnsi="Ambit"/>
          <w:sz w:val="20"/>
          <w:szCs w:val="20"/>
        </w:rPr>
        <w:t xml:space="preserve"> </w:t>
      </w:r>
      <w:r w:rsidR="00D271FE" w:rsidRPr="00636822">
        <w:rPr>
          <w:rFonts w:ascii="Ambit" w:hAnsi="Ambit"/>
          <w:sz w:val="20"/>
          <w:szCs w:val="20"/>
        </w:rPr>
        <w:tab/>
      </w:r>
      <w:r w:rsidR="00D271FE" w:rsidRPr="00636822">
        <w:rPr>
          <w:rFonts w:ascii="Ambit" w:hAnsi="Ambit"/>
          <w:sz w:val="20"/>
          <w:szCs w:val="20"/>
        </w:rPr>
        <w:tab/>
      </w:r>
      <w:r w:rsidR="00D271FE" w:rsidRPr="00636822">
        <w:rPr>
          <w:rFonts w:ascii="Ambit" w:hAnsi="Ambit"/>
          <w:sz w:val="20"/>
          <w:szCs w:val="20"/>
        </w:rPr>
        <w:tab/>
      </w:r>
      <w:r w:rsidR="00D271FE" w:rsidRPr="00636822">
        <w:rPr>
          <w:rFonts w:ascii="Ambit" w:hAnsi="Ambit"/>
          <w:sz w:val="20"/>
          <w:szCs w:val="20"/>
        </w:rPr>
        <w:tab/>
      </w:r>
      <w:r w:rsidR="00D271FE" w:rsidRPr="00636822">
        <w:rPr>
          <w:rFonts w:ascii="Ambit" w:hAnsi="Ambit"/>
          <w:sz w:val="20"/>
          <w:szCs w:val="20"/>
        </w:rPr>
        <w:tab/>
      </w:r>
      <w:r w:rsidR="00D271FE" w:rsidRPr="00636822">
        <w:rPr>
          <w:rFonts w:ascii="Ambit" w:hAnsi="Ambit"/>
          <w:sz w:val="20"/>
          <w:szCs w:val="20"/>
        </w:rPr>
        <w:tab/>
      </w:r>
      <w:r w:rsidR="00D271FE" w:rsidRPr="00636822">
        <w:rPr>
          <w:rFonts w:ascii="Ambit" w:hAnsi="Ambit"/>
          <w:sz w:val="20"/>
          <w:szCs w:val="20"/>
        </w:rPr>
        <w:tab/>
      </w:r>
      <w:r w:rsidR="00D271FE" w:rsidRPr="00636822">
        <w:rPr>
          <w:rFonts w:ascii="Ambit" w:hAnsi="Ambit"/>
          <w:sz w:val="20"/>
          <w:szCs w:val="20"/>
        </w:rPr>
        <w:tab/>
      </w:r>
      <w:r w:rsidR="00D271FE" w:rsidRPr="00D30BAA">
        <w:rPr>
          <w:rFonts w:ascii="Ambit" w:hAnsi="Ambit"/>
          <w:sz w:val="20"/>
          <w:szCs w:val="20"/>
        </w:rPr>
        <w:t xml:space="preserve">Tel: </w:t>
      </w:r>
      <w:r w:rsidR="00D30BAA" w:rsidRPr="00D30BAA">
        <w:rPr>
          <w:rFonts w:ascii="Ambit" w:hAnsi="Ambit"/>
          <w:sz w:val="20"/>
          <w:szCs w:val="20"/>
        </w:rPr>
        <w:t>07803</w:t>
      </w:r>
      <w:r w:rsidR="00D30BAA">
        <w:rPr>
          <w:rFonts w:ascii="Ambit" w:hAnsi="Ambit"/>
          <w:sz w:val="20"/>
          <w:szCs w:val="20"/>
        </w:rPr>
        <w:t xml:space="preserve"> 602 139</w:t>
      </w:r>
      <w:r w:rsidR="00945881" w:rsidRPr="00636822">
        <w:rPr>
          <w:rFonts w:ascii="Ambit" w:hAnsi="Ambit"/>
          <w:sz w:val="20"/>
          <w:szCs w:val="20"/>
        </w:rPr>
        <w:br/>
      </w:r>
      <w:r w:rsidRPr="00636822">
        <w:rPr>
          <w:rFonts w:ascii="Ambit" w:hAnsi="Ambit"/>
          <w:sz w:val="20"/>
          <w:szCs w:val="20"/>
        </w:rPr>
        <w:t>Vicki Haynes,</w:t>
      </w:r>
    </w:p>
    <w:p w14:paraId="0FA7B1AA" w14:textId="77777777" w:rsidR="00945881" w:rsidRPr="00636822" w:rsidRDefault="00A42CFD" w:rsidP="00D271FE">
      <w:pPr>
        <w:pStyle w:val="ListParagraph"/>
        <w:ind w:left="0"/>
        <w:rPr>
          <w:rFonts w:ascii="Ambit" w:hAnsi="Ambit"/>
          <w:sz w:val="20"/>
          <w:szCs w:val="20"/>
        </w:rPr>
      </w:pPr>
      <w:r w:rsidRPr="00636822">
        <w:rPr>
          <w:rFonts w:ascii="Ambit" w:hAnsi="Ambit"/>
          <w:sz w:val="20"/>
          <w:szCs w:val="20"/>
        </w:rPr>
        <w:t xml:space="preserve">Company Secretary            </w:t>
      </w:r>
      <w:r w:rsidR="00A666FD" w:rsidRPr="00636822">
        <w:rPr>
          <w:rFonts w:ascii="Ambit" w:hAnsi="Ambit"/>
          <w:sz w:val="20"/>
          <w:szCs w:val="20"/>
        </w:rPr>
        <w:t xml:space="preserve">          </w:t>
      </w:r>
      <w:r w:rsidR="00A666FD" w:rsidRPr="00636822">
        <w:rPr>
          <w:rFonts w:ascii="Ambit" w:hAnsi="Ambit"/>
          <w:sz w:val="20"/>
          <w:szCs w:val="20"/>
        </w:rPr>
        <w:tab/>
      </w:r>
      <w:r w:rsidR="00A666FD" w:rsidRPr="00636822">
        <w:rPr>
          <w:rFonts w:ascii="Ambit" w:hAnsi="Ambit"/>
          <w:sz w:val="20"/>
          <w:szCs w:val="20"/>
        </w:rPr>
        <w:tab/>
      </w:r>
      <w:r w:rsidR="00A43186" w:rsidRPr="00636822">
        <w:rPr>
          <w:rFonts w:ascii="Ambit" w:hAnsi="Ambit"/>
          <w:sz w:val="20"/>
          <w:szCs w:val="20"/>
        </w:rPr>
        <w:tab/>
      </w:r>
      <w:r w:rsidR="00A43186" w:rsidRPr="00636822">
        <w:rPr>
          <w:rFonts w:ascii="Ambit" w:hAnsi="Ambit"/>
          <w:sz w:val="20"/>
          <w:szCs w:val="20"/>
        </w:rPr>
        <w:tab/>
      </w:r>
      <w:r w:rsidR="00A43186" w:rsidRPr="00636822">
        <w:rPr>
          <w:rFonts w:ascii="Ambit" w:hAnsi="Ambit"/>
          <w:sz w:val="20"/>
          <w:szCs w:val="20"/>
        </w:rPr>
        <w:tab/>
      </w:r>
      <w:r w:rsidR="00A43186" w:rsidRPr="00636822">
        <w:rPr>
          <w:rFonts w:ascii="Ambit" w:hAnsi="Ambit"/>
          <w:sz w:val="20"/>
          <w:szCs w:val="20"/>
        </w:rPr>
        <w:tab/>
      </w:r>
      <w:r w:rsidR="00A43186" w:rsidRPr="00636822">
        <w:rPr>
          <w:rFonts w:ascii="Ambit" w:hAnsi="Ambit"/>
          <w:sz w:val="20"/>
          <w:szCs w:val="20"/>
        </w:rPr>
        <w:tab/>
      </w:r>
      <w:r w:rsidR="00A43186" w:rsidRPr="00636822">
        <w:rPr>
          <w:rFonts w:ascii="Ambit" w:hAnsi="Ambit"/>
          <w:sz w:val="20"/>
          <w:szCs w:val="20"/>
        </w:rPr>
        <w:tab/>
      </w:r>
      <w:r w:rsidR="00A43186" w:rsidRPr="00636822">
        <w:rPr>
          <w:rFonts w:ascii="Ambit" w:hAnsi="Ambit"/>
          <w:sz w:val="20"/>
          <w:szCs w:val="20"/>
        </w:rPr>
        <w:tab/>
      </w:r>
    </w:p>
    <w:p w14:paraId="2F578579" w14:textId="77777777" w:rsidR="00945881" w:rsidRPr="00636822" w:rsidRDefault="00A42CFD" w:rsidP="00D271FE">
      <w:pPr>
        <w:pStyle w:val="ListParagraph"/>
        <w:ind w:left="0"/>
        <w:rPr>
          <w:rFonts w:ascii="Ambit" w:hAnsi="Ambit"/>
          <w:sz w:val="20"/>
          <w:szCs w:val="20"/>
        </w:rPr>
      </w:pPr>
      <w:proofErr w:type="spellStart"/>
      <w:r w:rsidRPr="00636822">
        <w:rPr>
          <w:rFonts w:ascii="Ambit" w:hAnsi="Ambit"/>
          <w:sz w:val="20"/>
          <w:szCs w:val="20"/>
        </w:rPr>
        <w:t>Enbrook</w:t>
      </w:r>
      <w:proofErr w:type="spellEnd"/>
      <w:r w:rsidRPr="00636822">
        <w:rPr>
          <w:rFonts w:ascii="Ambit" w:hAnsi="Ambit"/>
          <w:sz w:val="20"/>
          <w:szCs w:val="20"/>
        </w:rPr>
        <w:t xml:space="preserve"> Park</w:t>
      </w:r>
    </w:p>
    <w:p w14:paraId="4BA84E12" w14:textId="77777777" w:rsidR="00D271FE" w:rsidRPr="00636822" w:rsidRDefault="00A42CFD" w:rsidP="00D271FE">
      <w:pPr>
        <w:pStyle w:val="ListParagraph"/>
        <w:ind w:left="0"/>
        <w:rPr>
          <w:rFonts w:ascii="Ambit" w:hAnsi="Ambit"/>
          <w:sz w:val="20"/>
          <w:szCs w:val="20"/>
        </w:rPr>
      </w:pPr>
      <w:r w:rsidRPr="00636822">
        <w:rPr>
          <w:rFonts w:ascii="Ambit" w:hAnsi="Ambit"/>
          <w:sz w:val="20"/>
          <w:szCs w:val="20"/>
        </w:rPr>
        <w:t>Sandgate</w:t>
      </w:r>
    </w:p>
    <w:p w14:paraId="12C7DD96" w14:textId="598F4B55" w:rsidR="00A42CFD" w:rsidRDefault="00A42CFD" w:rsidP="00D271FE">
      <w:pPr>
        <w:pStyle w:val="ListParagraph"/>
        <w:ind w:left="0"/>
        <w:rPr>
          <w:rFonts w:ascii="Ambit" w:hAnsi="Ambit"/>
          <w:sz w:val="20"/>
          <w:szCs w:val="20"/>
        </w:rPr>
      </w:pPr>
      <w:r w:rsidRPr="00636822">
        <w:rPr>
          <w:rFonts w:ascii="Ambit" w:hAnsi="Ambit"/>
          <w:sz w:val="20"/>
          <w:szCs w:val="20"/>
        </w:rPr>
        <w:t>Folkestone</w:t>
      </w:r>
      <w:r w:rsidR="00D271FE" w:rsidRPr="00636822">
        <w:rPr>
          <w:rFonts w:ascii="Ambit" w:hAnsi="Ambit"/>
          <w:sz w:val="20"/>
          <w:szCs w:val="20"/>
        </w:rPr>
        <w:br/>
      </w:r>
      <w:r w:rsidRPr="00636822">
        <w:rPr>
          <w:rFonts w:ascii="Ambit" w:hAnsi="Ambit"/>
          <w:sz w:val="20"/>
          <w:szCs w:val="20"/>
        </w:rPr>
        <w:t>Kent</w:t>
      </w:r>
      <w:r w:rsidR="00D271FE" w:rsidRPr="00636822">
        <w:rPr>
          <w:rFonts w:ascii="Ambit" w:hAnsi="Ambit"/>
          <w:sz w:val="20"/>
          <w:szCs w:val="20"/>
        </w:rPr>
        <w:br/>
      </w:r>
      <w:r w:rsidRPr="00636822">
        <w:rPr>
          <w:rFonts w:ascii="Ambit" w:hAnsi="Ambit"/>
          <w:sz w:val="20"/>
          <w:szCs w:val="20"/>
        </w:rPr>
        <w:t>CT20 3SE</w:t>
      </w:r>
    </w:p>
    <w:p w14:paraId="6949F496" w14:textId="77777777" w:rsidR="00480DF8" w:rsidRPr="00636822" w:rsidRDefault="00480DF8" w:rsidP="00D271FE">
      <w:pPr>
        <w:pStyle w:val="ListParagraph"/>
        <w:ind w:left="0"/>
        <w:rPr>
          <w:rFonts w:ascii="Ambit" w:hAnsi="Ambit"/>
          <w:sz w:val="20"/>
          <w:szCs w:val="20"/>
        </w:rPr>
      </w:pPr>
    </w:p>
    <w:p w14:paraId="188C7D31" w14:textId="57A59C56" w:rsidR="00365E46" w:rsidRPr="00D30BAA" w:rsidRDefault="00480DF8" w:rsidP="00480DF8">
      <w:pPr>
        <w:spacing w:after="0"/>
        <w:rPr>
          <w:rFonts w:ascii="Ambit" w:hAnsi="Ambit"/>
          <w:b/>
          <w:bCs/>
          <w:sz w:val="20"/>
          <w:szCs w:val="20"/>
        </w:rPr>
      </w:pPr>
      <w:r w:rsidRPr="00D30BAA">
        <w:rPr>
          <w:rFonts w:ascii="Ambit" w:hAnsi="Ambit"/>
          <w:b/>
          <w:bCs/>
          <w:sz w:val="20"/>
          <w:szCs w:val="20"/>
        </w:rPr>
        <w:t>Headland Consultancy</w:t>
      </w:r>
    </w:p>
    <w:p w14:paraId="0AB7FE18" w14:textId="4CB724D6" w:rsidR="00480DF8" w:rsidRPr="00D30BAA" w:rsidRDefault="00480DF8" w:rsidP="00480DF8">
      <w:pPr>
        <w:spacing w:after="0"/>
        <w:rPr>
          <w:rFonts w:ascii="Ambit" w:hAnsi="Ambit"/>
          <w:sz w:val="20"/>
          <w:szCs w:val="20"/>
        </w:rPr>
      </w:pPr>
      <w:r w:rsidRPr="00D30BAA">
        <w:rPr>
          <w:rFonts w:ascii="Ambit" w:hAnsi="Ambit"/>
          <w:sz w:val="20"/>
          <w:szCs w:val="20"/>
        </w:rPr>
        <w:t xml:space="preserve">Susanna </w:t>
      </w:r>
      <w:proofErr w:type="spellStart"/>
      <w:r w:rsidRPr="00D30BAA">
        <w:rPr>
          <w:rFonts w:ascii="Ambit" w:hAnsi="Ambit"/>
          <w:sz w:val="20"/>
          <w:szCs w:val="20"/>
        </w:rPr>
        <w:t>Voyle</w:t>
      </w:r>
      <w:proofErr w:type="spellEnd"/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  <w:t>Tel: 07980 894 557</w:t>
      </w:r>
    </w:p>
    <w:p w14:paraId="4AA827E7" w14:textId="36A8ECEF" w:rsidR="00480DF8" w:rsidRPr="00D30BAA" w:rsidRDefault="00480DF8" w:rsidP="00480DF8">
      <w:pPr>
        <w:spacing w:after="0"/>
        <w:rPr>
          <w:rFonts w:ascii="Ambit" w:hAnsi="Ambit"/>
          <w:sz w:val="20"/>
          <w:szCs w:val="20"/>
        </w:rPr>
      </w:pPr>
      <w:r w:rsidRPr="00D30BAA">
        <w:rPr>
          <w:rFonts w:ascii="Ambit" w:hAnsi="Ambit"/>
          <w:sz w:val="20"/>
          <w:szCs w:val="20"/>
        </w:rPr>
        <w:t>Will Smith</w:t>
      </w:r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  <w:t>Tel: 07872 350 428</w:t>
      </w:r>
    </w:p>
    <w:p w14:paraId="09966013" w14:textId="360BEA9F" w:rsidR="00480DF8" w:rsidRPr="00D30BAA" w:rsidRDefault="00480DF8" w:rsidP="00480DF8">
      <w:pPr>
        <w:spacing w:after="0"/>
        <w:rPr>
          <w:rFonts w:ascii="Ambit" w:hAnsi="Ambit"/>
          <w:sz w:val="20"/>
          <w:szCs w:val="20"/>
        </w:rPr>
      </w:pPr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  <w:t>Tel: 020 3805 4822</w:t>
      </w:r>
    </w:p>
    <w:p w14:paraId="0234AC9C" w14:textId="076B74EC" w:rsidR="00480DF8" w:rsidRPr="00480DF8" w:rsidRDefault="00480DF8" w:rsidP="00480DF8">
      <w:pPr>
        <w:spacing w:after="0"/>
        <w:rPr>
          <w:rFonts w:ascii="Ambit" w:hAnsi="Ambit"/>
          <w:sz w:val="20"/>
          <w:szCs w:val="20"/>
        </w:rPr>
      </w:pPr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</w:r>
      <w:r w:rsidRPr="00D30BAA">
        <w:rPr>
          <w:rFonts w:ascii="Ambit" w:hAnsi="Ambit"/>
          <w:sz w:val="20"/>
          <w:szCs w:val="20"/>
        </w:rPr>
        <w:tab/>
        <w:t xml:space="preserve">Email: </w:t>
      </w:r>
      <w:hyperlink r:id="rId11" w:history="1">
        <w:r w:rsidRPr="00D30BAA">
          <w:rPr>
            <w:rStyle w:val="Hyperlink"/>
            <w:rFonts w:ascii="Ambit" w:hAnsi="Ambit"/>
            <w:sz w:val="20"/>
            <w:szCs w:val="20"/>
          </w:rPr>
          <w:t>saga@headlandconsultancy.com</w:t>
        </w:r>
      </w:hyperlink>
      <w:r w:rsidR="00CC39C0" w:rsidRPr="00D30BAA">
        <w:rPr>
          <w:rFonts w:ascii="Ambit" w:hAnsi="Ambit"/>
          <w:sz w:val="20"/>
          <w:szCs w:val="20"/>
        </w:rPr>
        <w:t xml:space="preserve"> </w:t>
      </w:r>
    </w:p>
    <w:sectPr w:rsidR="00480DF8" w:rsidRPr="00480DF8" w:rsidSect="00880A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mbit">
    <w:altName w:val="Calibri"/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143"/>
    <w:multiLevelType w:val="hybridMultilevel"/>
    <w:tmpl w:val="C28E5A5A"/>
    <w:lvl w:ilvl="0" w:tplc="902C77A0">
      <w:start w:val="1"/>
      <w:numFmt w:val="decimal"/>
      <w:lvlText w:val="%1)"/>
      <w:lvlJc w:val="left"/>
      <w:pPr>
        <w:ind w:left="720" w:hanging="360"/>
      </w:pPr>
      <w:rPr>
        <w:rFonts w:ascii="Ambit" w:eastAsiaTheme="minorHAnsi" w:hAnsi="Ambit" w:cstheme="minorBidi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A5B5F"/>
    <w:multiLevelType w:val="hybridMultilevel"/>
    <w:tmpl w:val="2EA6E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7F"/>
    <w:rsid w:val="00043311"/>
    <w:rsid w:val="00064161"/>
    <w:rsid w:val="000748B5"/>
    <w:rsid w:val="000C255B"/>
    <w:rsid w:val="000D4941"/>
    <w:rsid w:val="000E0C72"/>
    <w:rsid w:val="000F2F14"/>
    <w:rsid w:val="00101255"/>
    <w:rsid w:val="00123D1C"/>
    <w:rsid w:val="00141ED4"/>
    <w:rsid w:val="00145898"/>
    <w:rsid w:val="00152CBE"/>
    <w:rsid w:val="00153AF2"/>
    <w:rsid w:val="0017759A"/>
    <w:rsid w:val="001A285F"/>
    <w:rsid w:val="001A7B8A"/>
    <w:rsid w:val="001B4E0E"/>
    <w:rsid w:val="001D3FDF"/>
    <w:rsid w:val="001E0A26"/>
    <w:rsid w:val="00202C02"/>
    <w:rsid w:val="00214A3E"/>
    <w:rsid w:val="00237214"/>
    <w:rsid w:val="00241764"/>
    <w:rsid w:val="00245F70"/>
    <w:rsid w:val="00293FBE"/>
    <w:rsid w:val="002A4C82"/>
    <w:rsid w:val="002B42BB"/>
    <w:rsid w:val="002B4559"/>
    <w:rsid w:val="002F1E9C"/>
    <w:rsid w:val="003119DD"/>
    <w:rsid w:val="00314C27"/>
    <w:rsid w:val="0033063A"/>
    <w:rsid w:val="00332DF7"/>
    <w:rsid w:val="00353B2F"/>
    <w:rsid w:val="0035738C"/>
    <w:rsid w:val="00365E46"/>
    <w:rsid w:val="00380F28"/>
    <w:rsid w:val="00384404"/>
    <w:rsid w:val="003A7DCB"/>
    <w:rsid w:val="003D4917"/>
    <w:rsid w:val="003E00C4"/>
    <w:rsid w:val="00413545"/>
    <w:rsid w:val="00422591"/>
    <w:rsid w:val="0043365E"/>
    <w:rsid w:val="00462137"/>
    <w:rsid w:val="00480DF8"/>
    <w:rsid w:val="004A1775"/>
    <w:rsid w:val="004A59EB"/>
    <w:rsid w:val="004A5B38"/>
    <w:rsid w:val="004D509A"/>
    <w:rsid w:val="00500915"/>
    <w:rsid w:val="00566BF8"/>
    <w:rsid w:val="00566E2F"/>
    <w:rsid w:val="00593F06"/>
    <w:rsid w:val="005961C9"/>
    <w:rsid w:val="005B7EBD"/>
    <w:rsid w:val="005E776C"/>
    <w:rsid w:val="005F620E"/>
    <w:rsid w:val="005F72F2"/>
    <w:rsid w:val="00600552"/>
    <w:rsid w:val="00606538"/>
    <w:rsid w:val="00636822"/>
    <w:rsid w:val="00653689"/>
    <w:rsid w:val="00655EB4"/>
    <w:rsid w:val="006B7F16"/>
    <w:rsid w:val="006F29F1"/>
    <w:rsid w:val="00704C81"/>
    <w:rsid w:val="0072243E"/>
    <w:rsid w:val="0074025F"/>
    <w:rsid w:val="00757153"/>
    <w:rsid w:val="00762D04"/>
    <w:rsid w:val="00771AF4"/>
    <w:rsid w:val="007775DB"/>
    <w:rsid w:val="00793E42"/>
    <w:rsid w:val="007A2F66"/>
    <w:rsid w:val="007C09A9"/>
    <w:rsid w:val="007C54E0"/>
    <w:rsid w:val="007D3C9A"/>
    <w:rsid w:val="007D68CF"/>
    <w:rsid w:val="007D6EC8"/>
    <w:rsid w:val="007F2B2A"/>
    <w:rsid w:val="007F722E"/>
    <w:rsid w:val="008109E1"/>
    <w:rsid w:val="008149A2"/>
    <w:rsid w:val="00854EE6"/>
    <w:rsid w:val="00880A77"/>
    <w:rsid w:val="008836F4"/>
    <w:rsid w:val="008844A5"/>
    <w:rsid w:val="008C1DD9"/>
    <w:rsid w:val="008E52C3"/>
    <w:rsid w:val="008E66C8"/>
    <w:rsid w:val="008F1C6D"/>
    <w:rsid w:val="008F3E8B"/>
    <w:rsid w:val="00921DED"/>
    <w:rsid w:val="00926395"/>
    <w:rsid w:val="00945881"/>
    <w:rsid w:val="009625FE"/>
    <w:rsid w:val="00963567"/>
    <w:rsid w:val="009704E1"/>
    <w:rsid w:val="00986445"/>
    <w:rsid w:val="0099004B"/>
    <w:rsid w:val="00995390"/>
    <w:rsid w:val="009E6D07"/>
    <w:rsid w:val="00A22F36"/>
    <w:rsid w:val="00A34E20"/>
    <w:rsid w:val="00A42CFD"/>
    <w:rsid w:val="00A43186"/>
    <w:rsid w:val="00A46D95"/>
    <w:rsid w:val="00A666FD"/>
    <w:rsid w:val="00A95628"/>
    <w:rsid w:val="00A96261"/>
    <w:rsid w:val="00A9672F"/>
    <w:rsid w:val="00AA3F81"/>
    <w:rsid w:val="00AB3B49"/>
    <w:rsid w:val="00AD207F"/>
    <w:rsid w:val="00AE369E"/>
    <w:rsid w:val="00AE6AC1"/>
    <w:rsid w:val="00B012D7"/>
    <w:rsid w:val="00B04853"/>
    <w:rsid w:val="00B05447"/>
    <w:rsid w:val="00B100F2"/>
    <w:rsid w:val="00B1445D"/>
    <w:rsid w:val="00B22044"/>
    <w:rsid w:val="00B247FF"/>
    <w:rsid w:val="00B305FD"/>
    <w:rsid w:val="00B3243D"/>
    <w:rsid w:val="00B45DAF"/>
    <w:rsid w:val="00B54827"/>
    <w:rsid w:val="00B634CE"/>
    <w:rsid w:val="00BA1679"/>
    <w:rsid w:val="00BA5329"/>
    <w:rsid w:val="00BF32D7"/>
    <w:rsid w:val="00C40FFA"/>
    <w:rsid w:val="00C604FA"/>
    <w:rsid w:val="00C737BB"/>
    <w:rsid w:val="00C840D2"/>
    <w:rsid w:val="00CA78A7"/>
    <w:rsid w:val="00CC39C0"/>
    <w:rsid w:val="00CE4469"/>
    <w:rsid w:val="00CF1AFE"/>
    <w:rsid w:val="00CF3201"/>
    <w:rsid w:val="00D21F6C"/>
    <w:rsid w:val="00D22FD7"/>
    <w:rsid w:val="00D271FE"/>
    <w:rsid w:val="00D30BAA"/>
    <w:rsid w:val="00D579B7"/>
    <w:rsid w:val="00D811D7"/>
    <w:rsid w:val="00D81AD2"/>
    <w:rsid w:val="00D93B4E"/>
    <w:rsid w:val="00DC2E62"/>
    <w:rsid w:val="00DF5A80"/>
    <w:rsid w:val="00E03B32"/>
    <w:rsid w:val="00E257E8"/>
    <w:rsid w:val="00E36F4F"/>
    <w:rsid w:val="00E47C75"/>
    <w:rsid w:val="00E83A60"/>
    <w:rsid w:val="00EA210A"/>
    <w:rsid w:val="00EA5197"/>
    <w:rsid w:val="00EB66EB"/>
    <w:rsid w:val="00ED1F3B"/>
    <w:rsid w:val="00ED4732"/>
    <w:rsid w:val="00F0433F"/>
    <w:rsid w:val="00F322EE"/>
    <w:rsid w:val="00F72A97"/>
    <w:rsid w:val="00F73633"/>
    <w:rsid w:val="00FA1235"/>
    <w:rsid w:val="00FB6F58"/>
    <w:rsid w:val="00FC34B3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2BF44"/>
  <w15:docId w15:val="{344D9EE4-5DF7-4EAD-A4B7-613372FD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E4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42C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2CF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8644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80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C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E6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6A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6A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AC1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F1E9C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F1E9C"/>
    <w:rPr>
      <w:rFonts w:ascii="Arial" w:hAnsi="Arial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F1C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44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ga@headlandconsultancy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data.fca.org.uk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corporate.saga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77F71FA5DDED488D3E5B2142249DED" ma:contentTypeVersion="18" ma:contentTypeDescription="Create a new document." ma:contentTypeScope="" ma:versionID="ed82a38b520e1f4c458e7ec3572c7f25">
  <xsd:schema xmlns:xsd="http://www.w3.org/2001/XMLSchema" xmlns:xs="http://www.w3.org/2001/XMLSchema" xmlns:p="http://schemas.microsoft.com/office/2006/metadata/properties" xmlns:ns1="http://schemas.microsoft.com/sharepoint/v3" xmlns:ns2="114de137-b9f8-4512-a1be-cd2ad9780acb" xmlns:ns3="3522a956-74c9-4238-aa89-af740691c2d8" targetNamespace="http://schemas.microsoft.com/office/2006/metadata/properties" ma:root="true" ma:fieldsID="8d4e8f9cfea2561358ed68ae88f332bc" ns1:_="" ns2:_="" ns3:_="">
    <xsd:import namespace="http://schemas.microsoft.com/sharepoint/v3"/>
    <xsd:import namespace="114de137-b9f8-4512-a1be-cd2ad9780acb"/>
    <xsd:import namespace="3522a956-74c9-4238-aa89-af740691c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de137-b9f8-4512-a1be-cd2ad9780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6a3b56d-b4dc-47c6-839a-aa6c6171e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2a956-74c9-4238-aa89-af740691c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0b280e1-4cb5-408b-aeba-a0b692896dd9}" ma:internalName="TaxCatchAll" ma:showField="CatchAllData" ma:web="3522a956-74c9-4238-aa89-af740691c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522a956-74c9-4238-aa89-af740691c2d8" xsi:nil="true"/>
    <_ip_UnifiedCompliancePolicyProperties xmlns="http://schemas.microsoft.com/sharepoint/v3" xsi:nil="true"/>
    <lcf76f155ced4ddcb4097134ff3c332f xmlns="114de137-b9f8-4512-a1be-cd2ad9780a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9A0B94-464A-4AA7-85D0-313AF9DDB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4de137-b9f8-4512-a1be-cd2ad9780acb"/>
    <ds:schemaRef ds:uri="3522a956-74c9-4238-aa89-af740691c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DC9692-9FF1-462D-8D10-6CF19D83B6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C7621D-B072-4000-B8BC-87050BE4E2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B47906-95CB-44AA-9EC0-1D7CBFCCDB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22a956-74c9-4238-aa89-af740691c2d8"/>
    <ds:schemaRef ds:uri="114de137-b9f8-4512-a1be-cd2ad9780a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Saga Group Plc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Klis</dc:creator>
  <cp:lastModifiedBy>Robert Evans</cp:lastModifiedBy>
  <cp:revision>6</cp:revision>
  <cp:lastPrinted>2022-07-05T13:49:00Z</cp:lastPrinted>
  <dcterms:created xsi:type="dcterms:W3CDTF">2023-06-20T12:12:00Z</dcterms:created>
  <dcterms:modified xsi:type="dcterms:W3CDTF">2023-06-20T14:21:00Z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0x010100A277F71FA5DDED488D3E5B2142249DED</vt:lpwstr>
  </property>
</Properties>
</file>