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BC9" w:rsidRPr="007B542B" w:rsidRDefault="00C405AF" w:rsidP="002F5BC9">
      <w:pPr>
        <w:jc w:val="center"/>
        <w:rPr>
          <w:rFonts w:cs="Arial"/>
          <w:b/>
        </w:rPr>
      </w:pPr>
      <w:r w:rsidRPr="007B542B">
        <w:rPr>
          <w:rFonts w:cs="Arial"/>
          <w:b/>
        </w:rPr>
        <w:t xml:space="preserve">VOLUTION GROUP </w:t>
      </w:r>
      <w:r w:rsidR="00823416" w:rsidRPr="007B542B">
        <w:rPr>
          <w:rFonts w:cs="Arial"/>
          <w:b/>
        </w:rPr>
        <w:t>PLC</w:t>
      </w:r>
    </w:p>
    <w:p w:rsidR="000F4CD5" w:rsidRPr="007B542B" w:rsidRDefault="00C405AF" w:rsidP="002F5BC9">
      <w:pPr>
        <w:jc w:val="center"/>
        <w:rPr>
          <w:rFonts w:cs="Arial"/>
          <w:b/>
        </w:rPr>
      </w:pPr>
      <w:r w:rsidRPr="007B542B">
        <w:rPr>
          <w:rFonts w:cs="Arial"/>
          <w:b/>
        </w:rPr>
        <w:t>Company No</w:t>
      </w:r>
      <w:r w:rsidR="0021319E" w:rsidRPr="007B542B">
        <w:rPr>
          <w:rFonts w:cs="Arial"/>
          <w:b/>
        </w:rPr>
        <w:t>: 9041571</w:t>
      </w:r>
      <w:r w:rsidRPr="007B542B">
        <w:rPr>
          <w:rFonts w:cs="Arial"/>
          <w:b/>
        </w:rPr>
        <w:t xml:space="preserve"> </w:t>
      </w:r>
    </w:p>
    <w:p w:rsidR="002F5BC9" w:rsidRPr="007B542B" w:rsidRDefault="002F5BC9" w:rsidP="002F5BC9">
      <w:pPr>
        <w:jc w:val="center"/>
        <w:rPr>
          <w:rFonts w:cs="Arial"/>
          <w:b/>
        </w:rPr>
      </w:pPr>
      <w:r w:rsidRPr="007B542B">
        <w:rPr>
          <w:rFonts w:cs="Arial"/>
          <w:b/>
        </w:rPr>
        <w:t xml:space="preserve">Special </w:t>
      </w:r>
      <w:r w:rsidR="0092062A" w:rsidRPr="007B542B">
        <w:rPr>
          <w:rFonts w:cs="Arial"/>
          <w:b/>
        </w:rPr>
        <w:t xml:space="preserve">Business </w:t>
      </w:r>
      <w:r w:rsidRPr="007B542B">
        <w:rPr>
          <w:rFonts w:cs="Arial"/>
          <w:b/>
        </w:rPr>
        <w:t>Resolutions</w:t>
      </w:r>
      <w:r w:rsidR="0078518B" w:rsidRPr="007B542B">
        <w:rPr>
          <w:rFonts w:cs="Arial"/>
          <w:b/>
        </w:rPr>
        <w:t xml:space="preserve"> passed at Annual General Meeting </w:t>
      </w:r>
      <w:r w:rsidR="00F11AA4">
        <w:rPr>
          <w:rFonts w:cs="Arial"/>
          <w:b/>
        </w:rPr>
        <w:t xml:space="preserve">2020 </w:t>
      </w:r>
      <w:r w:rsidR="0078518B" w:rsidRPr="007B542B">
        <w:rPr>
          <w:rFonts w:cs="Arial"/>
          <w:b/>
        </w:rPr>
        <w:t>(“AGM”)</w:t>
      </w:r>
    </w:p>
    <w:p w:rsidR="0092062A" w:rsidRPr="007B542B" w:rsidRDefault="0092062A" w:rsidP="002F5BC9">
      <w:pPr>
        <w:jc w:val="center"/>
        <w:rPr>
          <w:rFonts w:cs="Arial"/>
          <w:b/>
        </w:rPr>
      </w:pPr>
    </w:p>
    <w:p w:rsidR="000C1F90" w:rsidRPr="007B542B" w:rsidRDefault="00823416" w:rsidP="006276D9">
      <w:pPr>
        <w:ind w:right="-22"/>
        <w:jc w:val="both"/>
        <w:rPr>
          <w:rFonts w:cs="Arial"/>
        </w:rPr>
      </w:pPr>
      <w:r w:rsidRPr="007B542B">
        <w:rPr>
          <w:rFonts w:cs="Arial"/>
        </w:rPr>
        <w:t>The following resolutions</w:t>
      </w:r>
      <w:r w:rsidR="002F5BC9" w:rsidRPr="007B542B">
        <w:rPr>
          <w:rFonts w:cs="Arial"/>
        </w:rPr>
        <w:t>, numbered according to the published Notice of AGM,</w:t>
      </w:r>
      <w:r w:rsidRPr="007B542B">
        <w:rPr>
          <w:rFonts w:cs="Arial"/>
        </w:rPr>
        <w:t xml:space="preserve"> were duly passed by shareholders at the A</w:t>
      </w:r>
      <w:r w:rsidR="0034117D" w:rsidRPr="007B542B">
        <w:rPr>
          <w:rFonts w:cs="Arial"/>
        </w:rPr>
        <w:t xml:space="preserve">GM of </w:t>
      </w:r>
      <w:r w:rsidR="00C405AF" w:rsidRPr="007B542B">
        <w:rPr>
          <w:rFonts w:cs="Arial"/>
        </w:rPr>
        <w:t xml:space="preserve">Volution Group </w:t>
      </w:r>
      <w:r w:rsidR="002F5BC9" w:rsidRPr="007B542B">
        <w:rPr>
          <w:rFonts w:cs="Arial"/>
        </w:rPr>
        <w:t>plc (“</w:t>
      </w:r>
      <w:r w:rsidR="00A064FD" w:rsidRPr="007B542B">
        <w:rPr>
          <w:rFonts w:cs="Arial"/>
        </w:rPr>
        <w:t>the Company</w:t>
      </w:r>
      <w:r w:rsidR="002F5BC9" w:rsidRPr="007B542B">
        <w:rPr>
          <w:rFonts w:cs="Arial"/>
        </w:rPr>
        <w:t>”)</w:t>
      </w:r>
      <w:r w:rsidR="006276D9" w:rsidRPr="007B542B">
        <w:rPr>
          <w:rFonts w:cs="Arial"/>
        </w:rPr>
        <w:t xml:space="preserve"> held on </w:t>
      </w:r>
      <w:r w:rsidR="002D53C3" w:rsidRPr="007B542B">
        <w:rPr>
          <w:rFonts w:cs="Arial"/>
        </w:rPr>
        <w:t>1</w:t>
      </w:r>
      <w:r w:rsidR="00F11AA4">
        <w:rPr>
          <w:rFonts w:cs="Arial"/>
        </w:rPr>
        <w:t>1</w:t>
      </w:r>
      <w:r w:rsidR="00C405AF" w:rsidRPr="007B542B">
        <w:rPr>
          <w:rFonts w:cs="Arial"/>
        </w:rPr>
        <w:t xml:space="preserve"> December </w:t>
      </w:r>
      <w:r w:rsidR="00E57DE1" w:rsidRPr="007B542B">
        <w:rPr>
          <w:rFonts w:cs="Arial"/>
        </w:rPr>
        <w:t>20</w:t>
      </w:r>
      <w:r w:rsidR="00F11AA4">
        <w:rPr>
          <w:rFonts w:cs="Arial"/>
        </w:rPr>
        <w:t>20</w:t>
      </w:r>
      <w:r w:rsidR="00A767D8" w:rsidRPr="007B542B">
        <w:rPr>
          <w:rFonts w:cs="Arial"/>
        </w:rPr>
        <w:t xml:space="preserve"> </w:t>
      </w:r>
      <w:r w:rsidRPr="007B542B">
        <w:rPr>
          <w:rFonts w:cs="Arial"/>
        </w:rPr>
        <w:t>at</w:t>
      </w:r>
      <w:r w:rsidR="0078518B" w:rsidRPr="007B542B">
        <w:rPr>
          <w:rFonts w:cs="Arial"/>
        </w:rPr>
        <w:t xml:space="preserve"> </w:t>
      </w:r>
      <w:r w:rsidR="0034117D" w:rsidRPr="007B542B">
        <w:rPr>
          <w:rFonts w:cs="Arial"/>
        </w:rPr>
        <w:t>1</w:t>
      </w:r>
      <w:r w:rsidR="00A767D8" w:rsidRPr="007B542B">
        <w:rPr>
          <w:rFonts w:cs="Arial"/>
        </w:rPr>
        <w:t xml:space="preserve">2.00 noon </w:t>
      </w:r>
      <w:r w:rsidR="0034117D" w:rsidRPr="007B542B">
        <w:rPr>
          <w:rFonts w:cs="Arial"/>
        </w:rPr>
        <w:t xml:space="preserve">at </w:t>
      </w:r>
      <w:r w:rsidR="00F11AA4">
        <w:rPr>
          <w:rFonts w:cs="Arial"/>
        </w:rPr>
        <w:t>Volution Group plc, Fleming Way, Crawley, West Sussex RH10 9YX.</w:t>
      </w:r>
    </w:p>
    <w:p w:rsidR="00EB2F54" w:rsidRDefault="00EB2F54" w:rsidP="006276D9">
      <w:pPr>
        <w:ind w:right="-22"/>
        <w:jc w:val="both"/>
        <w:rPr>
          <w:rFonts w:cs="Arial"/>
          <w:b/>
        </w:rPr>
      </w:pPr>
    </w:p>
    <w:p w:rsidR="00C405AF" w:rsidRPr="007B542B" w:rsidRDefault="000C1F90" w:rsidP="006276D9">
      <w:pPr>
        <w:ind w:right="-22"/>
        <w:jc w:val="both"/>
        <w:rPr>
          <w:rFonts w:cs="Arial"/>
          <w:b/>
        </w:rPr>
      </w:pPr>
      <w:r w:rsidRPr="007B542B">
        <w:rPr>
          <w:rFonts w:cs="Arial"/>
          <w:b/>
        </w:rPr>
        <w:t>Ordinary Resolution</w:t>
      </w:r>
      <w:r w:rsidR="0092062A" w:rsidRPr="007B542B">
        <w:rPr>
          <w:rFonts w:cs="Arial"/>
          <w:b/>
        </w:rPr>
        <w:t>s</w:t>
      </w:r>
    </w:p>
    <w:p w:rsidR="0092062A" w:rsidRPr="007B542B" w:rsidRDefault="0092062A" w:rsidP="0092062A">
      <w:pPr>
        <w:ind w:right="-22"/>
        <w:jc w:val="both"/>
        <w:rPr>
          <w:rFonts w:cs="Arial"/>
          <w:u w:val="single"/>
        </w:rPr>
      </w:pPr>
      <w:r w:rsidRPr="007B542B">
        <w:rPr>
          <w:rFonts w:cs="Arial"/>
          <w:u w:val="single"/>
        </w:rPr>
        <w:t>Political donations</w:t>
      </w:r>
    </w:p>
    <w:p w:rsidR="007B542B" w:rsidRPr="007B542B" w:rsidRDefault="007B542B" w:rsidP="007B542B">
      <w:pPr>
        <w:ind w:right="-22"/>
        <w:jc w:val="both"/>
        <w:rPr>
          <w:rFonts w:cs="Arial"/>
        </w:rPr>
      </w:pPr>
      <w:r w:rsidRPr="007B542B">
        <w:rPr>
          <w:rFonts w:cs="Arial"/>
        </w:rPr>
        <w:t>13. That the Company and all the companies that are the Company’s subsidiaries at any time during the period for which this resolution has effect be authorised to:</w:t>
      </w:r>
    </w:p>
    <w:p w:rsidR="007B542B" w:rsidRPr="007B542B" w:rsidRDefault="007B542B" w:rsidP="007B542B">
      <w:pPr>
        <w:ind w:right="-22"/>
        <w:jc w:val="both"/>
        <w:rPr>
          <w:rFonts w:cs="Arial"/>
        </w:rPr>
      </w:pPr>
      <w:r w:rsidRPr="007B542B">
        <w:rPr>
          <w:rFonts w:cs="Arial"/>
        </w:rPr>
        <w:t xml:space="preserve">(a) </w:t>
      </w:r>
      <w:proofErr w:type="gramStart"/>
      <w:r w:rsidRPr="007B542B">
        <w:rPr>
          <w:rFonts w:cs="Arial"/>
        </w:rPr>
        <w:t>make</w:t>
      </w:r>
      <w:proofErr w:type="gramEnd"/>
      <w:r w:rsidRPr="007B542B">
        <w:rPr>
          <w:rFonts w:cs="Arial"/>
        </w:rPr>
        <w:t xml:space="preserve"> political donations to political parties and/or independent election candidates not exceeding £50,000 in total;</w:t>
      </w:r>
    </w:p>
    <w:p w:rsidR="007B542B" w:rsidRPr="007B542B" w:rsidRDefault="007B542B" w:rsidP="007B542B">
      <w:pPr>
        <w:ind w:right="-22"/>
        <w:jc w:val="both"/>
        <w:rPr>
          <w:rFonts w:cs="Arial"/>
        </w:rPr>
      </w:pPr>
      <w:r w:rsidRPr="007B542B">
        <w:rPr>
          <w:rFonts w:cs="Arial"/>
        </w:rPr>
        <w:t xml:space="preserve">(b) </w:t>
      </w:r>
      <w:proofErr w:type="gramStart"/>
      <w:r w:rsidRPr="007B542B">
        <w:rPr>
          <w:rFonts w:cs="Arial"/>
        </w:rPr>
        <w:t>make</w:t>
      </w:r>
      <w:proofErr w:type="gramEnd"/>
      <w:r w:rsidRPr="007B542B">
        <w:rPr>
          <w:rFonts w:cs="Arial"/>
        </w:rPr>
        <w:t xml:space="preserve"> political donations to political organisations other than political parties not exceeding £50,000 in total; and</w:t>
      </w:r>
    </w:p>
    <w:p w:rsidR="007B542B" w:rsidRPr="007B542B" w:rsidRDefault="007B542B" w:rsidP="007B542B">
      <w:pPr>
        <w:ind w:right="-22"/>
        <w:jc w:val="both"/>
        <w:rPr>
          <w:rFonts w:cs="Arial"/>
        </w:rPr>
      </w:pPr>
      <w:r w:rsidRPr="007B542B">
        <w:rPr>
          <w:rFonts w:cs="Arial"/>
        </w:rPr>
        <w:t xml:space="preserve">(c) </w:t>
      </w:r>
      <w:proofErr w:type="gramStart"/>
      <w:r w:rsidRPr="007B542B">
        <w:rPr>
          <w:rFonts w:cs="Arial"/>
        </w:rPr>
        <w:t>incur</w:t>
      </w:r>
      <w:proofErr w:type="gramEnd"/>
      <w:r w:rsidRPr="007B542B">
        <w:rPr>
          <w:rFonts w:cs="Arial"/>
        </w:rPr>
        <w:t xml:space="preserve"> political expenditure not exceeding £50,000 in total, in each case during the period beginning with the date of the Annual General Meeting 20</w:t>
      </w:r>
      <w:r w:rsidR="00291FD4">
        <w:rPr>
          <w:rFonts w:cs="Arial"/>
        </w:rPr>
        <w:t>20</w:t>
      </w:r>
      <w:r w:rsidRPr="007B542B">
        <w:rPr>
          <w:rFonts w:cs="Arial"/>
        </w:rPr>
        <w:t xml:space="preserve"> and ending at the close of business on the day on which the Annual General Meeting 20</w:t>
      </w:r>
      <w:r w:rsidR="00291FD4">
        <w:rPr>
          <w:rFonts w:cs="Arial"/>
        </w:rPr>
        <w:t>21</w:t>
      </w:r>
      <w:r w:rsidRPr="007B542B">
        <w:rPr>
          <w:rFonts w:cs="Arial"/>
        </w:rPr>
        <w:t xml:space="preserve"> is held or 31 January 202</w:t>
      </w:r>
      <w:r w:rsidR="00291FD4">
        <w:rPr>
          <w:rFonts w:cs="Arial"/>
        </w:rPr>
        <w:t>2</w:t>
      </w:r>
      <w:r w:rsidRPr="007B542B">
        <w:rPr>
          <w:rFonts w:cs="Arial"/>
        </w:rPr>
        <w:t>, whichever is the earlier. The maximum amounts in (a), (b) and (c) may comprise sums in different currencies, which shall be converted at such rate as the Board may in its absolute discretion determine to be appropriate.</w:t>
      </w:r>
    </w:p>
    <w:p w:rsidR="00A767D8" w:rsidRPr="007B542B" w:rsidRDefault="007B542B" w:rsidP="007B542B">
      <w:pPr>
        <w:ind w:right="-22"/>
        <w:jc w:val="both"/>
        <w:rPr>
          <w:rFonts w:cs="Arial"/>
        </w:rPr>
      </w:pPr>
      <w:r w:rsidRPr="007B542B">
        <w:rPr>
          <w:rFonts w:cs="Arial"/>
        </w:rPr>
        <w:t>For the purposes of this resolution, the terms “political donations”, “political parties”, “independent election candidates”, “political organisations” and “political expenditure” have the meanings set out in Sections 363 to 365 of the Companies Act 2006.</w:t>
      </w:r>
    </w:p>
    <w:p w:rsidR="00A767D8" w:rsidRPr="007B542B" w:rsidRDefault="00A767D8" w:rsidP="00295357">
      <w:pPr>
        <w:kinsoku w:val="0"/>
        <w:overflowPunct w:val="0"/>
        <w:autoSpaceDE w:val="0"/>
        <w:autoSpaceDN w:val="0"/>
        <w:adjustRightInd w:val="0"/>
        <w:spacing w:after="0" w:line="360" w:lineRule="auto"/>
        <w:ind w:left="40"/>
        <w:jc w:val="both"/>
        <w:rPr>
          <w:rFonts w:cs="Arial"/>
          <w:color w:val="231F20"/>
          <w:spacing w:val="-2"/>
          <w:w w:val="105"/>
          <w:u w:val="single"/>
        </w:rPr>
      </w:pPr>
      <w:r w:rsidRPr="007B542B">
        <w:rPr>
          <w:rFonts w:cs="Arial"/>
          <w:color w:val="231F20"/>
          <w:w w:val="105"/>
          <w:u w:val="single"/>
        </w:rPr>
        <w:t>Authority</w:t>
      </w:r>
      <w:r w:rsidRPr="007B542B">
        <w:rPr>
          <w:rFonts w:cs="Arial"/>
          <w:color w:val="231F20"/>
          <w:spacing w:val="-1"/>
          <w:w w:val="105"/>
          <w:u w:val="single"/>
        </w:rPr>
        <w:t xml:space="preserve"> </w:t>
      </w:r>
      <w:r w:rsidRPr="007B542B">
        <w:rPr>
          <w:rFonts w:cs="Arial"/>
          <w:color w:val="231F20"/>
          <w:w w:val="105"/>
          <w:u w:val="single"/>
        </w:rPr>
        <w:t>to</w:t>
      </w:r>
      <w:r w:rsidRPr="007B542B">
        <w:rPr>
          <w:rFonts w:cs="Arial"/>
          <w:color w:val="231F20"/>
          <w:spacing w:val="-1"/>
          <w:w w:val="105"/>
          <w:u w:val="single"/>
        </w:rPr>
        <w:t xml:space="preserve"> </w:t>
      </w:r>
      <w:r w:rsidRPr="007B542B">
        <w:rPr>
          <w:rFonts w:cs="Arial"/>
          <w:color w:val="231F20"/>
          <w:w w:val="105"/>
          <w:u w:val="single"/>
        </w:rPr>
        <w:t xml:space="preserve">allot </w:t>
      </w:r>
      <w:r w:rsidRPr="007B542B">
        <w:rPr>
          <w:rFonts w:cs="Arial"/>
          <w:color w:val="231F20"/>
          <w:spacing w:val="-1"/>
          <w:w w:val="105"/>
          <w:u w:val="single"/>
        </w:rPr>
        <w:t xml:space="preserve">ordinary </w:t>
      </w:r>
      <w:r w:rsidRPr="007B542B">
        <w:rPr>
          <w:rFonts w:cs="Arial"/>
          <w:color w:val="231F20"/>
          <w:spacing w:val="-2"/>
          <w:w w:val="105"/>
          <w:u w:val="single"/>
        </w:rPr>
        <w:t>shares</w:t>
      </w:r>
    </w:p>
    <w:p w:rsidR="00A767D8" w:rsidRPr="007B542B" w:rsidRDefault="00A767D8" w:rsidP="007B542B">
      <w:pPr>
        <w:kinsoku w:val="0"/>
        <w:overflowPunct w:val="0"/>
        <w:autoSpaceDE w:val="0"/>
        <w:autoSpaceDN w:val="0"/>
        <w:adjustRightInd w:val="0"/>
        <w:spacing w:after="0" w:line="174" w:lineRule="exact"/>
        <w:ind w:left="40"/>
        <w:jc w:val="both"/>
        <w:rPr>
          <w:rFonts w:cs="Arial"/>
          <w:color w:val="000000"/>
        </w:rPr>
      </w:pPr>
    </w:p>
    <w:p w:rsidR="00A767D8" w:rsidRPr="007B542B" w:rsidRDefault="00A767D8" w:rsidP="007B542B">
      <w:pPr>
        <w:kinsoku w:val="0"/>
        <w:overflowPunct w:val="0"/>
        <w:autoSpaceDE w:val="0"/>
        <w:autoSpaceDN w:val="0"/>
        <w:adjustRightInd w:val="0"/>
        <w:spacing w:after="0" w:line="174" w:lineRule="exact"/>
        <w:ind w:left="40"/>
        <w:jc w:val="both"/>
        <w:rPr>
          <w:rFonts w:cs="Arial"/>
          <w:color w:val="000000"/>
        </w:rPr>
      </w:pPr>
    </w:p>
    <w:p w:rsidR="007B542B" w:rsidRPr="007B542B" w:rsidRDefault="007B542B" w:rsidP="007B542B">
      <w:pPr>
        <w:autoSpaceDE w:val="0"/>
        <w:autoSpaceDN w:val="0"/>
        <w:adjustRightInd w:val="0"/>
        <w:spacing w:after="0" w:line="240" w:lineRule="auto"/>
        <w:jc w:val="both"/>
        <w:rPr>
          <w:rFonts w:cs="HelveticaNeueLTStd-Lt"/>
        </w:rPr>
      </w:pPr>
      <w:r w:rsidRPr="007B542B">
        <w:rPr>
          <w:rFonts w:cs="HelveticaNeueLTStd-Lt"/>
        </w:rPr>
        <w:t>14. That, in substitution for all subsisting authorities to the extent unused, the Directors be generally and unconditionally authorised for the purposes of Section 551 of the Companies Act 2006 (the Act), to exercise all the powers of the Company to allot shares in the Company or to grant rights to subscribe for, or to convert any securities into, shares in the Company:</w:t>
      </w:r>
    </w:p>
    <w:p w:rsidR="007B542B" w:rsidRPr="007B542B" w:rsidRDefault="007B542B" w:rsidP="007B542B">
      <w:pPr>
        <w:autoSpaceDE w:val="0"/>
        <w:autoSpaceDN w:val="0"/>
        <w:adjustRightInd w:val="0"/>
        <w:spacing w:after="0" w:line="240" w:lineRule="auto"/>
        <w:jc w:val="both"/>
        <w:rPr>
          <w:rFonts w:cs="HelveticaNeueLTStd-Lt"/>
        </w:rPr>
      </w:pPr>
    </w:p>
    <w:p w:rsidR="007B542B" w:rsidRPr="007B542B" w:rsidRDefault="007B542B" w:rsidP="007B542B">
      <w:pPr>
        <w:autoSpaceDE w:val="0"/>
        <w:autoSpaceDN w:val="0"/>
        <w:adjustRightInd w:val="0"/>
        <w:spacing w:after="0" w:line="240" w:lineRule="auto"/>
        <w:jc w:val="both"/>
        <w:rPr>
          <w:rFonts w:cs="HelveticaNeueLTStd-Lt"/>
        </w:rPr>
      </w:pPr>
      <w:r w:rsidRPr="007B542B">
        <w:rPr>
          <w:rFonts w:cs="HelveticaNeueLTStd-Lt"/>
        </w:rPr>
        <w:t xml:space="preserve">(a) </w:t>
      </w:r>
      <w:proofErr w:type="gramStart"/>
      <w:r w:rsidRPr="007B542B">
        <w:rPr>
          <w:rFonts w:cs="HelveticaNeueLTStd-Lt"/>
        </w:rPr>
        <w:t>up</w:t>
      </w:r>
      <w:proofErr w:type="gramEnd"/>
      <w:r w:rsidRPr="007B542B">
        <w:rPr>
          <w:rFonts w:cs="HelveticaNeueLTStd-Lt"/>
        </w:rPr>
        <w:t xml:space="preserve"> to an aggregate nominal amount (within the meaning of Section 551(3) and (6) of the Act) of £6</w:t>
      </w:r>
      <w:r w:rsidR="00291FD4">
        <w:rPr>
          <w:rFonts w:cs="HelveticaNeueLTStd-Lt"/>
        </w:rPr>
        <w:t>60,423</w:t>
      </w:r>
      <w:r w:rsidRPr="007B542B">
        <w:rPr>
          <w:rFonts w:cs="HelveticaNeueLTStd-Lt"/>
        </w:rPr>
        <w:t xml:space="preserve"> (such amount to be reduced by the nominal amount allotted or granted under (b) below in excess of such sum); and</w:t>
      </w:r>
    </w:p>
    <w:p w:rsidR="007B542B" w:rsidRPr="007B542B" w:rsidRDefault="007B542B" w:rsidP="007B542B">
      <w:pPr>
        <w:autoSpaceDE w:val="0"/>
        <w:autoSpaceDN w:val="0"/>
        <w:adjustRightInd w:val="0"/>
        <w:spacing w:after="0" w:line="240" w:lineRule="auto"/>
        <w:jc w:val="both"/>
        <w:rPr>
          <w:rFonts w:cs="HelveticaNeueLTStd-Lt"/>
        </w:rPr>
      </w:pPr>
    </w:p>
    <w:p w:rsidR="007B542B" w:rsidRPr="007B542B" w:rsidRDefault="007B542B" w:rsidP="007B542B">
      <w:pPr>
        <w:autoSpaceDE w:val="0"/>
        <w:autoSpaceDN w:val="0"/>
        <w:adjustRightInd w:val="0"/>
        <w:spacing w:after="0" w:line="240" w:lineRule="auto"/>
        <w:jc w:val="both"/>
        <w:rPr>
          <w:rFonts w:cs="HelveticaNeueLTStd-Lt"/>
        </w:rPr>
      </w:pPr>
      <w:r w:rsidRPr="007B542B">
        <w:rPr>
          <w:rFonts w:cs="HelveticaNeueLTStd-Lt"/>
        </w:rPr>
        <w:lastRenderedPageBreak/>
        <w:t>(b) comprising equity securities (as defined in Section 560 of the Act) up to an aggregate nominal amount (within the meaning of Section 551(3) and (6) of the Act) of £1,32</w:t>
      </w:r>
      <w:r w:rsidR="00291FD4">
        <w:rPr>
          <w:rFonts w:cs="HelveticaNeueLTStd-Lt"/>
        </w:rPr>
        <w:t>0,846</w:t>
      </w:r>
      <w:r w:rsidRPr="007B542B">
        <w:rPr>
          <w:rFonts w:cs="HelveticaNeueLTStd-Lt"/>
        </w:rPr>
        <w:t xml:space="preserve"> (such amount to be reduced by any allotments or grants made under paragraph (a) of this resolution) in connection with, or pursuant to, an offer by way of a rights issue in favour of holders of ordinary shares in proportion (as nearly as practicable) to the respective number of ordinary shares held by them on the record date for such allotment (and holders of any other class of equity securities entitled to participate therein, or, if the Directors consider it necessary, as permitted by the rights of those securities), but subject to such exclusions or other arrangements to deal with fractional entitlements, treasury shares, record dates, or legal, regulatory or practical difficulties which may arise under the laws of, or the requirements of any regulatory body or stock exchange in, any territory or any other matter whatsoever, </w:t>
      </w:r>
    </w:p>
    <w:p w:rsidR="007B542B" w:rsidRPr="007B542B" w:rsidRDefault="007B542B" w:rsidP="007B542B">
      <w:pPr>
        <w:autoSpaceDE w:val="0"/>
        <w:autoSpaceDN w:val="0"/>
        <w:adjustRightInd w:val="0"/>
        <w:spacing w:after="0" w:line="240" w:lineRule="auto"/>
        <w:jc w:val="both"/>
        <w:rPr>
          <w:rFonts w:cs="HelveticaNeueLTStd-Lt"/>
        </w:rPr>
      </w:pPr>
    </w:p>
    <w:p w:rsidR="007B542B" w:rsidRPr="007B542B" w:rsidRDefault="007B542B" w:rsidP="007B542B">
      <w:pPr>
        <w:autoSpaceDE w:val="0"/>
        <w:autoSpaceDN w:val="0"/>
        <w:adjustRightInd w:val="0"/>
        <w:spacing w:after="0" w:line="240" w:lineRule="auto"/>
        <w:jc w:val="both"/>
        <w:rPr>
          <w:rFonts w:cs="HelveticaNeueLTStd-Lt"/>
        </w:rPr>
      </w:pPr>
      <w:r w:rsidRPr="007B542B">
        <w:rPr>
          <w:rFonts w:cs="HelveticaNeueLTStd-Lt"/>
        </w:rPr>
        <w:t>these authorisations to expire at the conclusion of the next Annual General Meeting of the Company or 31 January 202</w:t>
      </w:r>
      <w:r w:rsidR="00291FD4">
        <w:rPr>
          <w:rFonts w:cs="HelveticaNeueLTStd-Lt"/>
        </w:rPr>
        <w:t>2</w:t>
      </w:r>
      <w:r w:rsidRPr="007B542B">
        <w:rPr>
          <w:rFonts w:cs="HelveticaNeueLTStd-Lt"/>
        </w:rPr>
        <w:t xml:space="preserve">, whichever is the earlier, (save that the Company may before such expiry make any offer or agreement which would or might require shares to be allotted, or rights to be granted, after such expiry and the Directors may allot shares or grant rights to subscribe for, or to convert any securities into, shares, in pursuance of any such offer or agreement as if the authorisations conferred hereby had not expired). </w:t>
      </w:r>
    </w:p>
    <w:p w:rsidR="007B542B" w:rsidRPr="007B542B" w:rsidRDefault="007B542B" w:rsidP="007B542B">
      <w:pPr>
        <w:kinsoku w:val="0"/>
        <w:overflowPunct w:val="0"/>
        <w:autoSpaceDE w:val="0"/>
        <w:autoSpaceDN w:val="0"/>
        <w:adjustRightInd w:val="0"/>
        <w:spacing w:after="0" w:line="240" w:lineRule="auto"/>
        <w:ind w:left="40"/>
        <w:jc w:val="both"/>
        <w:rPr>
          <w:rFonts w:cs="Arial"/>
          <w:b/>
          <w:color w:val="231F20"/>
          <w:w w:val="105"/>
          <w:u w:val="single"/>
        </w:rPr>
      </w:pPr>
    </w:p>
    <w:p w:rsidR="00A767D8" w:rsidRPr="007B542B" w:rsidRDefault="00A767D8" w:rsidP="00A767D8">
      <w:pPr>
        <w:kinsoku w:val="0"/>
        <w:overflowPunct w:val="0"/>
        <w:autoSpaceDE w:val="0"/>
        <w:autoSpaceDN w:val="0"/>
        <w:adjustRightInd w:val="0"/>
        <w:spacing w:after="0" w:line="240" w:lineRule="auto"/>
        <w:ind w:left="40"/>
        <w:jc w:val="both"/>
        <w:rPr>
          <w:rFonts w:cs="Arial"/>
          <w:b/>
          <w:color w:val="231F20"/>
          <w:w w:val="105"/>
          <w:u w:val="single"/>
        </w:rPr>
      </w:pPr>
      <w:r w:rsidRPr="007B542B">
        <w:rPr>
          <w:rFonts w:cs="Arial"/>
          <w:b/>
          <w:color w:val="231F20"/>
          <w:w w:val="105"/>
          <w:u w:val="single"/>
        </w:rPr>
        <w:t>Special resolutions</w:t>
      </w:r>
    </w:p>
    <w:p w:rsidR="00A767D8" w:rsidRPr="007B542B" w:rsidRDefault="00A767D8" w:rsidP="00A767D8">
      <w:pPr>
        <w:kinsoku w:val="0"/>
        <w:overflowPunct w:val="0"/>
        <w:autoSpaceDE w:val="0"/>
        <w:autoSpaceDN w:val="0"/>
        <w:adjustRightInd w:val="0"/>
        <w:spacing w:after="0" w:line="240" w:lineRule="auto"/>
        <w:ind w:left="40"/>
        <w:jc w:val="both"/>
        <w:rPr>
          <w:rFonts w:cs="Arial"/>
          <w:color w:val="231F20"/>
          <w:w w:val="105"/>
        </w:rPr>
      </w:pPr>
    </w:p>
    <w:p w:rsidR="00A767D8" w:rsidRPr="007B542B" w:rsidRDefault="00A767D8" w:rsidP="00A767D8">
      <w:pPr>
        <w:kinsoku w:val="0"/>
        <w:overflowPunct w:val="0"/>
        <w:autoSpaceDE w:val="0"/>
        <w:autoSpaceDN w:val="0"/>
        <w:adjustRightInd w:val="0"/>
        <w:spacing w:after="0" w:line="240" w:lineRule="auto"/>
        <w:ind w:left="40"/>
        <w:jc w:val="both"/>
        <w:rPr>
          <w:rFonts w:cs="Arial"/>
          <w:color w:val="231F20"/>
          <w:w w:val="105"/>
          <w:u w:val="single"/>
        </w:rPr>
      </w:pPr>
      <w:r w:rsidRPr="007B542B">
        <w:rPr>
          <w:rFonts w:cs="Arial"/>
          <w:color w:val="231F20"/>
          <w:w w:val="105"/>
          <w:u w:val="single"/>
        </w:rPr>
        <w:t>Authority</w:t>
      </w:r>
      <w:r w:rsidRPr="007B542B">
        <w:rPr>
          <w:rFonts w:cs="Arial"/>
          <w:color w:val="231F20"/>
          <w:spacing w:val="7"/>
          <w:w w:val="105"/>
          <w:u w:val="single"/>
        </w:rPr>
        <w:t xml:space="preserve"> </w:t>
      </w:r>
      <w:r w:rsidRPr="007B542B">
        <w:rPr>
          <w:rFonts w:cs="Arial"/>
          <w:color w:val="231F20"/>
          <w:w w:val="105"/>
          <w:u w:val="single"/>
        </w:rPr>
        <w:t>to</w:t>
      </w:r>
      <w:r w:rsidRPr="007B542B">
        <w:rPr>
          <w:rFonts w:cs="Arial"/>
          <w:color w:val="231F20"/>
          <w:spacing w:val="7"/>
          <w:w w:val="105"/>
          <w:u w:val="single"/>
        </w:rPr>
        <w:t xml:space="preserve"> </w:t>
      </w:r>
      <w:proofErr w:type="spellStart"/>
      <w:r w:rsidRPr="007B542B">
        <w:rPr>
          <w:rFonts w:cs="Arial"/>
          <w:color w:val="231F20"/>
          <w:w w:val="105"/>
          <w:u w:val="single"/>
        </w:rPr>
        <w:t>disapply</w:t>
      </w:r>
      <w:proofErr w:type="spellEnd"/>
      <w:r w:rsidRPr="007B542B">
        <w:rPr>
          <w:rFonts w:cs="Arial"/>
          <w:color w:val="231F20"/>
          <w:spacing w:val="7"/>
          <w:w w:val="105"/>
          <w:u w:val="single"/>
        </w:rPr>
        <w:t xml:space="preserve"> </w:t>
      </w:r>
      <w:r w:rsidRPr="007B542B">
        <w:rPr>
          <w:rFonts w:cs="Arial"/>
          <w:color w:val="231F20"/>
          <w:spacing w:val="-1"/>
          <w:w w:val="105"/>
          <w:u w:val="single"/>
        </w:rPr>
        <w:t>pre-emption</w:t>
      </w:r>
      <w:r w:rsidRPr="007B542B">
        <w:rPr>
          <w:rFonts w:cs="Arial"/>
          <w:color w:val="231F20"/>
          <w:spacing w:val="7"/>
          <w:w w:val="105"/>
          <w:u w:val="single"/>
        </w:rPr>
        <w:t xml:space="preserve"> </w:t>
      </w:r>
      <w:r w:rsidRPr="007B542B">
        <w:rPr>
          <w:rFonts w:cs="Arial"/>
          <w:color w:val="231F20"/>
          <w:w w:val="105"/>
          <w:u w:val="single"/>
        </w:rPr>
        <w:t>rights</w:t>
      </w:r>
    </w:p>
    <w:p w:rsidR="00A767D8" w:rsidRPr="007B542B" w:rsidRDefault="00A767D8" w:rsidP="00A767D8">
      <w:pPr>
        <w:kinsoku w:val="0"/>
        <w:overflowPunct w:val="0"/>
        <w:autoSpaceDE w:val="0"/>
        <w:autoSpaceDN w:val="0"/>
        <w:adjustRightInd w:val="0"/>
        <w:spacing w:after="0" w:line="240" w:lineRule="auto"/>
        <w:ind w:left="40"/>
        <w:jc w:val="both"/>
        <w:rPr>
          <w:rFonts w:cs="Arial"/>
          <w:color w:val="000000"/>
        </w:rPr>
      </w:pPr>
    </w:p>
    <w:p w:rsidR="007B542B" w:rsidRPr="007B542B" w:rsidRDefault="007B542B" w:rsidP="007B542B">
      <w:pPr>
        <w:ind w:right="-22"/>
        <w:jc w:val="both"/>
        <w:rPr>
          <w:rFonts w:cs="Arial"/>
        </w:rPr>
      </w:pPr>
      <w:r w:rsidRPr="007B542B">
        <w:rPr>
          <w:rFonts w:cs="Arial"/>
        </w:rPr>
        <w:t>15. That, if resolution 14 is passed, the Board be authorised to allot equity securities (as defined in the Companies Act 2006 (the Act)) for cash under the authority given by that resolution and/or to sell ordinary shares held by the Company as treasury shares for cash as if Section 561 of the Act did not apply to any such allotment or sale, such authority to be limited:</w:t>
      </w:r>
    </w:p>
    <w:p w:rsidR="00EB2F54" w:rsidRDefault="007B542B" w:rsidP="007B542B">
      <w:pPr>
        <w:ind w:right="-22"/>
        <w:jc w:val="both"/>
        <w:rPr>
          <w:rFonts w:cs="Arial"/>
        </w:rPr>
      </w:pPr>
      <w:r w:rsidRPr="007B542B">
        <w:rPr>
          <w:rFonts w:cs="Arial"/>
        </w:rPr>
        <w:t xml:space="preserve">(a) </w:t>
      </w:r>
      <w:proofErr w:type="gramStart"/>
      <w:r w:rsidRPr="007B542B">
        <w:rPr>
          <w:rFonts w:cs="Arial"/>
        </w:rPr>
        <w:t>to</w:t>
      </w:r>
      <w:proofErr w:type="gramEnd"/>
      <w:r w:rsidRPr="007B542B">
        <w:rPr>
          <w:rFonts w:cs="Arial"/>
        </w:rPr>
        <w:t xml:space="preserve"> allotments for rights issues and other pre-emptive issues; and</w:t>
      </w:r>
    </w:p>
    <w:p w:rsidR="007B542B" w:rsidRPr="007B542B" w:rsidRDefault="007B542B" w:rsidP="007B542B">
      <w:pPr>
        <w:ind w:right="-22"/>
        <w:jc w:val="both"/>
        <w:rPr>
          <w:rFonts w:cs="Arial"/>
        </w:rPr>
      </w:pPr>
      <w:r w:rsidRPr="007B542B">
        <w:rPr>
          <w:rFonts w:cs="Arial"/>
        </w:rPr>
        <w:t xml:space="preserve">(b) </w:t>
      </w:r>
      <w:proofErr w:type="gramStart"/>
      <w:r w:rsidRPr="007B542B">
        <w:rPr>
          <w:rFonts w:cs="Arial"/>
        </w:rPr>
        <w:t>to</w:t>
      </w:r>
      <w:proofErr w:type="gramEnd"/>
      <w:r w:rsidRPr="007B542B">
        <w:rPr>
          <w:rFonts w:cs="Arial"/>
        </w:rPr>
        <w:t xml:space="preserve"> the allotment of equity securities or the sale of treasury shares (otherwise than under paragraph (a) above) up to a nominal amount of £99,</w:t>
      </w:r>
      <w:r w:rsidR="00291FD4">
        <w:rPr>
          <w:rFonts w:cs="Arial"/>
        </w:rPr>
        <w:t>063</w:t>
      </w:r>
      <w:r w:rsidRPr="007B542B">
        <w:rPr>
          <w:rFonts w:cs="Arial"/>
        </w:rPr>
        <w:t>,</w:t>
      </w:r>
    </w:p>
    <w:p w:rsidR="007B542B" w:rsidRPr="007B542B" w:rsidRDefault="007B542B" w:rsidP="007B542B">
      <w:pPr>
        <w:ind w:right="-22"/>
        <w:jc w:val="both"/>
        <w:rPr>
          <w:rFonts w:cs="Arial"/>
        </w:rPr>
      </w:pPr>
      <w:r w:rsidRPr="007B542B">
        <w:rPr>
          <w:rFonts w:cs="Arial"/>
        </w:rPr>
        <w:t>such authority to expire at the end of the next Annual General Meeting of the Company or, if earlier, at the close of business on 31 January 202</w:t>
      </w:r>
      <w:r w:rsidR="00291FD4">
        <w:rPr>
          <w:rFonts w:cs="Arial"/>
        </w:rPr>
        <w:t>2</w:t>
      </w:r>
      <w:bookmarkStart w:id="0" w:name="_GoBack"/>
      <w:bookmarkEnd w:id="0"/>
      <w:r w:rsidRPr="007B542B">
        <w:rPr>
          <w:rFonts w:cs="Arial"/>
        </w:rPr>
        <w:t xml:space="preserve">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rsidR="000C1F90" w:rsidRPr="007B542B" w:rsidRDefault="000C1F90" w:rsidP="007B542B">
      <w:pPr>
        <w:ind w:right="-22"/>
        <w:jc w:val="both"/>
        <w:rPr>
          <w:rFonts w:cs="Arial"/>
          <w:u w:val="single"/>
        </w:rPr>
      </w:pPr>
      <w:r w:rsidRPr="007B542B">
        <w:rPr>
          <w:rFonts w:cs="Arial"/>
          <w:u w:val="single"/>
        </w:rPr>
        <w:t>Notice period for general meetings, other than annual general meetings</w:t>
      </w:r>
    </w:p>
    <w:p w:rsidR="007B542B" w:rsidRDefault="007B542B" w:rsidP="007B542B">
      <w:pPr>
        <w:autoSpaceDE w:val="0"/>
        <w:autoSpaceDN w:val="0"/>
        <w:adjustRightInd w:val="0"/>
        <w:spacing w:after="0" w:line="240" w:lineRule="auto"/>
        <w:jc w:val="both"/>
        <w:rPr>
          <w:rFonts w:eastAsia="Calibri" w:cs="HelveticaNeueLTStd-Lt"/>
          <w:lang w:eastAsia="en-US"/>
        </w:rPr>
      </w:pPr>
      <w:r w:rsidRPr="007B542B">
        <w:rPr>
          <w:rFonts w:eastAsia="Calibri" w:cs="HelveticaNeueLTStd-Lt"/>
          <w:lang w:eastAsia="en-US"/>
        </w:rPr>
        <w:t>1</w:t>
      </w:r>
      <w:r w:rsidR="00EB2F54">
        <w:rPr>
          <w:rFonts w:eastAsia="Calibri" w:cs="HelveticaNeueLTStd-Lt"/>
          <w:lang w:eastAsia="en-US"/>
        </w:rPr>
        <w:t>6</w:t>
      </w:r>
      <w:r w:rsidRPr="007B542B">
        <w:rPr>
          <w:rFonts w:eastAsia="Calibri" w:cs="HelveticaNeueLTStd-Lt"/>
          <w:lang w:eastAsia="en-US"/>
        </w:rPr>
        <w:t>. That a general meeting, other than an Annual General Meeting, may be called on not less than 14 clear days’ notice.</w:t>
      </w:r>
    </w:p>
    <w:p w:rsidR="00EB2F54" w:rsidRPr="007B542B" w:rsidRDefault="00EB2F54" w:rsidP="00EB2F54">
      <w:pPr>
        <w:autoSpaceDE w:val="0"/>
        <w:autoSpaceDN w:val="0"/>
        <w:adjustRightInd w:val="0"/>
        <w:spacing w:after="0" w:line="240" w:lineRule="auto"/>
        <w:jc w:val="both"/>
        <w:rPr>
          <w:rFonts w:eastAsia="Calibri" w:cs="HelveticaNeueLTStd-Lt"/>
          <w:lang w:eastAsia="en-US"/>
        </w:rPr>
      </w:pPr>
    </w:p>
    <w:p w:rsidR="004930FC" w:rsidRPr="007B542B" w:rsidRDefault="00527815" w:rsidP="00EB2F54">
      <w:pPr>
        <w:spacing w:after="0" w:line="240" w:lineRule="auto"/>
        <w:ind w:right="261"/>
        <w:rPr>
          <w:rFonts w:cs="Arial"/>
          <w:b/>
        </w:rPr>
      </w:pPr>
      <w:r w:rsidRPr="007B542B">
        <w:rPr>
          <w:rFonts w:cs="Arial"/>
          <w:b/>
        </w:rPr>
        <w:t>Certified a true and correct copy</w:t>
      </w:r>
    </w:p>
    <w:p w:rsidR="00527815" w:rsidRDefault="007B542B" w:rsidP="00EB2F54">
      <w:pPr>
        <w:spacing w:after="0" w:line="240" w:lineRule="auto"/>
        <w:ind w:right="261"/>
        <w:rPr>
          <w:rFonts w:cs="Arial"/>
          <w:b/>
        </w:rPr>
      </w:pPr>
      <w:r w:rsidRPr="007B542B">
        <w:rPr>
          <w:rFonts w:cs="Arial"/>
          <w:b/>
          <w:noProof/>
        </w:rPr>
        <w:drawing>
          <wp:inline distT="0" distB="0" distL="0" distR="0" wp14:anchorId="22F128E4" wp14:editId="18BA779D">
            <wp:extent cx="1239520" cy="335280"/>
            <wp:effectExtent l="0" t="0" r="0" b="7620"/>
            <wp:docPr id="1" name="Picture 1" descr="U:\My Documents\Volution Group plc\Volution Group Letterhead labels etc\Michael Anscombe -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y Documents\Volution Group plc\Volution Group Letterhead labels etc\Michael Anscombe - Signatu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520" cy="335280"/>
                    </a:xfrm>
                    <a:prstGeom prst="rect">
                      <a:avLst/>
                    </a:prstGeom>
                    <a:noFill/>
                    <a:ln>
                      <a:noFill/>
                    </a:ln>
                  </pic:spPr>
                </pic:pic>
              </a:graphicData>
            </a:graphic>
          </wp:inline>
        </w:drawing>
      </w:r>
    </w:p>
    <w:p w:rsidR="00EB2F54" w:rsidRPr="007B542B" w:rsidRDefault="00EB2F54" w:rsidP="00EB2F54">
      <w:pPr>
        <w:spacing w:after="0" w:line="240" w:lineRule="auto"/>
        <w:ind w:right="261"/>
        <w:rPr>
          <w:rFonts w:cs="Arial"/>
          <w:b/>
        </w:rPr>
      </w:pPr>
    </w:p>
    <w:p w:rsidR="000C1F90" w:rsidRPr="007B542B" w:rsidRDefault="00E57DE1" w:rsidP="00EB2F54">
      <w:pPr>
        <w:spacing w:after="0" w:line="240" w:lineRule="auto"/>
        <w:ind w:right="261"/>
        <w:rPr>
          <w:rFonts w:cs="Arial"/>
          <w:b/>
        </w:rPr>
      </w:pPr>
      <w:r w:rsidRPr="007B542B">
        <w:rPr>
          <w:rFonts w:cs="Arial"/>
          <w:b/>
        </w:rPr>
        <w:t>Michael Anscombe</w:t>
      </w:r>
      <w:r w:rsidR="000C1F90" w:rsidRPr="007B542B">
        <w:rPr>
          <w:rFonts w:cs="Arial"/>
          <w:b/>
        </w:rPr>
        <w:t xml:space="preserve">, </w:t>
      </w:r>
      <w:r w:rsidR="00A064FD" w:rsidRPr="007B542B">
        <w:rPr>
          <w:rFonts w:cs="Arial"/>
          <w:b/>
        </w:rPr>
        <w:t>Company Secretary</w:t>
      </w:r>
    </w:p>
    <w:p w:rsidR="00A064FD" w:rsidRPr="007B542B" w:rsidRDefault="002D53C3" w:rsidP="00EB2F54">
      <w:pPr>
        <w:spacing w:after="0" w:line="240" w:lineRule="auto"/>
        <w:ind w:right="261"/>
        <w:rPr>
          <w:rFonts w:cs="Arial"/>
          <w:b/>
        </w:rPr>
      </w:pPr>
      <w:r w:rsidRPr="007B542B">
        <w:rPr>
          <w:rFonts w:cs="Arial"/>
          <w:b/>
        </w:rPr>
        <w:t>1</w:t>
      </w:r>
      <w:r w:rsidR="00F11AA4">
        <w:rPr>
          <w:rFonts w:cs="Arial"/>
          <w:b/>
        </w:rPr>
        <w:t>5</w:t>
      </w:r>
      <w:r w:rsidR="00C405AF" w:rsidRPr="007B542B">
        <w:rPr>
          <w:rFonts w:cs="Arial"/>
          <w:b/>
        </w:rPr>
        <w:t xml:space="preserve"> December </w:t>
      </w:r>
      <w:r w:rsidR="00E57DE1" w:rsidRPr="007B542B">
        <w:rPr>
          <w:rFonts w:cs="Arial"/>
          <w:b/>
        </w:rPr>
        <w:t>20</w:t>
      </w:r>
      <w:r w:rsidR="00F11AA4">
        <w:rPr>
          <w:rFonts w:cs="Arial"/>
          <w:b/>
        </w:rPr>
        <w:t>20</w:t>
      </w:r>
    </w:p>
    <w:sectPr w:rsidR="00A064FD" w:rsidRPr="007B542B" w:rsidSect="00EB2F54">
      <w:footerReference w:type="default" r:id="rId9"/>
      <w:pgSz w:w="12240" w:h="15840"/>
      <w:pgMar w:top="1276" w:right="1183" w:bottom="851" w:left="1440" w:header="708" w:footer="2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F90" w:rsidRDefault="000C1F90" w:rsidP="000C1F90">
      <w:pPr>
        <w:spacing w:after="0" w:line="240" w:lineRule="auto"/>
      </w:pPr>
      <w:r>
        <w:separator/>
      </w:r>
    </w:p>
  </w:endnote>
  <w:endnote w:type="continuationSeparator" w:id="0">
    <w:p w:rsidR="000C1F90" w:rsidRDefault="000C1F90" w:rsidP="000C1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413683"/>
      <w:docPartObj>
        <w:docPartGallery w:val="Page Numbers (Bottom of Page)"/>
        <w:docPartUnique/>
      </w:docPartObj>
    </w:sdtPr>
    <w:sdtEndPr/>
    <w:sdtContent>
      <w:sdt>
        <w:sdtPr>
          <w:id w:val="860082579"/>
          <w:docPartObj>
            <w:docPartGallery w:val="Page Numbers (Top of Page)"/>
            <w:docPartUnique/>
          </w:docPartObj>
        </w:sdtPr>
        <w:sdtEndPr/>
        <w:sdtContent>
          <w:p w:rsidR="00EB2F54" w:rsidRDefault="00EB2F5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91FD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1FD4">
              <w:rPr>
                <w:b/>
                <w:bCs/>
                <w:noProof/>
              </w:rPr>
              <w:t>2</w:t>
            </w:r>
            <w:r>
              <w:rPr>
                <w:b/>
                <w:bCs/>
                <w:sz w:val="24"/>
                <w:szCs w:val="24"/>
              </w:rPr>
              <w:fldChar w:fldCharType="end"/>
            </w:r>
          </w:p>
        </w:sdtContent>
      </w:sdt>
    </w:sdtContent>
  </w:sdt>
  <w:p w:rsidR="000C1F90" w:rsidRDefault="000C1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F90" w:rsidRDefault="000C1F90" w:rsidP="000C1F90">
      <w:pPr>
        <w:spacing w:after="0" w:line="240" w:lineRule="auto"/>
      </w:pPr>
      <w:r>
        <w:separator/>
      </w:r>
    </w:p>
  </w:footnote>
  <w:footnote w:type="continuationSeparator" w:id="0">
    <w:p w:rsidR="000C1F90" w:rsidRDefault="000C1F90" w:rsidP="000C1F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C73E3DD0"/>
    <w:lvl w:ilvl="0">
      <w:start w:val="14"/>
      <w:numFmt w:val="decimal"/>
      <w:lvlText w:val="%1."/>
      <w:lvlJc w:val="left"/>
      <w:pPr>
        <w:ind w:left="397" w:hanging="284"/>
      </w:pPr>
      <w:rPr>
        <w:rFonts w:ascii="Arial" w:hAnsi="Arial" w:cs="Arial"/>
        <w:b w:val="0"/>
        <w:bCs w:val="0"/>
        <w:color w:val="231F20"/>
        <w:sz w:val="22"/>
        <w:szCs w:val="22"/>
      </w:rPr>
    </w:lvl>
    <w:lvl w:ilvl="1">
      <w:start w:val="1"/>
      <w:numFmt w:val="lowerLetter"/>
      <w:lvlText w:val="(%2)"/>
      <w:lvlJc w:val="left"/>
      <w:pPr>
        <w:ind w:left="680" w:hanging="284"/>
      </w:pPr>
      <w:rPr>
        <w:rFonts w:ascii="Arial" w:hAnsi="Arial" w:cs="Arial"/>
        <w:b w:val="0"/>
        <w:bCs w:val="0"/>
        <w:color w:val="231F20"/>
        <w:w w:val="81"/>
        <w:sz w:val="22"/>
        <w:szCs w:val="22"/>
      </w:rPr>
    </w:lvl>
    <w:lvl w:ilvl="2">
      <w:start w:val="1"/>
      <w:numFmt w:val="lowerRoman"/>
      <w:lvlText w:val="(%3)"/>
      <w:lvlJc w:val="left"/>
      <w:pPr>
        <w:ind w:left="680" w:hanging="218"/>
      </w:pPr>
      <w:rPr>
        <w:rFonts w:ascii="Arial" w:eastAsiaTheme="minorEastAsia" w:hAnsi="Arial" w:cs="Arial"/>
        <w:b w:val="0"/>
        <w:bCs w:val="0"/>
        <w:color w:val="231F20"/>
        <w:w w:val="81"/>
        <w:sz w:val="17"/>
        <w:szCs w:val="17"/>
      </w:rPr>
    </w:lvl>
    <w:lvl w:ilvl="3">
      <w:numFmt w:val="bullet"/>
      <w:lvlText w:val="•"/>
      <w:lvlJc w:val="left"/>
      <w:pPr>
        <w:ind w:left="1846" w:hanging="218"/>
      </w:pPr>
    </w:lvl>
    <w:lvl w:ilvl="4">
      <w:numFmt w:val="bullet"/>
      <w:lvlText w:val="•"/>
      <w:lvlJc w:val="left"/>
      <w:pPr>
        <w:ind w:left="3011" w:hanging="218"/>
      </w:pPr>
    </w:lvl>
    <w:lvl w:ilvl="5">
      <w:numFmt w:val="bullet"/>
      <w:lvlText w:val="•"/>
      <w:lvlJc w:val="left"/>
      <w:pPr>
        <w:ind w:left="4177" w:hanging="218"/>
      </w:pPr>
    </w:lvl>
    <w:lvl w:ilvl="6">
      <w:numFmt w:val="bullet"/>
      <w:lvlText w:val="•"/>
      <w:lvlJc w:val="left"/>
      <w:pPr>
        <w:ind w:left="5343" w:hanging="218"/>
      </w:pPr>
    </w:lvl>
    <w:lvl w:ilvl="7">
      <w:numFmt w:val="bullet"/>
      <w:lvlText w:val="•"/>
      <w:lvlJc w:val="left"/>
      <w:pPr>
        <w:ind w:left="6508" w:hanging="218"/>
      </w:pPr>
    </w:lvl>
    <w:lvl w:ilvl="8">
      <w:numFmt w:val="bullet"/>
      <w:lvlText w:val="•"/>
      <w:lvlJc w:val="left"/>
      <w:pPr>
        <w:ind w:left="7674" w:hanging="218"/>
      </w:pPr>
    </w:lvl>
  </w:abstractNum>
  <w:abstractNum w:abstractNumId="1">
    <w:nsid w:val="08C34BF4"/>
    <w:multiLevelType w:val="hybridMultilevel"/>
    <w:tmpl w:val="52BC6BCA"/>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DB4417"/>
    <w:multiLevelType w:val="hybridMultilevel"/>
    <w:tmpl w:val="08FAA366"/>
    <w:lvl w:ilvl="0" w:tplc="F028E558">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165368C"/>
    <w:multiLevelType w:val="multilevel"/>
    <w:tmpl w:val="992C957E"/>
    <w:lvl w:ilvl="0">
      <w:start w:val="14"/>
      <w:numFmt w:val="decimal"/>
      <w:lvlText w:val="%1."/>
      <w:lvlJc w:val="left"/>
      <w:pPr>
        <w:ind w:left="397" w:hanging="284"/>
      </w:pPr>
      <w:rPr>
        <w:rFonts w:ascii="Arial" w:hAnsi="Arial" w:cs="Arial"/>
        <w:b w:val="0"/>
        <w:bCs w:val="0"/>
        <w:color w:val="231F20"/>
        <w:sz w:val="22"/>
        <w:szCs w:val="22"/>
      </w:rPr>
    </w:lvl>
    <w:lvl w:ilvl="1">
      <w:start w:val="1"/>
      <w:numFmt w:val="lowerLetter"/>
      <w:lvlText w:val="(%2)"/>
      <w:lvlJc w:val="left"/>
      <w:pPr>
        <w:ind w:left="680" w:hanging="284"/>
      </w:pPr>
      <w:rPr>
        <w:rFonts w:ascii="Arial" w:hAnsi="Arial" w:cs="Arial"/>
        <w:b w:val="0"/>
        <w:bCs w:val="0"/>
        <w:color w:val="231F20"/>
        <w:w w:val="81"/>
        <w:sz w:val="22"/>
        <w:szCs w:val="22"/>
      </w:rPr>
    </w:lvl>
    <w:lvl w:ilvl="2">
      <w:start w:val="1"/>
      <w:numFmt w:val="lowerLetter"/>
      <w:lvlText w:val="(%3)"/>
      <w:lvlJc w:val="left"/>
      <w:pPr>
        <w:ind w:left="680" w:hanging="218"/>
      </w:pPr>
      <w:rPr>
        <w:rFonts w:ascii="Arial" w:hAnsi="Arial" w:cs="Arial"/>
        <w:b w:val="0"/>
        <w:bCs w:val="0"/>
        <w:color w:val="231F20"/>
        <w:w w:val="81"/>
        <w:sz w:val="17"/>
        <w:szCs w:val="17"/>
      </w:rPr>
    </w:lvl>
    <w:lvl w:ilvl="3">
      <w:numFmt w:val="bullet"/>
      <w:lvlText w:val="•"/>
      <w:lvlJc w:val="left"/>
      <w:pPr>
        <w:ind w:left="1846" w:hanging="218"/>
      </w:pPr>
    </w:lvl>
    <w:lvl w:ilvl="4">
      <w:numFmt w:val="bullet"/>
      <w:lvlText w:val="•"/>
      <w:lvlJc w:val="left"/>
      <w:pPr>
        <w:ind w:left="3011" w:hanging="218"/>
      </w:pPr>
    </w:lvl>
    <w:lvl w:ilvl="5">
      <w:numFmt w:val="bullet"/>
      <w:lvlText w:val="•"/>
      <w:lvlJc w:val="left"/>
      <w:pPr>
        <w:ind w:left="4177" w:hanging="218"/>
      </w:pPr>
    </w:lvl>
    <w:lvl w:ilvl="6">
      <w:numFmt w:val="bullet"/>
      <w:lvlText w:val="•"/>
      <w:lvlJc w:val="left"/>
      <w:pPr>
        <w:ind w:left="5343" w:hanging="218"/>
      </w:pPr>
    </w:lvl>
    <w:lvl w:ilvl="7">
      <w:numFmt w:val="bullet"/>
      <w:lvlText w:val="•"/>
      <w:lvlJc w:val="left"/>
      <w:pPr>
        <w:ind w:left="6508" w:hanging="218"/>
      </w:pPr>
    </w:lvl>
    <w:lvl w:ilvl="8">
      <w:numFmt w:val="bullet"/>
      <w:lvlText w:val="•"/>
      <w:lvlJc w:val="left"/>
      <w:pPr>
        <w:ind w:left="7674" w:hanging="218"/>
      </w:pPr>
    </w:lvl>
  </w:abstractNum>
  <w:abstractNum w:abstractNumId="4">
    <w:nsid w:val="42B14364"/>
    <w:multiLevelType w:val="hybridMultilevel"/>
    <w:tmpl w:val="E2741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5B201D"/>
    <w:multiLevelType w:val="multilevel"/>
    <w:tmpl w:val="BA6406B2"/>
    <w:lvl w:ilvl="0">
      <w:start w:val="14"/>
      <w:numFmt w:val="decimal"/>
      <w:lvlText w:val="%1."/>
      <w:lvlJc w:val="left"/>
      <w:pPr>
        <w:ind w:left="397" w:hanging="284"/>
      </w:pPr>
      <w:rPr>
        <w:rFonts w:ascii="Arial" w:hAnsi="Arial" w:cs="Arial"/>
        <w:b w:val="0"/>
        <w:bCs w:val="0"/>
        <w:color w:val="231F20"/>
        <w:sz w:val="22"/>
        <w:szCs w:val="22"/>
      </w:rPr>
    </w:lvl>
    <w:lvl w:ilvl="1">
      <w:start w:val="1"/>
      <w:numFmt w:val="lowerLetter"/>
      <w:lvlText w:val="(%2)"/>
      <w:lvlJc w:val="left"/>
      <w:pPr>
        <w:ind w:left="680" w:hanging="284"/>
      </w:pPr>
      <w:rPr>
        <w:rFonts w:ascii="Arial" w:hAnsi="Arial" w:cs="Arial"/>
        <w:b w:val="0"/>
        <w:bCs w:val="0"/>
        <w:color w:val="231F20"/>
        <w:w w:val="81"/>
        <w:sz w:val="17"/>
        <w:szCs w:val="17"/>
      </w:rPr>
    </w:lvl>
    <w:lvl w:ilvl="2">
      <w:start w:val="1"/>
      <w:numFmt w:val="lowerLetter"/>
      <w:lvlText w:val="(%3)"/>
      <w:lvlJc w:val="left"/>
      <w:pPr>
        <w:ind w:left="680" w:hanging="218"/>
      </w:pPr>
      <w:rPr>
        <w:rFonts w:ascii="Arial" w:hAnsi="Arial" w:cs="Arial"/>
        <w:b w:val="0"/>
        <w:bCs w:val="0"/>
        <w:color w:val="231F20"/>
        <w:w w:val="81"/>
        <w:sz w:val="17"/>
        <w:szCs w:val="17"/>
      </w:rPr>
    </w:lvl>
    <w:lvl w:ilvl="3">
      <w:numFmt w:val="bullet"/>
      <w:lvlText w:val="•"/>
      <w:lvlJc w:val="left"/>
      <w:pPr>
        <w:ind w:left="1846" w:hanging="218"/>
      </w:pPr>
    </w:lvl>
    <w:lvl w:ilvl="4">
      <w:numFmt w:val="bullet"/>
      <w:lvlText w:val="•"/>
      <w:lvlJc w:val="left"/>
      <w:pPr>
        <w:ind w:left="3011" w:hanging="218"/>
      </w:pPr>
    </w:lvl>
    <w:lvl w:ilvl="5">
      <w:numFmt w:val="bullet"/>
      <w:lvlText w:val="•"/>
      <w:lvlJc w:val="left"/>
      <w:pPr>
        <w:ind w:left="4177" w:hanging="218"/>
      </w:pPr>
    </w:lvl>
    <w:lvl w:ilvl="6">
      <w:numFmt w:val="bullet"/>
      <w:lvlText w:val="•"/>
      <w:lvlJc w:val="left"/>
      <w:pPr>
        <w:ind w:left="5343" w:hanging="218"/>
      </w:pPr>
    </w:lvl>
    <w:lvl w:ilvl="7">
      <w:numFmt w:val="bullet"/>
      <w:lvlText w:val="•"/>
      <w:lvlJc w:val="left"/>
      <w:pPr>
        <w:ind w:left="6508" w:hanging="218"/>
      </w:pPr>
    </w:lvl>
    <w:lvl w:ilvl="8">
      <w:numFmt w:val="bullet"/>
      <w:lvlText w:val="•"/>
      <w:lvlJc w:val="left"/>
      <w:pPr>
        <w:ind w:left="7674" w:hanging="218"/>
      </w:pPr>
    </w:lvl>
  </w:abstractNum>
  <w:abstractNum w:abstractNumId="6">
    <w:nsid w:val="6D54090C"/>
    <w:multiLevelType w:val="hybridMultilevel"/>
    <w:tmpl w:val="6DEC7BA0"/>
    <w:lvl w:ilvl="0" w:tplc="C8EE0AE6">
      <w:start w:val="1"/>
      <w:numFmt w:val="lowerRoman"/>
      <w:lvlText w:val="(%1)"/>
      <w:lvlJc w:val="left"/>
      <w:pPr>
        <w:ind w:left="1140" w:hanging="72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2"/>
  </w:num>
  <w:num w:numId="2">
    <w:abstractNumId w:val="6"/>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416"/>
    <w:rsid w:val="000C1F90"/>
    <w:rsid w:val="000F4CD5"/>
    <w:rsid w:val="00137E44"/>
    <w:rsid w:val="0021319E"/>
    <w:rsid w:val="002601F1"/>
    <w:rsid w:val="00291FD4"/>
    <w:rsid w:val="00295357"/>
    <w:rsid w:val="002D53C3"/>
    <w:rsid w:val="002F5BC9"/>
    <w:rsid w:val="0034117D"/>
    <w:rsid w:val="00385797"/>
    <w:rsid w:val="003C3326"/>
    <w:rsid w:val="003F56E5"/>
    <w:rsid w:val="004930FC"/>
    <w:rsid w:val="00527815"/>
    <w:rsid w:val="005D5E16"/>
    <w:rsid w:val="005E0DA4"/>
    <w:rsid w:val="006276D9"/>
    <w:rsid w:val="006B13FB"/>
    <w:rsid w:val="006B6218"/>
    <w:rsid w:val="006E3BA4"/>
    <w:rsid w:val="0078518B"/>
    <w:rsid w:val="007B542B"/>
    <w:rsid w:val="007E5336"/>
    <w:rsid w:val="00823416"/>
    <w:rsid w:val="0092062A"/>
    <w:rsid w:val="00933981"/>
    <w:rsid w:val="00944EFA"/>
    <w:rsid w:val="00A064FD"/>
    <w:rsid w:val="00A35BE7"/>
    <w:rsid w:val="00A767D8"/>
    <w:rsid w:val="00B921C9"/>
    <w:rsid w:val="00C405AF"/>
    <w:rsid w:val="00E57DE1"/>
    <w:rsid w:val="00E81DEA"/>
    <w:rsid w:val="00EB2F54"/>
    <w:rsid w:val="00F11AA4"/>
    <w:rsid w:val="00F33508"/>
    <w:rsid w:val="00F840D3"/>
    <w:rsid w:val="00FE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23416"/>
    <w:pPr>
      <w:overflowPunct w:val="0"/>
      <w:autoSpaceDE w:val="0"/>
      <w:autoSpaceDN w:val="0"/>
      <w:adjustRightInd w:val="0"/>
      <w:spacing w:after="0" w:line="240" w:lineRule="auto"/>
      <w:textAlignment w:val="baseline"/>
    </w:pPr>
    <w:rPr>
      <w:rFonts w:ascii="Times" w:eastAsia="Times" w:hAnsi="Times" w:cs="Times New Roman"/>
      <w:sz w:val="24"/>
      <w:szCs w:val="20"/>
    </w:rPr>
  </w:style>
  <w:style w:type="character" w:customStyle="1" w:styleId="BodyTextChar">
    <w:name w:val="Body Text Char"/>
    <w:basedOn w:val="DefaultParagraphFont"/>
    <w:link w:val="BodyText"/>
    <w:rsid w:val="00823416"/>
    <w:rPr>
      <w:rFonts w:ascii="Times" w:eastAsia="Times" w:hAnsi="Times" w:cs="Times New Roman"/>
      <w:sz w:val="24"/>
      <w:szCs w:val="20"/>
      <w:lang w:val="en-GB"/>
    </w:rPr>
  </w:style>
  <w:style w:type="paragraph" w:styleId="Header">
    <w:name w:val="header"/>
    <w:basedOn w:val="Normal"/>
    <w:link w:val="HeaderChar"/>
    <w:uiPriority w:val="99"/>
    <w:unhideWhenUsed/>
    <w:rsid w:val="000C1F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F90"/>
  </w:style>
  <w:style w:type="paragraph" w:styleId="Footer">
    <w:name w:val="footer"/>
    <w:basedOn w:val="Normal"/>
    <w:link w:val="FooterChar"/>
    <w:uiPriority w:val="99"/>
    <w:unhideWhenUsed/>
    <w:rsid w:val="000C1F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F90"/>
  </w:style>
  <w:style w:type="paragraph" w:styleId="ListParagraph">
    <w:name w:val="List Paragraph"/>
    <w:basedOn w:val="Normal"/>
    <w:uiPriority w:val="34"/>
    <w:qFormat/>
    <w:rsid w:val="00A767D8"/>
    <w:pPr>
      <w:ind w:left="720"/>
      <w:contextualSpacing/>
    </w:pPr>
  </w:style>
  <w:style w:type="paragraph" w:styleId="BalloonText">
    <w:name w:val="Balloon Text"/>
    <w:basedOn w:val="Normal"/>
    <w:link w:val="BalloonTextChar"/>
    <w:uiPriority w:val="99"/>
    <w:semiHidden/>
    <w:unhideWhenUsed/>
    <w:rsid w:val="00260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1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23416"/>
    <w:pPr>
      <w:overflowPunct w:val="0"/>
      <w:autoSpaceDE w:val="0"/>
      <w:autoSpaceDN w:val="0"/>
      <w:adjustRightInd w:val="0"/>
      <w:spacing w:after="0" w:line="240" w:lineRule="auto"/>
      <w:textAlignment w:val="baseline"/>
    </w:pPr>
    <w:rPr>
      <w:rFonts w:ascii="Times" w:eastAsia="Times" w:hAnsi="Times" w:cs="Times New Roman"/>
      <w:sz w:val="24"/>
      <w:szCs w:val="20"/>
    </w:rPr>
  </w:style>
  <w:style w:type="character" w:customStyle="1" w:styleId="BodyTextChar">
    <w:name w:val="Body Text Char"/>
    <w:basedOn w:val="DefaultParagraphFont"/>
    <w:link w:val="BodyText"/>
    <w:rsid w:val="00823416"/>
    <w:rPr>
      <w:rFonts w:ascii="Times" w:eastAsia="Times" w:hAnsi="Times" w:cs="Times New Roman"/>
      <w:sz w:val="24"/>
      <w:szCs w:val="20"/>
      <w:lang w:val="en-GB"/>
    </w:rPr>
  </w:style>
  <w:style w:type="paragraph" w:styleId="Header">
    <w:name w:val="header"/>
    <w:basedOn w:val="Normal"/>
    <w:link w:val="HeaderChar"/>
    <w:uiPriority w:val="99"/>
    <w:unhideWhenUsed/>
    <w:rsid w:val="000C1F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F90"/>
  </w:style>
  <w:style w:type="paragraph" w:styleId="Footer">
    <w:name w:val="footer"/>
    <w:basedOn w:val="Normal"/>
    <w:link w:val="FooterChar"/>
    <w:uiPriority w:val="99"/>
    <w:unhideWhenUsed/>
    <w:rsid w:val="000C1F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F90"/>
  </w:style>
  <w:style w:type="paragraph" w:styleId="ListParagraph">
    <w:name w:val="List Paragraph"/>
    <w:basedOn w:val="Normal"/>
    <w:uiPriority w:val="34"/>
    <w:qFormat/>
    <w:rsid w:val="00A767D8"/>
    <w:pPr>
      <w:ind w:left="720"/>
      <w:contextualSpacing/>
    </w:pPr>
  </w:style>
  <w:style w:type="paragraph" w:styleId="BalloonText">
    <w:name w:val="Balloon Text"/>
    <w:basedOn w:val="Normal"/>
    <w:link w:val="BalloonTextChar"/>
    <w:uiPriority w:val="99"/>
    <w:semiHidden/>
    <w:unhideWhenUsed/>
    <w:rsid w:val="00260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1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Air Partner</Company>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hperkins</dc:creator>
  <cp:lastModifiedBy>Anscombe, Michael</cp:lastModifiedBy>
  <cp:revision>3</cp:revision>
  <cp:lastPrinted>2016-11-16T16:41:00Z</cp:lastPrinted>
  <dcterms:created xsi:type="dcterms:W3CDTF">2020-11-24T12:17:00Z</dcterms:created>
  <dcterms:modified xsi:type="dcterms:W3CDTF">2020-11-24T12:20:00Z</dcterms:modified>
</cp:coreProperties>
</file>