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A9C4" w14:textId="5F962152" w:rsidR="00F436BB" w:rsidRPr="00B85243" w:rsidRDefault="006E3D84" w:rsidP="00F436BB">
      <w:pPr>
        <w:jc w:val="both"/>
        <w:rPr>
          <w:rFonts w:ascii="Arial" w:hAnsi="Arial" w:cs="Arial"/>
          <w:color w:val="000000"/>
          <w:sz w:val="20"/>
          <w:szCs w:val="20"/>
          <w:lang w:eastAsia="en-GB"/>
        </w:rPr>
      </w:pPr>
      <w:r>
        <w:rPr>
          <w:rFonts w:ascii="Arial" w:hAnsi="Arial" w:cs="Arial"/>
          <w:color w:val="000000"/>
          <w:sz w:val="20"/>
          <w:szCs w:val="20"/>
          <w:lang w:eastAsia="en-GB"/>
        </w:rPr>
        <w:t>4</w:t>
      </w:r>
      <w:r w:rsidR="003956E2" w:rsidRPr="00B85243">
        <w:rPr>
          <w:rFonts w:ascii="Arial" w:hAnsi="Arial" w:cs="Arial"/>
          <w:color w:val="000000"/>
          <w:sz w:val="20"/>
          <w:szCs w:val="20"/>
          <w:lang w:eastAsia="en-GB"/>
        </w:rPr>
        <w:t xml:space="preserve"> February</w:t>
      </w:r>
      <w:r w:rsidR="00A83A49" w:rsidRPr="00B85243">
        <w:rPr>
          <w:rFonts w:ascii="Arial" w:hAnsi="Arial" w:cs="Arial"/>
          <w:color w:val="000000"/>
          <w:sz w:val="20"/>
          <w:szCs w:val="20"/>
          <w:lang w:eastAsia="en-GB"/>
        </w:rPr>
        <w:t xml:space="preserve"> 20</w:t>
      </w:r>
      <w:r w:rsidR="00B24849" w:rsidRPr="00B85243">
        <w:rPr>
          <w:rFonts w:ascii="Arial" w:hAnsi="Arial" w:cs="Arial"/>
          <w:color w:val="000000"/>
          <w:sz w:val="20"/>
          <w:szCs w:val="20"/>
          <w:lang w:eastAsia="en-GB"/>
        </w:rPr>
        <w:t>2</w:t>
      </w:r>
      <w:r>
        <w:rPr>
          <w:rFonts w:ascii="Arial" w:hAnsi="Arial" w:cs="Arial"/>
          <w:color w:val="000000"/>
          <w:sz w:val="20"/>
          <w:szCs w:val="20"/>
          <w:lang w:eastAsia="en-GB"/>
        </w:rPr>
        <w:t>2</w:t>
      </w:r>
      <w:r w:rsidR="003956E2" w:rsidRPr="00B85243">
        <w:rPr>
          <w:rFonts w:ascii="Arial" w:hAnsi="Arial" w:cs="Arial"/>
          <w:color w:val="000000"/>
          <w:sz w:val="20"/>
          <w:szCs w:val="20"/>
          <w:lang w:eastAsia="en-GB"/>
        </w:rPr>
        <w:tab/>
      </w:r>
      <w:r w:rsidR="003956E2" w:rsidRPr="00B85243">
        <w:rPr>
          <w:rFonts w:ascii="Arial" w:hAnsi="Arial" w:cs="Arial"/>
          <w:color w:val="000000"/>
          <w:sz w:val="20"/>
          <w:szCs w:val="20"/>
          <w:lang w:eastAsia="en-GB"/>
        </w:rPr>
        <w:tab/>
      </w:r>
      <w:r w:rsidR="003956E2" w:rsidRPr="00B85243">
        <w:rPr>
          <w:rFonts w:ascii="Arial" w:hAnsi="Arial" w:cs="Arial"/>
          <w:color w:val="000000"/>
          <w:sz w:val="20"/>
          <w:szCs w:val="20"/>
          <w:lang w:eastAsia="en-GB"/>
        </w:rPr>
        <w:tab/>
      </w:r>
      <w:r w:rsidR="003956E2" w:rsidRPr="00B85243">
        <w:rPr>
          <w:rFonts w:ascii="Arial" w:hAnsi="Arial" w:cs="Arial"/>
          <w:color w:val="000000"/>
          <w:sz w:val="20"/>
          <w:szCs w:val="20"/>
          <w:lang w:eastAsia="en-GB"/>
        </w:rPr>
        <w:tab/>
      </w:r>
      <w:r w:rsidR="003956E2" w:rsidRPr="00B85243">
        <w:rPr>
          <w:rFonts w:ascii="Arial" w:hAnsi="Arial" w:cs="Arial"/>
          <w:color w:val="000000"/>
          <w:sz w:val="20"/>
          <w:szCs w:val="20"/>
          <w:lang w:eastAsia="en-GB"/>
        </w:rPr>
        <w:tab/>
      </w:r>
      <w:r w:rsidR="003956E2" w:rsidRPr="00B85243">
        <w:rPr>
          <w:rFonts w:ascii="Arial" w:hAnsi="Arial" w:cs="Arial"/>
          <w:color w:val="000000"/>
          <w:sz w:val="20"/>
          <w:szCs w:val="20"/>
          <w:lang w:eastAsia="en-GB"/>
        </w:rPr>
        <w:tab/>
      </w:r>
      <w:r w:rsidR="000359E0" w:rsidRPr="00B85243">
        <w:rPr>
          <w:rFonts w:ascii="Arial" w:hAnsi="Arial" w:cs="Arial"/>
          <w:color w:val="000000"/>
          <w:sz w:val="20"/>
          <w:szCs w:val="20"/>
          <w:lang w:eastAsia="en-GB"/>
        </w:rPr>
        <w:t xml:space="preserve"> </w:t>
      </w:r>
      <w:r w:rsidR="003956E2" w:rsidRPr="00B85243">
        <w:rPr>
          <w:rFonts w:ascii="Arial" w:hAnsi="Arial" w:cs="Arial"/>
          <w:color w:val="000000"/>
          <w:sz w:val="20"/>
          <w:szCs w:val="20"/>
          <w:lang w:eastAsia="en-GB"/>
        </w:rPr>
        <w:tab/>
      </w:r>
      <w:r w:rsidR="00E11113" w:rsidRPr="00B85243">
        <w:rPr>
          <w:rFonts w:ascii="Arial" w:hAnsi="Arial" w:cs="Arial"/>
          <w:color w:val="000000"/>
          <w:sz w:val="20"/>
          <w:szCs w:val="20"/>
          <w:lang w:eastAsia="en-GB"/>
        </w:rPr>
        <w:t xml:space="preserve">    </w:t>
      </w:r>
      <w:r w:rsidR="000359E0" w:rsidRPr="00B85243">
        <w:rPr>
          <w:rFonts w:ascii="Arial" w:hAnsi="Arial" w:cs="Arial"/>
          <w:color w:val="000000"/>
          <w:sz w:val="18"/>
          <w:szCs w:val="18"/>
          <w:lang w:eastAsia="en-GB"/>
        </w:rPr>
        <w:t>LEI: 213800QGNIWTXFMENJ24</w:t>
      </w:r>
    </w:p>
    <w:p w14:paraId="59F39CD8" w14:textId="77777777" w:rsidR="00F436BB" w:rsidRPr="00B24849" w:rsidRDefault="00F436BB" w:rsidP="00F436BB">
      <w:pPr>
        <w:jc w:val="both"/>
        <w:rPr>
          <w:rFonts w:ascii="Arial" w:hAnsi="Arial" w:cs="Arial"/>
          <w:color w:val="000000"/>
          <w:sz w:val="20"/>
          <w:szCs w:val="20"/>
          <w:lang w:eastAsia="en-GB"/>
        </w:rPr>
      </w:pPr>
    </w:p>
    <w:p w14:paraId="71D4DFBC" w14:textId="77777777" w:rsidR="000C6068" w:rsidRDefault="000C6068" w:rsidP="00F436BB">
      <w:pPr>
        <w:jc w:val="both"/>
        <w:rPr>
          <w:rFonts w:ascii="Arial" w:hAnsi="Arial" w:cs="Arial"/>
          <w:color w:val="000000"/>
          <w:sz w:val="20"/>
          <w:szCs w:val="20"/>
          <w:lang w:eastAsia="en-GB"/>
        </w:rPr>
      </w:pPr>
    </w:p>
    <w:p w14:paraId="0E982443" w14:textId="77777777" w:rsidR="00F436BB" w:rsidRDefault="00F436BB" w:rsidP="00F436BB">
      <w:pPr>
        <w:jc w:val="center"/>
        <w:rPr>
          <w:rFonts w:ascii="Arial" w:hAnsi="Arial" w:cs="Arial"/>
          <w:b/>
          <w:color w:val="000000"/>
          <w:sz w:val="20"/>
          <w:szCs w:val="20"/>
          <w:lang w:eastAsia="en-GB"/>
        </w:rPr>
      </w:pPr>
    </w:p>
    <w:p w14:paraId="7DB3E6A4" w14:textId="77777777" w:rsidR="00F436BB" w:rsidRPr="00FD490C" w:rsidRDefault="00A83A49" w:rsidP="00F436BB">
      <w:pPr>
        <w:jc w:val="center"/>
        <w:rPr>
          <w:rFonts w:ascii="Arial" w:hAnsi="Arial" w:cs="Arial"/>
          <w:b/>
          <w:color w:val="000000"/>
          <w:sz w:val="20"/>
          <w:szCs w:val="20"/>
          <w:lang w:eastAsia="en-GB"/>
        </w:rPr>
      </w:pPr>
      <w:r w:rsidRPr="00FD490C">
        <w:rPr>
          <w:rFonts w:ascii="Arial" w:hAnsi="Arial" w:cs="Arial"/>
          <w:b/>
          <w:color w:val="000000"/>
          <w:sz w:val="20"/>
          <w:szCs w:val="20"/>
          <w:lang w:eastAsia="en-GB"/>
        </w:rPr>
        <w:t>SSP Group plc (the "Company")</w:t>
      </w:r>
    </w:p>
    <w:p w14:paraId="79A42CA4" w14:textId="77777777" w:rsidR="00F436BB" w:rsidRDefault="00F436BB" w:rsidP="00F436BB">
      <w:pPr>
        <w:jc w:val="center"/>
        <w:rPr>
          <w:rFonts w:ascii="Arial" w:hAnsi="Arial" w:cs="Arial"/>
          <w:color w:val="000000"/>
          <w:sz w:val="20"/>
          <w:szCs w:val="20"/>
          <w:lang w:eastAsia="en-GB"/>
        </w:rPr>
      </w:pPr>
    </w:p>
    <w:p w14:paraId="2A519494" w14:textId="77777777" w:rsidR="000C6068" w:rsidRDefault="000C6068" w:rsidP="00F436BB">
      <w:pPr>
        <w:jc w:val="center"/>
        <w:rPr>
          <w:rFonts w:ascii="Arial" w:hAnsi="Arial" w:cs="Arial"/>
          <w:color w:val="000000"/>
          <w:sz w:val="20"/>
          <w:szCs w:val="20"/>
          <w:lang w:eastAsia="en-GB"/>
        </w:rPr>
      </w:pPr>
    </w:p>
    <w:p w14:paraId="16BDB521" w14:textId="12B24D3F" w:rsidR="00F436BB" w:rsidRPr="00FD490C" w:rsidRDefault="00D94579" w:rsidP="00F436BB">
      <w:pPr>
        <w:jc w:val="center"/>
        <w:rPr>
          <w:rFonts w:ascii="Arial" w:hAnsi="Arial" w:cs="Arial"/>
          <w:b/>
          <w:color w:val="000000"/>
          <w:sz w:val="20"/>
          <w:szCs w:val="20"/>
          <w:lang w:eastAsia="en-GB"/>
        </w:rPr>
      </w:pPr>
      <w:r>
        <w:rPr>
          <w:rFonts w:ascii="Arial" w:hAnsi="Arial" w:cs="Arial"/>
          <w:b/>
          <w:color w:val="000000"/>
          <w:sz w:val="20"/>
          <w:szCs w:val="20"/>
          <w:lang w:eastAsia="en-GB"/>
        </w:rPr>
        <w:t xml:space="preserve">Results of AGM </w:t>
      </w:r>
    </w:p>
    <w:p w14:paraId="06DA71C8" w14:textId="77777777" w:rsidR="00F436BB" w:rsidRPr="00231A87" w:rsidRDefault="00A83A49" w:rsidP="00F436BB">
      <w:pPr>
        <w:jc w:val="both"/>
        <w:rPr>
          <w:rFonts w:ascii="Arial" w:hAnsi="Arial" w:cs="Arial"/>
          <w:color w:val="000000"/>
          <w:sz w:val="20"/>
          <w:szCs w:val="20"/>
          <w:lang w:eastAsia="en-GB"/>
        </w:rPr>
      </w:pPr>
      <w:r w:rsidRPr="00231A87">
        <w:rPr>
          <w:rFonts w:ascii="Arial" w:hAnsi="Arial" w:cs="Arial"/>
          <w:color w:val="000000"/>
          <w:sz w:val="20"/>
          <w:szCs w:val="20"/>
          <w:lang w:eastAsia="en-GB"/>
        </w:rPr>
        <w:t> </w:t>
      </w:r>
    </w:p>
    <w:p w14:paraId="054BC161" w14:textId="77777777" w:rsidR="00F436BB" w:rsidRDefault="00F436BB" w:rsidP="00F436BB">
      <w:pPr>
        <w:jc w:val="both"/>
        <w:rPr>
          <w:rFonts w:ascii="Arial" w:hAnsi="Arial" w:cs="Arial"/>
          <w:color w:val="000000"/>
          <w:sz w:val="20"/>
          <w:szCs w:val="20"/>
          <w:lang w:eastAsia="en-GB"/>
        </w:rPr>
      </w:pPr>
    </w:p>
    <w:p w14:paraId="464650CC" w14:textId="4DDC3063" w:rsidR="00F436BB" w:rsidRDefault="00A83A49" w:rsidP="00872558">
      <w:pPr>
        <w:ind w:left="-142"/>
        <w:jc w:val="both"/>
        <w:rPr>
          <w:rFonts w:ascii="Arial" w:hAnsi="Arial" w:cs="Arial"/>
          <w:color w:val="000000"/>
          <w:sz w:val="20"/>
          <w:szCs w:val="20"/>
          <w:lang w:eastAsia="en-GB"/>
        </w:rPr>
      </w:pPr>
      <w:r>
        <w:rPr>
          <w:rFonts w:ascii="Arial" w:hAnsi="Arial" w:cs="Arial"/>
          <w:color w:val="000000"/>
          <w:sz w:val="20"/>
          <w:szCs w:val="20"/>
          <w:lang w:eastAsia="en-GB"/>
        </w:rPr>
        <w:t>The Company</w:t>
      </w:r>
      <w:r w:rsidRPr="007A6105">
        <w:rPr>
          <w:rFonts w:ascii="Arial" w:hAnsi="Arial" w:cs="Arial"/>
          <w:color w:val="000000"/>
          <w:sz w:val="20"/>
          <w:szCs w:val="20"/>
          <w:lang w:eastAsia="en-GB"/>
        </w:rPr>
        <w:t xml:space="preserve"> announces that its </w:t>
      </w:r>
      <w:r>
        <w:rPr>
          <w:rFonts w:ascii="Arial" w:hAnsi="Arial" w:cs="Arial"/>
          <w:color w:val="000000"/>
          <w:sz w:val="20"/>
          <w:szCs w:val="20"/>
          <w:lang w:eastAsia="en-GB"/>
        </w:rPr>
        <w:t>A</w:t>
      </w:r>
      <w:r w:rsidRPr="007A6105">
        <w:rPr>
          <w:rFonts w:ascii="Arial" w:hAnsi="Arial" w:cs="Arial"/>
          <w:color w:val="000000"/>
          <w:sz w:val="20"/>
          <w:szCs w:val="20"/>
          <w:lang w:eastAsia="en-GB"/>
        </w:rPr>
        <w:t xml:space="preserve">nnual General Meeting held at </w:t>
      </w:r>
      <w:r>
        <w:rPr>
          <w:rFonts w:ascii="Arial" w:hAnsi="Arial" w:cs="Arial"/>
          <w:color w:val="000000"/>
          <w:sz w:val="20"/>
          <w:szCs w:val="20"/>
          <w:lang w:eastAsia="en-GB"/>
        </w:rPr>
        <w:t>11</w:t>
      </w:r>
      <w:r w:rsidR="00AF3CB9">
        <w:rPr>
          <w:rFonts w:ascii="Arial" w:hAnsi="Arial" w:cs="Arial"/>
          <w:color w:val="000000"/>
          <w:sz w:val="20"/>
          <w:szCs w:val="20"/>
          <w:lang w:eastAsia="en-GB"/>
        </w:rPr>
        <w:t>.00</w:t>
      </w:r>
      <w:r>
        <w:rPr>
          <w:rFonts w:ascii="Arial" w:hAnsi="Arial" w:cs="Arial"/>
          <w:color w:val="000000"/>
          <w:sz w:val="20"/>
          <w:szCs w:val="20"/>
          <w:lang w:eastAsia="en-GB"/>
        </w:rPr>
        <w:t xml:space="preserve">am on </w:t>
      </w:r>
      <w:r w:rsidR="006E3D84">
        <w:rPr>
          <w:rFonts w:ascii="Arial" w:hAnsi="Arial" w:cs="Arial"/>
          <w:color w:val="000000"/>
          <w:sz w:val="20"/>
          <w:szCs w:val="20"/>
          <w:lang w:eastAsia="en-GB"/>
        </w:rPr>
        <w:t>4</w:t>
      </w:r>
      <w:r w:rsidR="003000E7">
        <w:rPr>
          <w:rFonts w:ascii="Arial" w:hAnsi="Arial" w:cs="Arial"/>
          <w:color w:val="000000"/>
          <w:sz w:val="20"/>
          <w:szCs w:val="20"/>
          <w:lang w:eastAsia="en-GB"/>
        </w:rPr>
        <w:t xml:space="preserve"> February</w:t>
      </w:r>
      <w:r w:rsidR="00B24849">
        <w:rPr>
          <w:rFonts w:ascii="Arial" w:hAnsi="Arial" w:cs="Arial"/>
          <w:color w:val="000000"/>
          <w:sz w:val="20"/>
          <w:szCs w:val="20"/>
          <w:lang w:eastAsia="en-GB"/>
        </w:rPr>
        <w:t xml:space="preserve"> 202</w:t>
      </w:r>
      <w:r w:rsidR="006E3D84">
        <w:rPr>
          <w:rFonts w:ascii="Arial" w:hAnsi="Arial" w:cs="Arial"/>
          <w:color w:val="000000"/>
          <w:sz w:val="20"/>
          <w:szCs w:val="20"/>
          <w:lang w:eastAsia="en-GB"/>
        </w:rPr>
        <w:t>2</w:t>
      </w:r>
      <w:r>
        <w:rPr>
          <w:rFonts w:ascii="Arial" w:hAnsi="Arial" w:cs="Arial"/>
          <w:color w:val="000000"/>
          <w:sz w:val="20"/>
          <w:szCs w:val="20"/>
          <w:lang w:eastAsia="en-GB"/>
        </w:rPr>
        <w:t xml:space="preserve"> </w:t>
      </w:r>
      <w:r w:rsidRPr="007A6105">
        <w:rPr>
          <w:rFonts w:ascii="Arial" w:hAnsi="Arial" w:cs="Arial"/>
          <w:color w:val="000000"/>
          <w:sz w:val="20"/>
          <w:szCs w:val="20"/>
          <w:lang w:eastAsia="en-GB"/>
        </w:rPr>
        <w:t xml:space="preserve">at </w:t>
      </w:r>
      <w:r w:rsidR="003000E7">
        <w:rPr>
          <w:rFonts w:ascii="Arial" w:hAnsi="Arial" w:cs="Arial"/>
          <w:color w:val="000000"/>
          <w:sz w:val="20"/>
          <w:szCs w:val="20"/>
          <w:lang w:eastAsia="en-GB"/>
        </w:rPr>
        <w:t>Travers Smith LLP, 10 Snow Hill, London, EC1A 2AL</w:t>
      </w:r>
      <w:r w:rsidRPr="009C1E7E">
        <w:rPr>
          <w:rFonts w:ascii="Arial" w:hAnsi="Arial" w:cs="Arial"/>
          <w:color w:val="000000"/>
          <w:sz w:val="20"/>
          <w:szCs w:val="20"/>
          <w:lang w:eastAsia="en-GB"/>
        </w:rPr>
        <w:t xml:space="preserve"> </w:t>
      </w:r>
      <w:r w:rsidRPr="007A6105">
        <w:rPr>
          <w:rFonts w:ascii="Arial" w:hAnsi="Arial" w:cs="Arial"/>
          <w:color w:val="000000"/>
          <w:sz w:val="20"/>
          <w:szCs w:val="20"/>
          <w:lang w:eastAsia="en-GB"/>
        </w:rPr>
        <w:t xml:space="preserve">was successfully concluded. </w:t>
      </w:r>
    </w:p>
    <w:p w14:paraId="1296828C" w14:textId="77777777" w:rsidR="00F436BB" w:rsidRDefault="00F436BB" w:rsidP="00872558">
      <w:pPr>
        <w:ind w:left="-142"/>
        <w:jc w:val="both"/>
        <w:rPr>
          <w:rFonts w:ascii="Arial" w:hAnsi="Arial" w:cs="Arial"/>
          <w:color w:val="000000"/>
          <w:sz w:val="20"/>
          <w:szCs w:val="20"/>
          <w:lang w:eastAsia="en-GB"/>
        </w:rPr>
      </w:pPr>
    </w:p>
    <w:p w14:paraId="331ADF92" w14:textId="77777777" w:rsidR="00F436BB" w:rsidRDefault="00A83A49" w:rsidP="00872558">
      <w:pPr>
        <w:ind w:left="-142"/>
        <w:jc w:val="both"/>
        <w:rPr>
          <w:rFonts w:ascii="Arial" w:hAnsi="Arial" w:cs="Arial"/>
          <w:color w:val="000000"/>
          <w:sz w:val="20"/>
          <w:szCs w:val="20"/>
          <w:lang w:eastAsia="en-GB"/>
        </w:rPr>
      </w:pPr>
      <w:r>
        <w:rPr>
          <w:rFonts w:ascii="Arial" w:hAnsi="Arial" w:cs="Arial"/>
          <w:color w:val="000000"/>
          <w:sz w:val="20"/>
          <w:szCs w:val="20"/>
          <w:lang w:eastAsia="en-GB"/>
        </w:rPr>
        <w:t xml:space="preserve">All </w:t>
      </w:r>
      <w:r w:rsidRPr="004527D6">
        <w:rPr>
          <w:rFonts w:ascii="Arial" w:hAnsi="Arial" w:cs="Arial"/>
          <w:color w:val="000000"/>
          <w:sz w:val="20"/>
          <w:szCs w:val="20"/>
          <w:lang w:eastAsia="en-GB"/>
        </w:rPr>
        <w:t>Resolutions were duly passed by shareholders by way of a poll.  The voting results are below and will also be available on the Company's website (</w:t>
      </w:r>
      <w:hyperlink r:id="rId8" w:history="1">
        <w:r w:rsidR="00C6394E" w:rsidRPr="00F436BB">
          <w:rPr>
            <w:rStyle w:val="Hyperlink"/>
            <w:rFonts w:ascii="Arial" w:hAnsi="Arial" w:cs="Arial"/>
            <w:sz w:val="20"/>
            <w:szCs w:val="20"/>
          </w:rPr>
          <w:t>www.foodtravelexperts.com</w:t>
        </w:r>
      </w:hyperlink>
      <w:r w:rsidRPr="004527D6">
        <w:rPr>
          <w:rFonts w:ascii="Arial" w:hAnsi="Arial" w:cs="Arial"/>
          <w:color w:val="000000"/>
          <w:sz w:val="20"/>
          <w:szCs w:val="20"/>
          <w:lang w:eastAsia="en-GB"/>
        </w:rPr>
        <w:t xml:space="preserve">). </w:t>
      </w:r>
    </w:p>
    <w:p w14:paraId="28FFAC0C" w14:textId="77777777" w:rsidR="00EC3EE4" w:rsidRDefault="00EC3EE4" w:rsidP="00872558">
      <w:pPr>
        <w:ind w:left="-142"/>
        <w:jc w:val="both"/>
        <w:rPr>
          <w:rFonts w:ascii="Arial" w:hAnsi="Arial" w:cs="Arial"/>
          <w:color w:val="000000"/>
          <w:sz w:val="20"/>
          <w:szCs w:val="20"/>
          <w:lang w:eastAsia="en-GB"/>
        </w:rPr>
      </w:pPr>
    </w:p>
    <w:p w14:paraId="73781130" w14:textId="77777777" w:rsidR="00F436BB" w:rsidRDefault="00F436BB" w:rsidP="00F436BB">
      <w:pPr>
        <w:jc w:val="both"/>
        <w:rPr>
          <w:rFonts w:ascii="Arial" w:hAnsi="Arial" w:cs="Arial"/>
          <w:color w:val="000000"/>
          <w:sz w:val="20"/>
          <w:szCs w:val="20"/>
          <w:lang w:eastAsia="en-GB"/>
        </w:rPr>
      </w:pPr>
    </w:p>
    <w:tbl>
      <w:tblPr>
        <w:tblStyle w:val="TableGrid"/>
        <w:tblW w:w="10745" w:type="dxa"/>
        <w:tblInd w:w="-714" w:type="dxa"/>
        <w:tblLayout w:type="fixed"/>
        <w:tblLook w:val="04A0" w:firstRow="1" w:lastRow="0" w:firstColumn="1" w:lastColumn="0" w:noHBand="0" w:noVBand="1"/>
      </w:tblPr>
      <w:tblGrid>
        <w:gridCol w:w="2665"/>
        <w:gridCol w:w="1305"/>
        <w:gridCol w:w="1134"/>
        <w:gridCol w:w="1275"/>
        <w:gridCol w:w="851"/>
        <w:gridCol w:w="1247"/>
        <w:gridCol w:w="992"/>
        <w:gridCol w:w="1276"/>
      </w:tblGrid>
      <w:tr w:rsidR="007B09BF" w:rsidRPr="00872558" w14:paraId="625B3CB1" w14:textId="77777777" w:rsidTr="0087148C">
        <w:trPr>
          <w:trHeight w:val="510"/>
        </w:trPr>
        <w:tc>
          <w:tcPr>
            <w:tcW w:w="2665" w:type="dxa"/>
            <w:hideMark/>
          </w:tcPr>
          <w:p w14:paraId="60384D8E"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Resolution</w:t>
            </w:r>
          </w:p>
        </w:tc>
        <w:tc>
          <w:tcPr>
            <w:tcW w:w="1305" w:type="dxa"/>
            <w:hideMark/>
          </w:tcPr>
          <w:p w14:paraId="6B0428CF"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Votes For</w:t>
            </w:r>
          </w:p>
        </w:tc>
        <w:tc>
          <w:tcPr>
            <w:tcW w:w="1134" w:type="dxa"/>
            <w:hideMark/>
          </w:tcPr>
          <w:p w14:paraId="199E8071"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w:t>
            </w:r>
          </w:p>
        </w:tc>
        <w:tc>
          <w:tcPr>
            <w:tcW w:w="1275" w:type="dxa"/>
            <w:hideMark/>
          </w:tcPr>
          <w:p w14:paraId="70B2309C"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Votes Against</w:t>
            </w:r>
          </w:p>
        </w:tc>
        <w:tc>
          <w:tcPr>
            <w:tcW w:w="851" w:type="dxa"/>
            <w:hideMark/>
          </w:tcPr>
          <w:p w14:paraId="7EFFCE66"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w:t>
            </w:r>
          </w:p>
        </w:tc>
        <w:tc>
          <w:tcPr>
            <w:tcW w:w="1247" w:type="dxa"/>
            <w:hideMark/>
          </w:tcPr>
          <w:p w14:paraId="369E1777"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Votes Total</w:t>
            </w:r>
          </w:p>
        </w:tc>
        <w:tc>
          <w:tcPr>
            <w:tcW w:w="992" w:type="dxa"/>
            <w:hideMark/>
          </w:tcPr>
          <w:p w14:paraId="69F7062C"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 xml:space="preserve">% </w:t>
            </w:r>
            <w:proofErr w:type="gramStart"/>
            <w:r w:rsidRPr="00D94579">
              <w:rPr>
                <w:rFonts w:ascii="Arial" w:hAnsi="Arial" w:cs="Arial"/>
                <w:b/>
                <w:bCs/>
                <w:color w:val="000000"/>
                <w:sz w:val="18"/>
                <w:szCs w:val="18"/>
                <w:lang w:eastAsia="en-GB"/>
              </w:rPr>
              <w:t>of</w:t>
            </w:r>
            <w:proofErr w:type="gramEnd"/>
            <w:r w:rsidRPr="00D94579">
              <w:rPr>
                <w:rFonts w:ascii="Arial" w:hAnsi="Arial" w:cs="Arial"/>
                <w:b/>
                <w:bCs/>
                <w:color w:val="000000"/>
                <w:sz w:val="18"/>
                <w:szCs w:val="18"/>
                <w:lang w:eastAsia="en-GB"/>
              </w:rPr>
              <w:t xml:space="preserve"> issued share capital voted</w:t>
            </w:r>
          </w:p>
        </w:tc>
        <w:tc>
          <w:tcPr>
            <w:tcW w:w="1276" w:type="dxa"/>
            <w:hideMark/>
          </w:tcPr>
          <w:p w14:paraId="44B4ACF0" w14:textId="77777777" w:rsidR="007B09BF" w:rsidRPr="00D94579" w:rsidRDefault="007B09BF" w:rsidP="00D94579">
            <w:pPr>
              <w:spacing w:after="120"/>
              <w:jc w:val="center"/>
              <w:rPr>
                <w:rFonts w:ascii="Arial" w:hAnsi="Arial" w:cs="Arial"/>
                <w:b/>
                <w:bCs/>
                <w:color w:val="000000"/>
                <w:sz w:val="18"/>
                <w:szCs w:val="18"/>
                <w:lang w:eastAsia="en-GB"/>
              </w:rPr>
            </w:pPr>
            <w:r w:rsidRPr="00D94579">
              <w:rPr>
                <w:rFonts w:ascii="Arial" w:hAnsi="Arial" w:cs="Arial"/>
                <w:b/>
                <w:bCs/>
                <w:color w:val="000000"/>
                <w:sz w:val="18"/>
                <w:szCs w:val="18"/>
                <w:lang w:eastAsia="en-GB"/>
              </w:rPr>
              <w:t>Votes withheld</w:t>
            </w:r>
          </w:p>
        </w:tc>
      </w:tr>
      <w:tr w:rsidR="00D94579" w:rsidRPr="00872558" w14:paraId="73166358" w14:textId="77777777" w:rsidTr="00D94579">
        <w:trPr>
          <w:trHeight w:val="1095"/>
        </w:trPr>
        <w:tc>
          <w:tcPr>
            <w:tcW w:w="2665" w:type="dxa"/>
            <w:vAlign w:val="center"/>
            <w:hideMark/>
          </w:tcPr>
          <w:p w14:paraId="61343368" w14:textId="530E24DA"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 To receive the Company’s annual accounts for the year ended 30 September 2021 together with the Directors’ report and the Auditors’ report on those accounts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AA50635" w14:textId="77DFB4B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595,413,278</w:t>
            </w:r>
          </w:p>
        </w:tc>
        <w:tc>
          <w:tcPr>
            <w:tcW w:w="1134" w:type="dxa"/>
            <w:vAlign w:val="center"/>
          </w:tcPr>
          <w:p w14:paraId="17EBE889" w14:textId="702BF50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449BF9" w14:textId="38D41F3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188,539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06EE1" w14:textId="13C2656B"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0.03%</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E4A9C42" w14:textId="1FC97149"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595,601,817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5966D1" w14:textId="73948128"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74.81%</w:t>
            </w:r>
          </w:p>
        </w:tc>
        <w:tc>
          <w:tcPr>
            <w:tcW w:w="1276" w:type="dxa"/>
            <w:vAlign w:val="center"/>
          </w:tcPr>
          <w:p w14:paraId="33CA4DC6" w14:textId="6337FCE0"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483,319</w:t>
            </w:r>
          </w:p>
        </w:tc>
      </w:tr>
      <w:tr w:rsidR="00D94579" w:rsidRPr="00872558" w14:paraId="5A57DCDE" w14:textId="77777777" w:rsidTr="00D94579">
        <w:trPr>
          <w:trHeight w:val="615"/>
        </w:trPr>
        <w:tc>
          <w:tcPr>
            <w:tcW w:w="2665" w:type="dxa"/>
          </w:tcPr>
          <w:p w14:paraId="3CEE0C92" w14:textId="2A114294" w:rsidR="00D94579" w:rsidRPr="00D94579" w:rsidRDefault="00D94579" w:rsidP="00D94579">
            <w:pPr>
              <w:spacing w:after="120"/>
              <w:rPr>
                <w:rFonts w:ascii="Arial" w:hAnsi="Arial" w:cs="Arial"/>
                <w:color w:val="000000"/>
                <w:sz w:val="18"/>
                <w:szCs w:val="18"/>
                <w:lang w:eastAsia="en-GB"/>
              </w:rPr>
            </w:pPr>
            <w:r w:rsidRPr="00D94579">
              <w:rPr>
                <w:rFonts w:ascii="Arial" w:hAnsi="Arial" w:cs="Arial"/>
                <w:color w:val="000000"/>
                <w:sz w:val="18"/>
                <w:szCs w:val="18"/>
                <w:lang w:eastAsia="en-GB"/>
              </w:rPr>
              <w:t>2. To approve the Directors’ Remuneration Report for the year ended 30 September 2021 (excluding Directors’ Remuneration Policy)</w:t>
            </w:r>
          </w:p>
        </w:tc>
        <w:tc>
          <w:tcPr>
            <w:tcW w:w="1305" w:type="dxa"/>
            <w:tcBorders>
              <w:top w:val="nil"/>
              <w:left w:val="single" w:sz="4" w:space="0" w:color="auto"/>
              <w:bottom w:val="single" w:sz="4" w:space="0" w:color="auto"/>
              <w:right w:val="single" w:sz="4" w:space="0" w:color="auto"/>
            </w:tcBorders>
            <w:shd w:val="clear" w:color="auto" w:fill="auto"/>
            <w:vAlign w:val="center"/>
          </w:tcPr>
          <w:p w14:paraId="13652292" w14:textId="1FFCDD56"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451,353,039</w:t>
            </w:r>
          </w:p>
        </w:tc>
        <w:tc>
          <w:tcPr>
            <w:tcW w:w="1134" w:type="dxa"/>
            <w:vAlign w:val="center"/>
          </w:tcPr>
          <w:p w14:paraId="29EBF33D" w14:textId="6EFD2C6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78.00%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5BDF277A" w14:textId="321C729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127,272,261</w:t>
            </w:r>
          </w:p>
        </w:tc>
        <w:tc>
          <w:tcPr>
            <w:tcW w:w="851" w:type="dxa"/>
            <w:tcBorders>
              <w:top w:val="nil"/>
              <w:left w:val="single" w:sz="4" w:space="0" w:color="auto"/>
              <w:bottom w:val="single" w:sz="4" w:space="0" w:color="auto"/>
              <w:right w:val="single" w:sz="4" w:space="0" w:color="auto"/>
            </w:tcBorders>
            <w:shd w:val="clear" w:color="auto" w:fill="auto"/>
            <w:vAlign w:val="center"/>
          </w:tcPr>
          <w:p w14:paraId="1AFA55A1" w14:textId="7B25B94B"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22.00%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10B3C0F5" w14:textId="1B90FA0C"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578,625,300</w:t>
            </w:r>
          </w:p>
        </w:tc>
        <w:tc>
          <w:tcPr>
            <w:tcW w:w="992" w:type="dxa"/>
            <w:tcBorders>
              <w:top w:val="nil"/>
              <w:left w:val="single" w:sz="4" w:space="0" w:color="auto"/>
              <w:bottom w:val="single" w:sz="4" w:space="0" w:color="auto"/>
              <w:right w:val="single" w:sz="4" w:space="0" w:color="auto"/>
            </w:tcBorders>
            <w:shd w:val="clear" w:color="auto" w:fill="auto"/>
            <w:vAlign w:val="center"/>
          </w:tcPr>
          <w:p w14:paraId="5AFE24B5" w14:textId="4C8B6F9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72.68%</w:t>
            </w:r>
          </w:p>
        </w:tc>
        <w:tc>
          <w:tcPr>
            <w:tcW w:w="1276" w:type="dxa"/>
            <w:vAlign w:val="center"/>
          </w:tcPr>
          <w:p w14:paraId="62D32C50" w14:textId="72609848"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17,459,836</w:t>
            </w:r>
          </w:p>
        </w:tc>
      </w:tr>
      <w:tr w:rsidR="00D94579" w:rsidRPr="00872558" w14:paraId="0BE0BBE7" w14:textId="77777777" w:rsidTr="00D94579">
        <w:trPr>
          <w:trHeight w:val="466"/>
        </w:trPr>
        <w:tc>
          <w:tcPr>
            <w:tcW w:w="2665" w:type="dxa"/>
          </w:tcPr>
          <w:p w14:paraId="625B6636" w14:textId="733401D4" w:rsidR="00D94579" w:rsidRPr="00D94579" w:rsidRDefault="00D94579" w:rsidP="00D94579">
            <w:pPr>
              <w:spacing w:after="120"/>
              <w:rPr>
                <w:rFonts w:ascii="Arial" w:hAnsi="Arial" w:cs="Arial"/>
                <w:color w:val="000000"/>
                <w:sz w:val="18"/>
                <w:szCs w:val="18"/>
                <w:lang w:eastAsia="en-GB"/>
              </w:rPr>
            </w:pPr>
            <w:r w:rsidRPr="00D94579">
              <w:rPr>
                <w:rFonts w:ascii="Arial" w:hAnsi="Arial" w:cs="Arial"/>
                <w:color w:val="000000"/>
                <w:sz w:val="18"/>
                <w:szCs w:val="18"/>
                <w:lang w:eastAsia="en-GB"/>
              </w:rPr>
              <w:t>3. To re-elect Mike Clasper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676D00F4" w14:textId="7CDC426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594,041,411</w:t>
            </w:r>
          </w:p>
        </w:tc>
        <w:tc>
          <w:tcPr>
            <w:tcW w:w="1134" w:type="dxa"/>
            <w:vAlign w:val="center"/>
          </w:tcPr>
          <w:p w14:paraId="5BCA7A96" w14:textId="3787CA44"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99.67%</w:t>
            </w:r>
          </w:p>
        </w:tc>
        <w:tc>
          <w:tcPr>
            <w:tcW w:w="1275" w:type="dxa"/>
            <w:tcBorders>
              <w:top w:val="nil"/>
              <w:left w:val="single" w:sz="4" w:space="0" w:color="auto"/>
              <w:bottom w:val="single" w:sz="4" w:space="0" w:color="auto"/>
              <w:right w:val="single" w:sz="4" w:space="0" w:color="auto"/>
            </w:tcBorders>
            <w:shd w:val="clear" w:color="auto" w:fill="auto"/>
            <w:vAlign w:val="center"/>
          </w:tcPr>
          <w:p w14:paraId="01CDC68E" w14:textId="6CD8CC6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1,989,901</w:t>
            </w:r>
          </w:p>
        </w:tc>
        <w:tc>
          <w:tcPr>
            <w:tcW w:w="851" w:type="dxa"/>
            <w:tcBorders>
              <w:top w:val="nil"/>
              <w:left w:val="single" w:sz="4" w:space="0" w:color="auto"/>
              <w:bottom w:val="single" w:sz="4" w:space="0" w:color="auto"/>
              <w:right w:val="single" w:sz="4" w:space="0" w:color="auto"/>
            </w:tcBorders>
            <w:shd w:val="clear" w:color="auto" w:fill="auto"/>
            <w:vAlign w:val="center"/>
          </w:tcPr>
          <w:p w14:paraId="4E46E4F1" w14:textId="4606123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0.33%</w:t>
            </w:r>
          </w:p>
        </w:tc>
        <w:tc>
          <w:tcPr>
            <w:tcW w:w="1247" w:type="dxa"/>
            <w:tcBorders>
              <w:top w:val="nil"/>
              <w:left w:val="single" w:sz="4" w:space="0" w:color="auto"/>
              <w:bottom w:val="single" w:sz="4" w:space="0" w:color="auto"/>
              <w:right w:val="single" w:sz="4" w:space="0" w:color="auto"/>
            </w:tcBorders>
            <w:shd w:val="clear" w:color="auto" w:fill="auto"/>
            <w:vAlign w:val="center"/>
          </w:tcPr>
          <w:p w14:paraId="10C9C39A" w14:textId="1F4F9A2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596,031,312</w:t>
            </w:r>
          </w:p>
        </w:tc>
        <w:tc>
          <w:tcPr>
            <w:tcW w:w="992" w:type="dxa"/>
            <w:tcBorders>
              <w:top w:val="nil"/>
              <w:left w:val="single" w:sz="4" w:space="0" w:color="auto"/>
              <w:bottom w:val="single" w:sz="4" w:space="0" w:color="auto"/>
              <w:right w:val="single" w:sz="4" w:space="0" w:color="auto"/>
            </w:tcBorders>
            <w:shd w:val="clear" w:color="auto" w:fill="auto"/>
            <w:vAlign w:val="center"/>
          </w:tcPr>
          <w:p w14:paraId="2761B174" w14:textId="159E9708"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69E1860E" w14:textId="39E68045"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53,824</w:t>
            </w:r>
          </w:p>
        </w:tc>
      </w:tr>
      <w:tr w:rsidR="00D94579" w:rsidRPr="00872558" w14:paraId="1A6D79C5" w14:textId="77777777" w:rsidTr="00D94579">
        <w:trPr>
          <w:trHeight w:val="510"/>
        </w:trPr>
        <w:tc>
          <w:tcPr>
            <w:tcW w:w="2665" w:type="dxa"/>
          </w:tcPr>
          <w:p w14:paraId="679ADF68" w14:textId="2D370898"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4. To re-elect Jonathan Davies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3B798AAC" w14:textId="06984F3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589,307,976</w:t>
            </w:r>
          </w:p>
        </w:tc>
        <w:tc>
          <w:tcPr>
            <w:tcW w:w="1134" w:type="dxa"/>
            <w:vAlign w:val="center"/>
          </w:tcPr>
          <w:p w14:paraId="40C9C5EC" w14:textId="03EEDF2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98.87%</w:t>
            </w:r>
          </w:p>
        </w:tc>
        <w:tc>
          <w:tcPr>
            <w:tcW w:w="1275" w:type="dxa"/>
            <w:tcBorders>
              <w:top w:val="nil"/>
              <w:left w:val="single" w:sz="4" w:space="0" w:color="auto"/>
              <w:bottom w:val="single" w:sz="4" w:space="0" w:color="auto"/>
              <w:right w:val="single" w:sz="4" w:space="0" w:color="auto"/>
            </w:tcBorders>
            <w:shd w:val="clear" w:color="auto" w:fill="auto"/>
            <w:vAlign w:val="center"/>
          </w:tcPr>
          <w:p w14:paraId="17BAB59F" w14:textId="62DF1BC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6,763,518</w:t>
            </w:r>
          </w:p>
        </w:tc>
        <w:tc>
          <w:tcPr>
            <w:tcW w:w="851" w:type="dxa"/>
            <w:tcBorders>
              <w:top w:val="nil"/>
              <w:left w:val="single" w:sz="4" w:space="0" w:color="auto"/>
              <w:bottom w:val="single" w:sz="4" w:space="0" w:color="auto"/>
              <w:right w:val="single" w:sz="4" w:space="0" w:color="auto"/>
            </w:tcBorders>
            <w:shd w:val="clear" w:color="auto" w:fill="auto"/>
            <w:vAlign w:val="center"/>
          </w:tcPr>
          <w:p w14:paraId="70D641CA" w14:textId="35C09BA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1.13%</w:t>
            </w:r>
          </w:p>
        </w:tc>
        <w:tc>
          <w:tcPr>
            <w:tcW w:w="1247" w:type="dxa"/>
            <w:tcBorders>
              <w:top w:val="nil"/>
              <w:left w:val="single" w:sz="4" w:space="0" w:color="auto"/>
              <w:bottom w:val="single" w:sz="4" w:space="0" w:color="auto"/>
              <w:right w:val="single" w:sz="4" w:space="0" w:color="auto"/>
            </w:tcBorders>
            <w:shd w:val="clear" w:color="auto" w:fill="auto"/>
            <w:vAlign w:val="center"/>
          </w:tcPr>
          <w:p w14:paraId="66A6E8F4" w14:textId="44529DBB"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596,071,494</w:t>
            </w:r>
          </w:p>
        </w:tc>
        <w:tc>
          <w:tcPr>
            <w:tcW w:w="992" w:type="dxa"/>
            <w:tcBorders>
              <w:top w:val="nil"/>
              <w:left w:val="single" w:sz="4" w:space="0" w:color="auto"/>
              <w:bottom w:val="single" w:sz="4" w:space="0" w:color="auto"/>
              <w:right w:val="single" w:sz="4" w:space="0" w:color="auto"/>
            </w:tcBorders>
            <w:shd w:val="clear" w:color="auto" w:fill="auto"/>
            <w:vAlign w:val="center"/>
          </w:tcPr>
          <w:p w14:paraId="2C43BB2C" w14:textId="51313699"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3D705B5B" w14:textId="282FCEFD"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13,642</w:t>
            </w:r>
          </w:p>
        </w:tc>
      </w:tr>
      <w:tr w:rsidR="00D94579" w:rsidRPr="00872558" w14:paraId="19CCA586" w14:textId="77777777" w:rsidTr="00D94579">
        <w:trPr>
          <w:trHeight w:val="604"/>
        </w:trPr>
        <w:tc>
          <w:tcPr>
            <w:tcW w:w="2665" w:type="dxa"/>
          </w:tcPr>
          <w:p w14:paraId="74E52785" w14:textId="33517C52"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5. To re-elect Carolyn Bradley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162A18EC" w14:textId="10142D76"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577,208,775</w:t>
            </w:r>
          </w:p>
        </w:tc>
        <w:tc>
          <w:tcPr>
            <w:tcW w:w="1134" w:type="dxa"/>
            <w:vAlign w:val="center"/>
          </w:tcPr>
          <w:p w14:paraId="680AD618" w14:textId="0EDFBABB"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96.84%</w:t>
            </w:r>
          </w:p>
        </w:tc>
        <w:tc>
          <w:tcPr>
            <w:tcW w:w="1275" w:type="dxa"/>
            <w:tcBorders>
              <w:top w:val="nil"/>
              <w:left w:val="single" w:sz="4" w:space="0" w:color="auto"/>
              <w:bottom w:val="single" w:sz="4" w:space="0" w:color="auto"/>
              <w:right w:val="single" w:sz="4" w:space="0" w:color="auto"/>
            </w:tcBorders>
            <w:shd w:val="clear" w:color="auto" w:fill="auto"/>
            <w:vAlign w:val="center"/>
          </w:tcPr>
          <w:p w14:paraId="02C4580D" w14:textId="2675348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18,847,467</w:t>
            </w:r>
          </w:p>
        </w:tc>
        <w:tc>
          <w:tcPr>
            <w:tcW w:w="851" w:type="dxa"/>
            <w:tcBorders>
              <w:top w:val="nil"/>
              <w:left w:val="single" w:sz="4" w:space="0" w:color="auto"/>
              <w:bottom w:val="single" w:sz="4" w:space="0" w:color="auto"/>
              <w:right w:val="single" w:sz="4" w:space="0" w:color="auto"/>
            </w:tcBorders>
            <w:shd w:val="clear" w:color="auto" w:fill="auto"/>
            <w:vAlign w:val="center"/>
          </w:tcPr>
          <w:p w14:paraId="41728B77" w14:textId="40E5A2C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3.16%</w:t>
            </w:r>
          </w:p>
        </w:tc>
        <w:tc>
          <w:tcPr>
            <w:tcW w:w="1247" w:type="dxa"/>
            <w:tcBorders>
              <w:top w:val="nil"/>
              <w:left w:val="single" w:sz="4" w:space="0" w:color="auto"/>
              <w:bottom w:val="single" w:sz="4" w:space="0" w:color="auto"/>
              <w:right w:val="single" w:sz="4" w:space="0" w:color="auto"/>
            </w:tcBorders>
            <w:shd w:val="clear" w:color="auto" w:fill="auto"/>
            <w:vAlign w:val="center"/>
          </w:tcPr>
          <w:p w14:paraId="625D3C88" w14:textId="20A903A0"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596,056,242</w:t>
            </w:r>
          </w:p>
        </w:tc>
        <w:tc>
          <w:tcPr>
            <w:tcW w:w="992" w:type="dxa"/>
            <w:tcBorders>
              <w:top w:val="nil"/>
              <w:left w:val="single" w:sz="4" w:space="0" w:color="auto"/>
              <w:bottom w:val="single" w:sz="4" w:space="0" w:color="auto"/>
              <w:right w:val="single" w:sz="4" w:space="0" w:color="auto"/>
            </w:tcBorders>
            <w:shd w:val="clear" w:color="auto" w:fill="auto"/>
            <w:vAlign w:val="center"/>
          </w:tcPr>
          <w:p w14:paraId="2DE81841" w14:textId="1425C19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3BF75034" w14:textId="4315A853"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28,894</w:t>
            </w:r>
          </w:p>
        </w:tc>
      </w:tr>
      <w:tr w:rsidR="00D94579" w:rsidRPr="00872558" w14:paraId="32EC4B69" w14:textId="77777777" w:rsidTr="00D94579">
        <w:trPr>
          <w:trHeight w:val="395"/>
        </w:trPr>
        <w:tc>
          <w:tcPr>
            <w:tcW w:w="2665" w:type="dxa"/>
          </w:tcPr>
          <w:p w14:paraId="5AF6B5DB" w14:textId="581B2C1B"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6. To re-elect Tim Lodge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45AB8AE5" w14:textId="32B7AC2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593,562,097</w:t>
            </w:r>
          </w:p>
        </w:tc>
        <w:tc>
          <w:tcPr>
            <w:tcW w:w="1134" w:type="dxa"/>
            <w:vAlign w:val="center"/>
          </w:tcPr>
          <w:p w14:paraId="60FC4217" w14:textId="15BB77B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99.58%</w:t>
            </w:r>
          </w:p>
        </w:tc>
        <w:tc>
          <w:tcPr>
            <w:tcW w:w="1275" w:type="dxa"/>
            <w:tcBorders>
              <w:top w:val="nil"/>
              <w:left w:val="single" w:sz="4" w:space="0" w:color="auto"/>
              <w:bottom w:val="single" w:sz="4" w:space="0" w:color="auto"/>
              <w:right w:val="single" w:sz="4" w:space="0" w:color="auto"/>
            </w:tcBorders>
            <w:shd w:val="clear" w:color="auto" w:fill="auto"/>
            <w:vAlign w:val="center"/>
          </w:tcPr>
          <w:p w14:paraId="48805076" w14:textId="5216544C"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2,478,880</w:t>
            </w:r>
          </w:p>
        </w:tc>
        <w:tc>
          <w:tcPr>
            <w:tcW w:w="851" w:type="dxa"/>
            <w:tcBorders>
              <w:top w:val="nil"/>
              <w:left w:val="single" w:sz="4" w:space="0" w:color="auto"/>
              <w:bottom w:val="single" w:sz="4" w:space="0" w:color="auto"/>
              <w:right w:val="single" w:sz="4" w:space="0" w:color="auto"/>
            </w:tcBorders>
            <w:shd w:val="clear" w:color="auto" w:fill="auto"/>
            <w:vAlign w:val="center"/>
          </w:tcPr>
          <w:p w14:paraId="7D9B8C1D" w14:textId="2860A09F"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0.42%</w:t>
            </w:r>
          </w:p>
        </w:tc>
        <w:tc>
          <w:tcPr>
            <w:tcW w:w="1247" w:type="dxa"/>
            <w:tcBorders>
              <w:top w:val="nil"/>
              <w:left w:val="single" w:sz="4" w:space="0" w:color="auto"/>
              <w:bottom w:val="single" w:sz="4" w:space="0" w:color="auto"/>
              <w:right w:val="single" w:sz="4" w:space="0" w:color="auto"/>
            </w:tcBorders>
            <w:shd w:val="clear" w:color="auto" w:fill="auto"/>
            <w:vAlign w:val="center"/>
          </w:tcPr>
          <w:p w14:paraId="535B3F27" w14:textId="521FAA4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596,040,977</w:t>
            </w:r>
          </w:p>
        </w:tc>
        <w:tc>
          <w:tcPr>
            <w:tcW w:w="992" w:type="dxa"/>
            <w:tcBorders>
              <w:top w:val="nil"/>
              <w:left w:val="single" w:sz="4" w:space="0" w:color="auto"/>
              <w:bottom w:val="single" w:sz="4" w:space="0" w:color="auto"/>
              <w:right w:val="single" w:sz="4" w:space="0" w:color="auto"/>
            </w:tcBorders>
            <w:shd w:val="clear" w:color="auto" w:fill="auto"/>
            <w:vAlign w:val="center"/>
          </w:tcPr>
          <w:p w14:paraId="6E929681" w14:textId="01E15D5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08A4BCD1" w14:textId="25F5DF00"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44,159</w:t>
            </w:r>
          </w:p>
        </w:tc>
      </w:tr>
      <w:tr w:rsidR="00D94579" w:rsidRPr="00872558" w14:paraId="22D455F0" w14:textId="77777777" w:rsidTr="00D94579">
        <w:trPr>
          <w:trHeight w:val="100"/>
        </w:trPr>
        <w:tc>
          <w:tcPr>
            <w:tcW w:w="2665" w:type="dxa"/>
          </w:tcPr>
          <w:p w14:paraId="2E15B870" w14:textId="2577EB3E"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7. To re-elect Judy Vezmar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12516A7F" w14:textId="08393E4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593,916,197</w:t>
            </w:r>
          </w:p>
        </w:tc>
        <w:tc>
          <w:tcPr>
            <w:tcW w:w="1134" w:type="dxa"/>
            <w:vAlign w:val="center"/>
          </w:tcPr>
          <w:p w14:paraId="586F3A64" w14:textId="49F8745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99.64%</w:t>
            </w:r>
          </w:p>
        </w:tc>
        <w:tc>
          <w:tcPr>
            <w:tcW w:w="1275" w:type="dxa"/>
            <w:tcBorders>
              <w:top w:val="nil"/>
              <w:left w:val="single" w:sz="4" w:space="0" w:color="auto"/>
              <w:bottom w:val="single" w:sz="4" w:space="0" w:color="auto"/>
              <w:right w:val="single" w:sz="4" w:space="0" w:color="auto"/>
            </w:tcBorders>
            <w:shd w:val="clear" w:color="auto" w:fill="auto"/>
            <w:vAlign w:val="center"/>
          </w:tcPr>
          <w:p w14:paraId="3E1FE745" w14:textId="4F887E5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2,124,689</w:t>
            </w:r>
          </w:p>
        </w:tc>
        <w:tc>
          <w:tcPr>
            <w:tcW w:w="851" w:type="dxa"/>
            <w:tcBorders>
              <w:top w:val="nil"/>
              <w:left w:val="single" w:sz="4" w:space="0" w:color="auto"/>
              <w:bottom w:val="single" w:sz="4" w:space="0" w:color="auto"/>
              <w:right w:val="single" w:sz="4" w:space="0" w:color="auto"/>
            </w:tcBorders>
            <w:shd w:val="clear" w:color="auto" w:fill="auto"/>
            <w:vAlign w:val="center"/>
          </w:tcPr>
          <w:p w14:paraId="68F80CD8" w14:textId="7856371C"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0.36%</w:t>
            </w:r>
          </w:p>
        </w:tc>
        <w:tc>
          <w:tcPr>
            <w:tcW w:w="1247" w:type="dxa"/>
            <w:tcBorders>
              <w:top w:val="nil"/>
              <w:left w:val="single" w:sz="4" w:space="0" w:color="auto"/>
              <w:bottom w:val="single" w:sz="4" w:space="0" w:color="auto"/>
              <w:right w:val="single" w:sz="4" w:space="0" w:color="auto"/>
            </w:tcBorders>
            <w:shd w:val="clear" w:color="auto" w:fill="auto"/>
            <w:vAlign w:val="center"/>
          </w:tcPr>
          <w:p w14:paraId="0F119EF3" w14:textId="2601D10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596,040,886</w:t>
            </w:r>
          </w:p>
        </w:tc>
        <w:tc>
          <w:tcPr>
            <w:tcW w:w="992" w:type="dxa"/>
            <w:tcBorders>
              <w:top w:val="nil"/>
              <w:left w:val="single" w:sz="4" w:space="0" w:color="auto"/>
              <w:bottom w:val="single" w:sz="4" w:space="0" w:color="auto"/>
              <w:right w:val="single" w:sz="4" w:space="0" w:color="auto"/>
            </w:tcBorders>
            <w:shd w:val="clear" w:color="auto" w:fill="auto"/>
            <w:vAlign w:val="center"/>
          </w:tcPr>
          <w:p w14:paraId="320B9A02" w14:textId="78AD6AE6"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02200E61" w14:textId="62D5CC28"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44,250</w:t>
            </w:r>
          </w:p>
        </w:tc>
      </w:tr>
      <w:tr w:rsidR="00D94579" w:rsidRPr="00872558" w14:paraId="1E9C65FA" w14:textId="77777777" w:rsidTr="00D94579">
        <w:trPr>
          <w:trHeight w:val="555"/>
        </w:trPr>
        <w:tc>
          <w:tcPr>
            <w:tcW w:w="2665" w:type="dxa"/>
          </w:tcPr>
          <w:p w14:paraId="6D605FC9" w14:textId="04885E6D" w:rsidR="00D94579" w:rsidRPr="00D94579" w:rsidRDefault="00D94579" w:rsidP="00D94579">
            <w:pPr>
              <w:spacing w:after="120"/>
              <w:rPr>
                <w:rFonts w:ascii="Arial" w:hAnsi="Arial" w:cs="Arial"/>
                <w:color w:val="000000"/>
                <w:sz w:val="18"/>
                <w:szCs w:val="18"/>
                <w:lang w:eastAsia="en-GB"/>
              </w:rPr>
            </w:pPr>
            <w:r w:rsidRPr="00D94579">
              <w:rPr>
                <w:rFonts w:ascii="Arial" w:hAnsi="Arial" w:cs="Arial"/>
                <w:color w:val="000000"/>
                <w:sz w:val="18"/>
                <w:szCs w:val="18"/>
                <w:lang w:eastAsia="en-GB"/>
              </w:rPr>
              <w:t>8. To elect Apurvi Sheth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25479BEE" w14:textId="66F79E9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596,028,105</w:t>
            </w:r>
          </w:p>
        </w:tc>
        <w:tc>
          <w:tcPr>
            <w:tcW w:w="1134" w:type="dxa"/>
            <w:vAlign w:val="center"/>
          </w:tcPr>
          <w:p w14:paraId="4735C151" w14:textId="3A733A5C"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100.00%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744621AE" w14:textId="24493CA0"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7,031</w:t>
            </w:r>
          </w:p>
        </w:tc>
        <w:tc>
          <w:tcPr>
            <w:tcW w:w="851" w:type="dxa"/>
            <w:tcBorders>
              <w:top w:val="nil"/>
              <w:left w:val="single" w:sz="4" w:space="0" w:color="auto"/>
              <w:bottom w:val="single" w:sz="4" w:space="0" w:color="auto"/>
              <w:right w:val="single" w:sz="4" w:space="0" w:color="auto"/>
            </w:tcBorders>
            <w:shd w:val="clear" w:color="auto" w:fill="auto"/>
            <w:vAlign w:val="center"/>
          </w:tcPr>
          <w:p w14:paraId="41870792" w14:textId="3FC7EE6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743A5383" w14:textId="525410F4"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596,035,136</w:t>
            </w:r>
          </w:p>
        </w:tc>
        <w:tc>
          <w:tcPr>
            <w:tcW w:w="992" w:type="dxa"/>
            <w:tcBorders>
              <w:top w:val="nil"/>
              <w:left w:val="single" w:sz="4" w:space="0" w:color="auto"/>
              <w:bottom w:val="single" w:sz="4" w:space="0" w:color="auto"/>
              <w:right w:val="single" w:sz="4" w:space="0" w:color="auto"/>
            </w:tcBorders>
            <w:shd w:val="clear" w:color="auto" w:fill="auto"/>
            <w:vAlign w:val="center"/>
          </w:tcPr>
          <w:p w14:paraId="7CA2C2DF" w14:textId="7703C25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0B1ACFA3" w14:textId="22C310F7"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50,000</w:t>
            </w:r>
          </w:p>
        </w:tc>
      </w:tr>
      <w:tr w:rsidR="00D94579" w:rsidRPr="00872558" w14:paraId="488E0BEE" w14:textId="77777777" w:rsidTr="00D94579">
        <w:trPr>
          <w:trHeight w:val="555"/>
        </w:trPr>
        <w:tc>
          <w:tcPr>
            <w:tcW w:w="2665" w:type="dxa"/>
          </w:tcPr>
          <w:p w14:paraId="6112EE41" w14:textId="23C86DCC" w:rsidR="00D94579" w:rsidRPr="00D94579" w:rsidRDefault="00D94579" w:rsidP="00D94579">
            <w:pPr>
              <w:spacing w:after="120"/>
              <w:rPr>
                <w:rFonts w:ascii="Arial" w:hAnsi="Arial" w:cs="Arial"/>
                <w:color w:val="000000"/>
                <w:sz w:val="18"/>
                <w:szCs w:val="18"/>
                <w:lang w:eastAsia="en-GB"/>
              </w:rPr>
            </w:pPr>
            <w:r w:rsidRPr="00D94579">
              <w:rPr>
                <w:rFonts w:ascii="Arial" w:hAnsi="Arial" w:cs="Arial"/>
                <w:color w:val="000000"/>
                <w:sz w:val="18"/>
                <w:szCs w:val="18"/>
                <w:lang w:eastAsia="en-GB"/>
              </w:rPr>
              <w:t>9. To elect Kelly Kuhn as a Director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2E4B23DB" w14:textId="1C84DF9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595,819,421</w:t>
            </w:r>
          </w:p>
        </w:tc>
        <w:tc>
          <w:tcPr>
            <w:tcW w:w="1134" w:type="dxa"/>
            <w:vAlign w:val="center"/>
          </w:tcPr>
          <w:p w14:paraId="13AB6626" w14:textId="7CBD0E24"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99.96%</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7A6E43" w14:textId="1E570FD7"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218,266</w:t>
            </w:r>
          </w:p>
        </w:tc>
        <w:tc>
          <w:tcPr>
            <w:tcW w:w="851" w:type="dxa"/>
            <w:tcBorders>
              <w:top w:val="nil"/>
              <w:left w:val="single" w:sz="4" w:space="0" w:color="auto"/>
              <w:bottom w:val="single" w:sz="4" w:space="0" w:color="auto"/>
              <w:right w:val="single" w:sz="4" w:space="0" w:color="auto"/>
            </w:tcBorders>
            <w:shd w:val="clear" w:color="auto" w:fill="auto"/>
            <w:vAlign w:val="center"/>
          </w:tcPr>
          <w:p w14:paraId="40E4CB7E" w14:textId="6E964DD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0.04%</w:t>
            </w:r>
          </w:p>
        </w:tc>
        <w:tc>
          <w:tcPr>
            <w:tcW w:w="1247" w:type="dxa"/>
            <w:tcBorders>
              <w:top w:val="nil"/>
              <w:left w:val="single" w:sz="4" w:space="0" w:color="auto"/>
              <w:bottom w:val="single" w:sz="4" w:space="0" w:color="auto"/>
              <w:right w:val="single" w:sz="4" w:space="0" w:color="auto"/>
            </w:tcBorders>
            <w:shd w:val="clear" w:color="auto" w:fill="auto"/>
            <w:vAlign w:val="center"/>
          </w:tcPr>
          <w:p w14:paraId="245F81BC" w14:textId="15407958"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596,037,687</w:t>
            </w:r>
          </w:p>
        </w:tc>
        <w:tc>
          <w:tcPr>
            <w:tcW w:w="992" w:type="dxa"/>
            <w:tcBorders>
              <w:top w:val="nil"/>
              <w:left w:val="single" w:sz="4" w:space="0" w:color="auto"/>
              <w:bottom w:val="single" w:sz="4" w:space="0" w:color="auto"/>
              <w:right w:val="single" w:sz="4" w:space="0" w:color="auto"/>
            </w:tcBorders>
            <w:shd w:val="clear" w:color="auto" w:fill="auto"/>
            <w:vAlign w:val="center"/>
          </w:tcPr>
          <w:p w14:paraId="7F00BE6B" w14:textId="5CCC2C5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5A9606C1" w14:textId="2EE0F33B"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47,449</w:t>
            </w:r>
          </w:p>
        </w:tc>
      </w:tr>
      <w:tr w:rsidR="00D94579" w:rsidRPr="00872558" w14:paraId="3443F8B3" w14:textId="77777777" w:rsidTr="00D94579">
        <w:trPr>
          <w:trHeight w:val="555"/>
        </w:trPr>
        <w:tc>
          <w:tcPr>
            <w:tcW w:w="2665" w:type="dxa"/>
          </w:tcPr>
          <w:p w14:paraId="6E5EEC63" w14:textId="5B290074"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10. To re-appoint KPMG LLP as auditor of the Company</w:t>
            </w:r>
          </w:p>
        </w:tc>
        <w:tc>
          <w:tcPr>
            <w:tcW w:w="1305" w:type="dxa"/>
            <w:tcBorders>
              <w:top w:val="nil"/>
              <w:left w:val="single" w:sz="4" w:space="0" w:color="auto"/>
              <w:bottom w:val="single" w:sz="4" w:space="0" w:color="auto"/>
              <w:right w:val="single" w:sz="4" w:space="0" w:color="auto"/>
            </w:tcBorders>
            <w:shd w:val="clear" w:color="auto" w:fill="auto"/>
            <w:vAlign w:val="center"/>
          </w:tcPr>
          <w:p w14:paraId="4A9F87D4" w14:textId="555EF3FA"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584,802,026</w:t>
            </w:r>
          </w:p>
        </w:tc>
        <w:tc>
          <w:tcPr>
            <w:tcW w:w="1134" w:type="dxa"/>
            <w:tcBorders>
              <w:bottom w:val="single" w:sz="4" w:space="0" w:color="auto"/>
            </w:tcBorders>
            <w:vAlign w:val="center"/>
          </w:tcPr>
          <w:p w14:paraId="652A9F36" w14:textId="63C50E9B"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98.11%</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2ADA99" w14:textId="17FF8547"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11,267,194</w:t>
            </w:r>
          </w:p>
        </w:tc>
        <w:tc>
          <w:tcPr>
            <w:tcW w:w="851" w:type="dxa"/>
            <w:tcBorders>
              <w:top w:val="nil"/>
              <w:left w:val="single" w:sz="4" w:space="0" w:color="auto"/>
              <w:bottom w:val="single" w:sz="4" w:space="0" w:color="auto"/>
              <w:right w:val="single" w:sz="4" w:space="0" w:color="auto"/>
            </w:tcBorders>
            <w:shd w:val="clear" w:color="auto" w:fill="auto"/>
            <w:vAlign w:val="center"/>
          </w:tcPr>
          <w:p w14:paraId="1A10DC5A" w14:textId="22ADC0D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1.89%</w:t>
            </w:r>
          </w:p>
        </w:tc>
        <w:tc>
          <w:tcPr>
            <w:tcW w:w="1247" w:type="dxa"/>
            <w:tcBorders>
              <w:top w:val="nil"/>
              <w:left w:val="single" w:sz="4" w:space="0" w:color="auto"/>
              <w:bottom w:val="single" w:sz="4" w:space="0" w:color="auto"/>
              <w:right w:val="single" w:sz="4" w:space="0" w:color="auto"/>
            </w:tcBorders>
            <w:shd w:val="clear" w:color="auto" w:fill="auto"/>
            <w:vAlign w:val="center"/>
          </w:tcPr>
          <w:p w14:paraId="13E22816" w14:textId="5F77F5E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596,069,220</w:t>
            </w:r>
          </w:p>
        </w:tc>
        <w:tc>
          <w:tcPr>
            <w:tcW w:w="992" w:type="dxa"/>
            <w:tcBorders>
              <w:top w:val="nil"/>
              <w:left w:val="single" w:sz="4" w:space="0" w:color="auto"/>
              <w:bottom w:val="single" w:sz="4" w:space="0" w:color="auto"/>
              <w:right w:val="single" w:sz="4" w:space="0" w:color="auto"/>
            </w:tcBorders>
            <w:shd w:val="clear" w:color="auto" w:fill="auto"/>
            <w:vAlign w:val="center"/>
          </w:tcPr>
          <w:p w14:paraId="6628A117" w14:textId="421D6E3F"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tcBorders>
              <w:bottom w:val="single" w:sz="4" w:space="0" w:color="auto"/>
            </w:tcBorders>
            <w:vAlign w:val="center"/>
          </w:tcPr>
          <w:p w14:paraId="3FB8EC09" w14:textId="7707ABCF"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15,916</w:t>
            </w:r>
          </w:p>
        </w:tc>
      </w:tr>
      <w:tr w:rsidR="00D94579" w:rsidRPr="00872558" w14:paraId="01B52FE6" w14:textId="77777777" w:rsidTr="00D94579">
        <w:trPr>
          <w:trHeight w:val="825"/>
        </w:trPr>
        <w:tc>
          <w:tcPr>
            <w:tcW w:w="2665" w:type="dxa"/>
            <w:tcBorders>
              <w:right w:val="single" w:sz="4" w:space="0" w:color="auto"/>
            </w:tcBorders>
          </w:tcPr>
          <w:p w14:paraId="2EA8C64B" w14:textId="4F0337B5"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11. To authorise the Directors to determine the remuneration of the Auditor</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BCBE7DE" w14:textId="3319F7D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586,343,241</w:t>
            </w:r>
          </w:p>
        </w:tc>
        <w:tc>
          <w:tcPr>
            <w:tcW w:w="1134" w:type="dxa"/>
            <w:tcBorders>
              <w:top w:val="single" w:sz="4" w:space="0" w:color="auto"/>
              <w:left w:val="single" w:sz="4" w:space="0" w:color="auto"/>
              <w:bottom w:val="single" w:sz="4" w:space="0" w:color="auto"/>
              <w:right w:val="single" w:sz="4" w:space="0" w:color="auto"/>
            </w:tcBorders>
            <w:vAlign w:val="center"/>
          </w:tcPr>
          <w:p w14:paraId="788AE119" w14:textId="279BBD09"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98.37%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EA77CB" w14:textId="1CA5690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9,720,166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025606" w14:textId="52E3EE86"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1.63%</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CAB15A0" w14:textId="4847C648"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596,063,407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6965D5" w14:textId="6A394FB0"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tcBorders>
              <w:top w:val="single" w:sz="4" w:space="0" w:color="auto"/>
              <w:left w:val="single" w:sz="4" w:space="0" w:color="auto"/>
              <w:bottom w:val="single" w:sz="4" w:space="0" w:color="auto"/>
              <w:right w:val="single" w:sz="4" w:space="0" w:color="auto"/>
            </w:tcBorders>
            <w:vAlign w:val="center"/>
          </w:tcPr>
          <w:p w14:paraId="58745386" w14:textId="77626437"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21,729</w:t>
            </w:r>
          </w:p>
        </w:tc>
      </w:tr>
      <w:tr w:rsidR="00D94579" w:rsidRPr="00872558" w14:paraId="212FB596" w14:textId="77777777" w:rsidTr="00D94579">
        <w:trPr>
          <w:trHeight w:val="825"/>
        </w:trPr>
        <w:tc>
          <w:tcPr>
            <w:tcW w:w="2665" w:type="dxa"/>
          </w:tcPr>
          <w:p w14:paraId="1EFB3378" w14:textId="497D053A"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lastRenderedPageBreak/>
              <w:t>12. To authorise the Company and its subsidiaries to make political donations and/or incur political expenditure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5F23CD1" w14:textId="1165113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594,954,020</w:t>
            </w:r>
          </w:p>
        </w:tc>
        <w:tc>
          <w:tcPr>
            <w:tcW w:w="1134" w:type="dxa"/>
            <w:tcBorders>
              <w:top w:val="single" w:sz="4" w:space="0" w:color="auto"/>
            </w:tcBorders>
            <w:vAlign w:val="center"/>
          </w:tcPr>
          <w:p w14:paraId="5913ED93" w14:textId="2CF875E7"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8DFD76" w14:textId="0E1CCC7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1,095,424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4188A3" w14:textId="6EEB2DD7"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0.18%</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32396ED" w14:textId="761AE16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596,049,444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1E767" w14:textId="127D5398"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tcBorders>
              <w:top w:val="single" w:sz="4" w:space="0" w:color="auto"/>
            </w:tcBorders>
            <w:vAlign w:val="center"/>
          </w:tcPr>
          <w:p w14:paraId="21F72413" w14:textId="36747FEF"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35,592</w:t>
            </w:r>
          </w:p>
        </w:tc>
      </w:tr>
      <w:tr w:rsidR="00D94579" w:rsidRPr="00872558" w14:paraId="06618CDE" w14:textId="77777777" w:rsidTr="00D94579">
        <w:trPr>
          <w:trHeight w:val="795"/>
        </w:trPr>
        <w:tc>
          <w:tcPr>
            <w:tcW w:w="2665" w:type="dxa"/>
          </w:tcPr>
          <w:p w14:paraId="3E55F650" w14:textId="5C3E602E"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13. To authorise the Directors to allot shares pursuant to section 551 of the Companies Act 2006</w:t>
            </w:r>
          </w:p>
        </w:tc>
        <w:tc>
          <w:tcPr>
            <w:tcW w:w="1305" w:type="dxa"/>
            <w:tcBorders>
              <w:top w:val="nil"/>
              <w:left w:val="single" w:sz="4" w:space="0" w:color="auto"/>
              <w:bottom w:val="single" w:sz="4" w:space="0" w:color="auto"/>
              <w:right w:val="single" w:sz="4" w:space="0" w:color="auto"/>
            </w:tcBorders>
            <w:shd w:val="clear" w:color="auto" w:fill="auto"/>
            <w:vAlign w:val="center"/>
          </w:tcPr>
          <w:p w14:paraId="02D72519" w14:textId="35AD2E1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476,693,236</w:t>
            </w:r>
          </w:p>
        </w:tc>
        <w:tc>
          <w:tcPr>
            <w:tcW w:w="1134" w:type="dxa"/>
            <w:vAlign w:val="center"/>
          </w:tcPr>
          <w:p w14:paraId="12B6CEE1" w14:textId="13CB2EA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79.97%</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2B5A52" w14:textId="533B0B8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119,366,543</w:t>
            </w:r>
          </w:p>
        </w:tc>
        <w:tc>
          <w:tcPr>
            <w:tcW w:w="851" w:type="dxa"/>
            <w:tcBorders>
              <w:top w:val="nil"/>
              <w:left w:val="single" w:sz="4" w:space="0" w:color="auto"/>
              <w:bottom w:val="single" w:sz="4" w:space="0" w:color="auto"/>
              <w:right w:val="single" w:sz="4" w:space="0" w:color="auto"/>
            </w:tcBorders>
            <w:shd w:val="clear" w:color="auto" w:fill="auto"/>
            <w:vAlign w:val="center"/>
          </w:tcPr>
          <w:p w14:paraId="3C34B855" w14:textId="704D011C"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20.03%</w:t>
            </w:r>
          </w:p>
        </w:tc>
        <w:tc>
          <w:tcPr>
            <w:tcW w:w="1247" w:type="dxa"/>
            <w:tcBorders>
              <w:top w:val="nil"/>
              <w:left w:val="single" w:sz="4" w:space="0" w:color="auto"/>
              <w:bottom w:val="single" w:sz="4" w:space="0" w:color="auto"/>
              <w:right w:val="single" w:sz="4" w:space="0" w:color="auto"/>
            </w:tcBorders>
            <w:shd w:val="clear" w:color="auto" w:fill="auto"/>
            <w:vAlign w:val="center"/>
          </w:tcPr>
          <w:p w14:paraId="4D9065BA" w14:textId="40E27FA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596,059,779</w:t>
            </w:r>
          </w:p>
        </w:tc>
        <w:tc>
          <w:tcPr>
            <w:tcW w:w="992" w:type="dxa"/>
            <w:tcBorders>
              <w:top w:val="nil"/>
              <w:left w:val="single" w:sz="4" w:space="0" w:color="auto"/>
              <w:bottom w:val="single" w:sz="4" w:space="0" w:color="auto"/>
              <w:right w:val="single" w:sz="4" w:space="0" w:color="auto"/>
            </w:tcBorders>
            <w:shd w:val="clear" w:color="auto" w:fill="auto"/>
            <w:vAlign w:val="center"/>
          </w:tcPr>
          <w:p w14:paraId="379B6A09" w14:textId="25172CA7"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603FB076" w14:textId="242F6BA7"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25,357</w:t>
            </w:r>
          </w:p>
        </w:tc>
      </w:tr>
      <w:tr w:rsidR="00D94579" w:rsidRPr="00872558" w14:paraId="4F715308" w14:textId="77777777" w:rsidTr="00D94579">
        <w:trPr>
          <w:trHeight w:val="1185"/>
        </w:trPr>
        <w:tc>
          <w:tcPr>
            <w:tcW w:w="2665" w:type="dxa"/>
          </w:tcPr>
          <w:p w14:paraId="6765C6A3" w14:textId="443BEAB5"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14. To authorise the Directors to dis-apply pre-emption rights pursuant to sections 570 and 573 of the Companies Act 2006 (General)</w:t>
            </w:r>
          </w:p>
        </w:tc>
        <w:tc>
          <w:tcPr>
            <w:tcW w:w="1305" w:type="dxa"/>
            <w:tcBorders>
              <w:top w:val="nil"/>
              <w:left w:val="single" w:sz="4" w:space="0" w:color="auto"/>
              <w:bottom w:val="single" w:sz="4" w:space="0" w:color="auto"/>
              <w:right w:val="single" w:sz="4" w:space="0" w:color="auto"/>
            </w:tcBorders>
            <w:shd w:val="clear" w:color="auto" w:fill="auto"/>
            <w:vAlign w:val="center"/>
          </w:tcPr>
          <w:p w14:paraId="46823893" w14:textId="54DBACB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595,996,414</w:t>
            </w:r>
          </w:p>
        </w:tc>
        <w:tc>
          <w:tcPr>
            <w:tcW w:w="1134" w:type="dxa"/>
            <w:vAlign w:val="center"/>
          </w:tcPr>
          <w:p w14:paraId="0CC145AF" w14:textId="37BFABEC"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99.99%</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9AFBBA" w14:textId="00257039"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32,376</w:t>
            </w:r>
          </w:p>
        </w:tc>
        <w:tc>
          <w:tcPr>
            <w:tcW w:w="851" w:type="dxa"/>
            <w:tcBorders>
              <w:top w:val="nil"/>
              <w:left w:val="single" w:sz="4" w:space="0" w:color="auto"/>
              <w:bottom w:val="single" w:sz="4" w:space="0" w:color="auto"/>
              <w:right w:val="single" w:sz="4" w:space="0" w:color="auto"/>
            </w:tcBorders>
            <w:shd w:val="clear" w:color="auto" w:fill="auto"/>
            <w:vAlign w:val="center"/>
          </w:tcPr>
          <w:p w14:paraId="6DB7EE67" w14:textId="6BC65F38"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0.01%</w:t>
            </w:r>
          </w:p>
        </w:tc>
        <w:tc>
          <w:tcPr>
            <w:tcW w:w="1247" w:type="dxa"/>
            <w:tcBorders>
              <w:top w:val="nil"/>
              <w:left w:val="single" w:sz="4" w:space="0" w:color="auto"/>
              <w:bottom w:val="single" w:sz="4" w:space="0" w:color="auto"/>
              <w:right w:val="single" w:sz="4" w:space="0" w:color="auto"/>
            </w:tcBorders>
            <w:shd w:val="clear" w:color="auto" w:fill="auto"/>
            <w:vAlign w:val="center"/>
          </w:tcPr>
          <w:p w14:paraId="4441CB8C" w14:textId="0DB4D04F"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596,028,790</w:t>
            </w:r>
          </w:p>
        </w:tc>
        <w:tc>
          <w:tcPr>
            <w:tcW w:w="992" w:type="dxa"/>
            <w:tcBorders>
              <w:top w:val="nil"/>
              <w:left w:val="single" w:sz="4" w:space="0" w:color="auto"/>
              <w:bottom w:val="single" w:sz="4" w:space="0" w:color="auto"/>
              <w:right w:val="single" w:sz="4" w:space="0" w:color="auto"/>
            </w:tcBorders>
            <w:shd w:val="clear" w:color="auto" w:fill="auto"/>
            <w:vAlign w:val="center"/>
          </w:tcPr>
          <w:p w14:paraId="2B2A8384" w14:textId="08D89853"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190427A3" w14:textId="705E458E"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56,346</w:t>
            </w:r>
          </w:p>
        </w:tc>
      </w:tr>
      <w:tr w:rsidR="00D94579" w:rsidRPr="00872558" w14:paraId="5EC277C6" w14:textId="77777777" w:rsidTr="00D94579">
        <w:trPr>
          <w:trHeight w:val="558"/>
        </w:trPr>
        <w:tc>
          <w:tcPr>
            <w:tcW w:w="2665" w:type="dxa"/>
          </w:tcPr>
          <w:p w14:paraId="498B4A4C" w14:textId="49A80B07"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15. To authorise the Directors to dis-apply pre-emption rights pursuant to sections 570 and 573 of the Companies Act 2006 (Acquisition or Capital Investment)</w:t>
            </w:r>
          </w:p>
        </w:tc>
        <w:tc>
          <w:tcPr>
            <w:tcW w:w="1305" w:type="dxa"/>
            <w:tcBorders>
              <w:top w:val="nil"/>
              <w:left w:val="single" w:sz="4" w:space="0" w:color="auto"/>
              <w:bottom w:val="single" w:sz="4" w:space="0" w:color="auto"/>
              <w:right w:val="single" w:sz="4" w:space="0" w:color="auto"/>
            </w:tcBorders>
            <w:shd w:val="clear" w:color="auto" w:fill="auto"/>
            <w:vAlign w:val="center"/>
          </w:tcPr>
          <w:p w14:paraId="7FAE3121" w14:textId="590D26E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578,381,740</w:t>
            </w:r>
          </w:p>
        </w:tc>
        <w:tc>
          <w:tcPr>
            <w:tcW w:w="1134" w:type="dxa"/>
            <w:vAlign w:val="center"/>
          </w:tcPr>
          <w:p w14:paraId="589FB1ED" w14:textId="23956C00"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97.04%</w:t>
            </w:r>
          </w:p>
        </w:tc>
        <w:tc>
          <w:tcPr>
            <w:tcW w:w="1275" w:type="dxa"/>
            <w:tcBorders>
              <w:top w:val="nil"/>
              <w:left w:val="single" w:sz="4" w:space="0" w:color="auto"/>
              <w:bottom w:val="single" w:sz="4" w:space="0" w:color="auto"/>
              <w:right w:val="single" w:sz="4" w:space="0" w:color="auto"/>
            </w:tcBorders>
            <w:shd w:val="clear" w:color="auto" w:fill="auto"/>
            <w:vAlign w:val="center"/>
          </w:tcPr>
          <w:p w14:paraId="0179C384" w14:textId="28CE90C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17,656,653</w:t>
            </w:r>
          </w:p>
        </w:tc>
        <w:tc>
          <w:tcPr>
            <w:tcW w:w="851" w:type="dxa"/>
            <w:tcBorders>
              <w:top w:val="nil"/>
              <w:left w:val="single" w:sz="4" w:space="0" w:color="auto"/>
              <w:bottom w:val="single" w:sz="4" w:space="0" w:color="auto"/>
              <w:right w:val="single" w:sz="4" w:space="0" w:color="auto"/>
            </w:tcBorders>
            <w:shd w:val="clear" w:color="auto" w:fill="auto"/>
            <w:vAlign w:val="center"/>
          </w:tcPr>
          <w:p w14:paraId="374E6071" w14:textId="699F852F"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2.96%</w:t>
            </w:r>
          </w:p>
        </w:tc>
        <w:tc>
          <w:tcPr>
            <w:tcW w:w="1247" w:type="dxa"/>
            <w:tcBorders>
              <w:top w:val="nil"/>
              <w:left w:val="single" w:sz="4" w:space="0" w:color="auto"/>
              <w:bottom w:val="single" w:sz="4" w:space="0" w:color="auto"/>
              <w:right w:val="single" w:sz="4" w:space="0" w:color="auto"/>
            </w:tcBorders>
            <w:shd w:val="clear" w:color="auto" w:fill="auto"/>
            <w:vAlign w:val="center"/>
          </w:tcPr>
          <w:p w14:paraId="54D69F73" w14:textId="57443A8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596,038,393</w:t>
            </w:r>
          </w:p>
        </w:tc>
        <w:tc>
          <w:tcPr>
            <w:tcW w:w="992" w:type="dxa"/>
            <w:tcBorders>
              <w:top w:val="nil"/>
              <w:left w:val="single" w:sz="4" w:space="0" w:color="auto"/>
              <w:bottom w:val="single" w:sz="4" w:space="0" w:color="auto"/>
              <w:right w:val="single" w:sz="4" w:space="0" w:color="auto"/>
            </w:tcBorders>
            <w:shd w:val="clear" w:color="auto" w:fill="auto"/>
            <w:vAlign w:val="center"/>
          </w:tcPr>
          <w:p w14:paraId="48AFE042" w14:textId="2FCFB9A7"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74.87%</w:t>
            </w:r>
          </w:p>
        </w:tc>
        <w:tc>
          <w:tcPr>
            <w:tcW w:w="1276" w:type="dxa"/>
            <w:vAlign w:val="center"/>
          </w:tcPr>
          <w:p w14:paraId="1E3B29E2" w14:textId="009F92A2"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46,743</w:t>
            </w:r>
          </w:p>
        </w:tc>
      </w:tr>
      <w:tr w:rsidR="00D94579" w:rsidRPr="00872558" w14:paraId="2933B9EB" w14:textId="77777777" w:rsidTr="00D94579">
        <w:trPr>
          <w:trHeight w:val="748"/>
        </w:trPr>
        <w:tc>
          <w:tcPr>
            <w:tcW w:w="2665" w:type="dxa"/>
          </w:tcPr>
          <w:p w14:paraId="6579DB5E" w14:textId="463D5773"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16. To authorise the Company to make market purchases of its ordinary shares</w:t>
            </w:r>
          </w:p>
        </w:tc>
        <w:tc>
          <w:tcPr>
            <w:tcW w:w="1305" w:type="dxa"/>
            <w:tcBorders>
              <w:top w:val="nil"/>
              <w:left w:val="single" w:sz="4" w:space="0" w:color="auto"/>
              <w:bottom w:val="single" w:sz="4" w:space="0" w:color="auto"/>
              <w:right w:val="single" w:sz="4" w:space="0" w:color="auto"/>
            </w:tcBorders>
            <w:shd w:val="clear" w:color="auto" w:fill="auto"/>
            <w:vAlign w:val="center"/>
          </w:tcPr>
          <w:p w14:paraId="0EE18955" w14:textId="2BD23D8E"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593,737,370</w:t>
            </w:r>
          </w:p>
        </w:tc>
        <w:tc>
          <w:tcPr>
            <w:tcW w:w="1134" w:type="dxa"/>
            <w:vAlign w:val="center"/>
          </w:tcPr>
          <w:p w14:paraId="7D5E2FBB" w14:textId="29882B1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99.62%</w:t>
            </w:r>
          </w:p>
        </w:tc>
        <w:tc>
          <w:tcPr>
            <w:tcW w:w="1275" w:type="dxa"/>
            <w:tcBorders>
              <w:top w:val="nil"/>
              <w:left w:val="single" w:sz="4" w:space="0" w:color="auto"/>
              <w:bottom w:val="single" w:sz="4" w:space="0" w:color="auto"/>
              <w:right w:val="single" w:sz="4" w:space="0" w:color="auto"/>
            </w:tcBorders>
            <w:shd w:val="clear" w:color="auto" w:fill="auto"/>
            <w:vAlign w:val="center"/>
          </w:tcPr>
          <w:p w14:paraId="215A1F6F" w14:textId="7609E73A"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2,266,148</w:t>
            </w:r>
          </w:p>
        </w:tc>
        <w:tc>
          <w:tcPr>
            <w:tcW w:w="851" w:type="dxa"/>
            <w:tcBorders>
              <w:top w:val="nil"/>
              <w:left w:val="single" w:sz="4" w:space="0" w:color="auto"/>
              <w:bottom w:val="single" w:sz="4" w:space="0" w:color="auto"/>
              <w:right w:val="single" w:sz="4" w:space="0" w:color="auto"/>
            </w:tcBorders>
            <w:shd w:val="clear" w:color="auto" w:fill="auto"/>
            <w:vAlign w:val="center"/>
          </w:tcPr>
          <w:p w14:paraId="19749A9A" w14:textId="00DD97C4"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0.38%</w:t>
            </w:r>
          </w:p>
        </w:tc>
        <w:tc>
          <w:tcPr>
            <w:tcW w:w="1247" w:type="dxa"/>
            <w:tcBorders>
              <w:top w:val="nil"/>
              <w:left w:val="single" w:sz="4" w:space="0" w:color="auto"/>
              <w:bottom w:val="single" w:sz="4" w:space="0" w:color="auto"/>
              <w:right w:val="single" w:sz="4" w:space="0" w:color="auto"/>
            </w:tcBorders>
            <w:shd w:val="clear" w:color="auto" w:fill="auto"/>
            <w:vAlign w:val="center"/>
          </w:tcPr>
          <w:p w14:paraId="295BBF0B" w14:textId="246D2219"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596,003,518</w:t>
            </w:r>
          </w:p>
        </w:tc>
        <w:tc>
          <w:tcPr>
            <w:tcW w:w="992" w:type="dxa"/>
            <w:tcBorders>
              <w:top w:val="nil"/>
              <w:left w:val="single" w:sz="4" w:space="0" w:color="auto"/>
              <w:bottom w:val="single" w:sz="4" w:space="0" w:color="auto"/>
              <w:right w:val="single" w:sz="4" w:space="0" w:color="auto"/>
            </w:tcBorders>
            <w:shd w:val="clear" w:color="auto" w:fill="auto"/>
            <w:vAlign w:val="center"/>
          </w:tcPr>
          <w:p w14:paraId="3FBCCC35" w14:textId="6CEAE36F"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74.86%</w:t>
            </w:r>
          </w:p>
        </w:tc>
        <w:tc>
          <w:tcPr>
            <w:tcW w:w="1276" w:type="dxa"/>
            <w:vAlign w:val="center"/>
          </w:tcPr>
          <w:p w14:paraId="48F2E478" w14:textId="25618850"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81,618</w:t>
            </w:r>
          </w:p>
        </w:tc>
      </w:tr>
      <w:tr w:rsidR="00D94579" w:rsidRPr="00872558" w14:paraId="5F5008A2" w14:textId="77777777" w:rsidTr="00D94579">
        <w:trPr>
          <w:trHeight w:val="510"/>
        </w:trPr>
        <w:tc>
          <w:tcPr>
            <w:tcW w:w="2665" w:type="dxa"/>
          </w:tcPr>
          <w:p w14:paraId="40703C8B" w14:textId="3A50B9E8" w:rsidR="00D94579" w:rsidRPr="00D94579" w:rsidRDefault="00D94579" w:rsidP="00D94579">
            <w:pPr>
              <w:spacing w:after="120"/>
              <w:rPr>
                <w:rFonts w:ascii="Arial" w:hAnsi="Arial" w:cs="Arial"/>
                <w:color w:val="000000"/>
                <w:sz w:val="18"/>
                <w:szCs w:val="18"/>
                <w:highlight w:val="yellow"/>
                <w:lang w:eastAsia="en-GB"/>
              </w:rPr>
            </w:pPr>
            <w:r w:rsidRPr="00D94579">
              <w:rPr>
                <w:rFonts w:ascii="Arial" w:hAnsi="Arial" w:cs="Arial"/>
                <w:color w:val="000000"/>
                <w:sz w:val="18"/>
                <w:szCs w:val="18"/>
                <w:lang w:eastAsia="en-GB"/>
              </w:rPr>
              <w:t>17. That a general meeting other than an annual general meeting may be called on not less than 14 clear days’ notice</w:t>
            </w:r>
          </w:p>
        </w:tc>
        <w:tc>
          <w:tcPr>
            <w:tcW w:w="1305" w:type="dxa"/>
            <w:tcBorders>
              <w:top w:val="nil"/>
              <w:left w:val="single" w:sz="4" w:space="0" w:color="auto"/>
              <w:bottom w:val="single" w:sz="4" w:space="0" w:color="auto"/>
              <w:right w:val="single" w:sz="4" w:space="0" w:color="auto"/>
            </w:tcBorders>
            <w:shd w:val="clear" w:color="auto" w:fill="auto"/>
            <w:vAlign w:val="center"/>
          </w:tcPr>
          <w:p w14:paraId="2CCF87F9" w14:textId="72E438E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469,594,490</w:t>
            </w:r>
          </w:p>
        </w:tc>
        <w:tc>
          <w:tcPr>
            <w:tcW w:w="1134" w:type="dxa"/>
            <w:vAlign w:val="center"/>
          </w:tcPr>
          <w:p w14:paraId="30A02F61" w14:textId="77E966C1"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78.95%</w:t>
            </w:r>
          </w:p>
        </w:tc>
        <w:tc>
          <w:tcPr>
            <w:tcW w:w="1275" w:type="dxa"/>
            <w:tcBorders>
              <w:top w:val="nil"/>
              <w:left w:val="single" w:sz="4" w:space="0" w:color="auto"/>
              <w:bottom w:val="single" w:sz="4" w:space="0" w:color="auto"/>
              <w:right w:val="single" w:sz="4" w:space="0" w:color="auto"/>
            </w:tcBorders>
            <w:shd w:val="clear" w:color="auto" w:fill="auto"/>
            <w:vAlign w:val="center"/>
          </w:tcPr>
          <w:p w14:paraId="0C466080" w14:textId="41277B8D"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125,185,401</w:t>
            </w:r>
          </w:p>
        </w:tc>
        <w:tc>
          <w:tcPr>
            <w:tcW w:w="851" w:type="dxa"/>
            <w:tcBorders>
              <w:top w:val="nil"/>
              <w:left w:val="single" w:sz="4" w:space="0" w:color="auto"/>
              <w:bottom w:val="single" w:sz="4" w:space="0" w:color="auto"/>
              <w:right w:val="single" w:sz="4" w:space="0" w:color="auto"/>
            </w:tcBorders>
            <w:shd w:val="clear" w:color="auto" w:fill="auto"/>
            <w:vAlign w:val="center"/>
          </w:tcPr>
          <w:p w14:paraId="02F0D430" w14:textId="15B70B22"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21.05%</w:t>
            </w:r>
          </w:p>
        </w:tc>
        <w:tc>
          <w:tcPr>
            <w:tcW w:w="1247" w:type="dxa"/>
            <w:tcBorders>
              <w:top w:val="nil"/>
              <w:left w:val="single" w:sz="4" w:space="0" w:color="auto"/>
              <w:bottom w:val="single" w:sz="4" w:space="0" w:color="auto"/>
              <w:right w:val="single" w:sz="4" w:space="0" w:color="auto"/>
            </w:tcBorders>
            <w:shd w:val="clear" w:color="auto" w:fill="auto"/>
            <w:vAlign w:val="center"/>
          </w:tcPr>
          <w:p w14:paraId="6C08E610" w14:textId="79FAD46B"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594,779,891</w:t>
            </w:r>
          </w:p>
        </w:tc>
        <w:tc>
          <w:tcPr>
            <w:tcW w:w="992" w:type="dxa"/>
            <w:tcBorders>
              <w:top w:val="nil"/>
              <w:left w:val="single" w:sz="4" w:space="0" w:color="auto"/>
              <w:bottom w:val="single" w:sz="4" w:space="0" w:color="auto"/>
              <w:right w:val="single" w:sz="4" w:space="0" w:color="auto"/>
            </w:tcBorders>
            <w:shd w:val="clear" w:color="auto" w:fill="auto"/>
            <w:vAlign w:val="center"/>
          </w:tcPr>
          <w:p w14:paraId="2C6EEF99" w14:textId="61332895" w:rsidR="00D94579" w:rsidRPr="00D94579" w:rsidRDefault="00D94579" w:rsidP="00D94579">
            <w:pPr>
              <w:spacing w:after="120"/>
              <w:jc w:val="center"/>
              <w:rPr>
                <w:rFonts w:ascii="Arial" w:hAnsi="Arial" w:cs="Arial"/>
                <w:sz w:val="18"/>
                <w:szCs w:val="18"/>
              </w:rPr>
            </w:pPr>
            <w:r w:rsidRPr="00D94579">
              <w:rPr>
                <w:rFonts w:ascii="Arial" w:hAnsi="Arial" w:cs="Arial"/>
                <w:color w:val="000000"/>
                <w:sz w:val="18"/>
                <w:szCs w:val="18"/>
              </w:rPr>
              <w:t>74.71%</w:t>
            </w:r>
          </w:p>
        </w:tc>
        <w:tc>
          <w:tcPr>
            <w:tcW w:w="1276" w:type="dxa"/>
            <w:vAlign w:val="center"/>
          </w:tcPr>
          <w:p w14:paraId="36EA8DD5" w14:textId="1D28DEF7" w:rsidR="00D94579" w:rsidRPr="00D94579" w:rsidRDefault="00D94579" w:rsidP="00D94579">
            <w:pPr>
              <w:spacing w:after="120"/>
              <w:jc w:val="center"/>
              <w:rPr>
                <w:rFonts w:ascii="Arial" w:hAnsi="Arial" w:cs="Arial"/>
                <w:color w:val="000000"/>
                <w:sz w:val="18"/>
                <w:szCs w:val="18"/>
              </w:rPr>
            </w:pPr>
            <w:r w:rsidRPr="00D94579">
              <w:rPr>
                <w:rFonts w:ascii="Arial" w:hAnsi="Arial" w:cs="Arial"/>
                <w:color w:val="000000"/>
                <w:sz w:val="18"/>
                <w:szCs w:val="18"/>
              </w:rPr>
              <w:t>1,305,245</w:t>
            </w:r>
          </w:p>
        </w:tc>
      </w:tr>
    </w:tbl>
    <w:p w14:paraId="1C680A0B" w14:textId="77777777" w:rsidR="00F436BB" w:rsidRDefault="00F436BB" w:rsidP="00872558">
      <w:pPr>
        <w:ind w:left="-284"/>
        <w:jc w:val="both"/>
        <w:rPr>
          <w:rFonts w:ascii="Arial" w:hAnsi="Arial" w:cs="Arial"/>
          <w:color w:val="000000"/>
          <w:sz w:val="20"/>
          <w:szCs w:val="20"/>
          <w:lang w:eastAsia="en-GB"/>
        </w:rPr>
      </w:pPr>
    </w:p>
    <w:p w14:paraId="5C4052B5" w14:textId="77777777" w:rsidR="00A4140A" w:rsidRDefault="00A4140A" w:rsidP="00872558">
      <w:pPr>
        <w:ind w:left="-284"/>
        <w:jc w:val="both"/>
        <w:rPr>
          <w:rFonts w:ascii="Arial" w:hAnsi="Arial" w:cs="Arial"/>
          <w:color w:val="000000"/>
          <w:sz w:val="20"/>
          <w:szCs w:val="20"/>
          <w:lang w:eastAsia="en-GB"/>
        </w:rPr>
      </w:pPr>
    </w:p>
    <w:p w14:paraId="2AB1C2D8" w14:textId="77777777" w:rsidR="00F436BB" w:rsidRPr="000359E0" w:rsidRDefault="00A83A49" w:rsidP="00F436BB">
      <w:pPr>
        <w:jc w:val="both"/>
        <w:rPr>
          <w:rFonts w:ascii="Arial" w:hAnsi="Arial" w:cs="Arial"/>
          <w:b/>
          <w:color w:val="000000"/>
          <w:sz w:val="20"/>
          <w:szCs w:val="20"/>
          <w:lang w:eastAsia="en-GB"/>
        </w:rPr>
      </w:pPr>
      <w:r w:rsidRPr="000359E0">
        <w:rPr>
          <w:rFonts w:ascii="Arial" w:hAnsi="Arial" w:cs="Arial"/>
          <w:b/>
          <w:color w:val="000000"/>
          <w:sz w:val="20"/>
          <w:szCs w:val="20"/>
          <w:lang w:eastAsia="en-GB"/>
        </w:rPr>
        <w:t>Notes:</w:t>
      </w:r>
    </w:p>
    <w:p w14:paraId="008CB130" w14:textId="77777777" w:rsidR="00F436BB" w:rsidRPr="00F436BB" w:rsidRDefault="00F436BB" w:rsidP="00F436BB">
      <w:pPr>
        <w:jc w:val="both"/>
        <w:rPr>
          <w:rFonts w:ascii="Arial" w:hAnsi="Arial" w:cs="Arial"/>
          <w:color w:val="000000"/>
          <w:sz w:val="20"/>
          <w:szCs w:val="20"/>
          <w:lang w:eastAsia="en-GB"/>
        </w:rPr>
      </w:pPr>
    </w:p>
    <w:p w14:paraId="30763450" w14:textId="23644C85" w:rsidR="00F436BB" w:rsidRPr="00F436BB" w:rsidRDefault="00A83A49" w:rsidP="0038793B">
      <w:pPr>
        <w:pStyle w:val="ListParagraph"/>
        <w:numPr>
          <w:ilvl w:val="0"/>
          <w:numId w:val="9"/>
        </w:numPr>
        <w:ind w:left="567" w:hanging="567"/>
        <w:jc w:val="both"/>
        <w:rPr>
          <w:rFonts w:ascii="Arial" w:hAnsi="Arial" w:cs="Arial"/>
          <w:color w:val="000000"/>
          <w:sz w:val="20"/>
          <w:szCs w:val="20"/>
        </w:rPr>
      </w:pPr>
      <w:r w:rsidRPr="0038793B">
        <w:rPr>
          <w:rFonts w:ascii="Arial" w:hAnsi="Arial" w:cs="Arial"/>
          <w:sz w:val="20"/>
          <w:szCs w:val="20"/>
          <w:lang w:eastAsia="en-GB"/>
        </w:rPr>
        <w:t>Full</w:t>
      </w:r>
      <w:r w:rsidRPr="00F436BB">
        <w:rPr>
          <w:rStyle w:val="aw"/>
          <w:rFonts w:ascii="Arial" w:hAnsi="Arial" w:cs="Arial"/>
          <w:color w:val="000000"/>
          <w:sz w:val="20"/>
          <w:szCs w:val="20"/>
        </w:rPr>
        <w:t xml:space="preserve"> details of the resolutions </w:t>
      </w:r>
      <w:r w:rsidR="007B09BF">
        <w:rPr>
          <w:rStyle w:val="aw"/>
          <w:rFonts w:ascii="Arial" w:hAnsi="Arial" w:cs="Arial"/>
          <w:color w:val="000000"/>
          <w:sz w:val="20"/>
          <w:szCs w:val="20"/>
        </w:rPr>
        <w:t>are</w:t>
      </w:r>
      <w:r w:rsidRPr="00F436BB">
        <w:rPr>
          <w:rStyle w:val="aw"/>
          <w:rFonts w:ascii="Arial" w:hAnsi="Arial" w:cs="Arial"/>
          <w:color w:val="000000"/>
          <w:sz w:val="20"/>
          <w:szCs w:val="20"/>
        </w:rPr>
        <w:t xml:space="preserve"> set out in the Notice of Annual General Meeting </w:t>
      </w:r>
      <w:r w:rsidRPr="00484E3E">
        <w:rPr>
          <w:rStyle w:val="aw"/>
          <w:rFonts w:ascii="Arial" w:hAnsi="Arial" w:cs="Arial"/>
          <w:color w:val="000000"/>
          <w:sz w:val="20"/>
          <w:szCs w:val="20"/>
        </w:rPr>
        <w:t xml:space="preserve">dated </w:t>
      </w:r>
      <w:r w:rsidR="006626E8" w:rsidRPr="005A7B12">
        <w:rPr>
          <w:rStyle w:val="aw"/>
          <w:rFonts w:ascii="Arial" w:hAnsi="Arial" w:cs="Arial"/>
          <w:color w:val="000000"/>
          <w:sz w:val="20"/>
          <w:szCs w:val="20"/>
        </w:rPr>
        <w:t>6 January 2022</w:t>
      </w:r>
      <w:r w:rsidRPr="00F436BB">
        <w:rPr>
          <w:rStyle w:val="aw"/>
          <w:rFonts w:ascii="Arial" w:hAnsi="Arial" w:cs="Arial"/>
          <w:color w:val="000000"/>
          <w:sz w:val="20"/>
          <w:szCs w:val="20"/>
        </w:rPr>
        <w:t xml:space="preserve"> (which is available on the Company’s website at </w:t>
      </w:r>
      <w:hyperlink r:id="rId9" w:history="1">
        <w:r w:rsidR="00EA3DB2" w:rsidRPr="00EA3DB2">
          <w:t xml:space="preserve"> </w:t>
        </w:r>
        <w:r w:rsidR="00EA3DB2" w:rsidRPr="00EA3DB2">
          <w:rPr>
            <w:rStyle w:val="Hyperlink"/>
            <w:rFonts w:ascii="Arial" w:hAnsi="Arial" w:cs="Arial"/>
            <w:sz w:val="20"/>
            <w:szCs w:val="20"/>
          </w:rPr>
          <w:t>https://investors.foodtravelexperts.com/investors/shareholder-information/2022.aspx</w:t>
        </w:r>
      </w:hyperlink>
      <w:r w:rsidRPr="00F436BB">
        <w:rPr>
          <w:rFonts w:ascii="Arial" w:hAnsi="Arial" w:cs="Arial"/>
          <w:color w:val="000000"/>
          <w:sz w:val="20"/>
          <w:szCs w:val="20"/>
        </w:rPr>
        <w:t xml:space="preserve">). </w:t>
      </w:r>
    </w:p>
    <w:p w14:paraId="41C1AB8B" w14:textId="77777777" w:rsidR="00F436BB" w:rsidRPr="00F436BB" w:rsidRDefault="00F436BB" w:rsidP="00F436BB">
      <w:pPr>
        <w:pStyle w:val="a"/>
        <w:shd w:val="clear" w:color="auto" w:fill="FFFFFF"/>
        <w:spacing w:before="0" w:beforeAutospacing="0" w:after="0" w:afterAutospacing="0"/>
        <w:jc w:val="both"/>
        <w:rPr>
          <w:rStyle w:val="aw"/>
          <w:rFonts w:ascii="Arial" w:hAnsi="Arial" w:cs="Arial"/>
          <w:color w:val="000000"/>
          <w:sz w:val="20"/>
          <w:szCs w:val="20"/>
        </w:rPr>
      </w:pPr>
    </w:p>
    <w:p w14:paraId="3DDEC79B" w14:textId="77777777" w:rsidR="00F436BB" w:rsidRDefault="00103E29" w:rsidP="0038793B">
      <w:pPr>
        <w:pStyle w:val="ListParagraph"/>
        <w:numPr>
          <w:ilvl w:val="0"/>
          <w:numId w:val="9"/>
        </w:numPr>
        <w:ind w:left="567" w:hanging="567"/>
        <w:jc w:val="both"/>
        <w:rPr>
          <w:rStyle w:val="aw"/>
          <w:rFonts w:ascii="Arial" w:hAnsi="Arial" w:cs="Arial"/>
          <w:color w:val="000000"/>
          <w:sz w:val="20"/>
          <w:szCs w:val="20"/>
        </w:rPr>
      </w:pPr>
      <w:r w:rsidRPr="00484E3E">
        <w:rPr>
          <w:rStyle w:val="aw"/>
          <w:rFonts w:ascii="Arial" w:hAnsi="Arial" w:cs="Arial"/>
          <w:color w:val="000000"/>
          <w:sz w:val="20"/>
          <w:szCs w:val="20"/>
        </w:rPr>
        <w:t>Resolutions 1 to 1</w:t>
      </w:r>
      <w:r w:rsidR="00B24849">
        <w:rPr>
          <w:rStyle w:val="aw"/>
          <w:rFonts w:ascii="Arial" w:hAnsi="Arial" w:cs="Arial"/>
          <w:color w:val="000000"/>
          <w:sz w:val="20"/>
          <w:szCs w:val="20"/>
        </w:rPr>
        <w:t>3</w:t>
      </w:r>
      <w:r w:rsidR="001C10AC" w:rsidRPr="00484E3E">
        <w:rPr>
          <w:rStyle w:val="aw"/>
          <w:rFonts w:ascii="Arial" w:hAnsi="Arial" w:cs="Arial"/>
          <w:color w:val="000000"/>
          <w:sz w:val="20"/>
          <w:szCs w:val="20"/>
        </w:rPr>
        <w:t xml:space="preserve"> </w:t>
      </w:r>
      <w:r w:rsidR="00A83A49" w:rsidRPr="00484E3E">
        <w:rPr>
          <w:rStyle w:val="aw"/>
          <w:rFonts w:ascii="Arial" w:hAnsi="Arial" w:cs="Arial"/>
          <w:color w:val="000000"/>
          <w:sz w:val="20"/>
          <w:szCs w:val="20"/>
        </w:rPr>
        <w:t>were ordinary resolutions, requiring more than 50% of shareholders' votes to be cast in favour of the resolutions.</w:t>
      </w:r>
      <w:r w:rsidR="007B09BF" w:rsidRPr="00484E3E">
        <w:rPr>
          <w:rStyle w:val="aw"/>
          <w:rFonts w:ascii="Arial" w:hAnsi="Arial" w:cs="Arial"/>
          <w:color w:val="000000"/>
          <w:sz w:val="20"/>
          <w:szCs w:val="20"/>
        </w:rPr>
        <w:t xml:space="preserve"> </w:t>
      </w:r>
      <w:r w:rsidRPr="00484E3E">
        <w:rPr>
          <w:rStyle w:val="aw"/>
          <w:rFonts w:ascii="Arial" w:hAnsi="Arial" w:cs="Arial"/>
          <w:color w:val="000000"/>
          <w:sz w:val="20"/>
          <w:szCs w:val="20"/>
        </w:rPr>
        <w:t>Resolutions 1</w:t>
      </w:r>
      <w:r w:rsidR="00B24849">
        <w:rPr>
          <w:rStyle w:val="aw"/>
          <w:rFonts w:ascii="Arial" w:hAnsi="Arial" w:cs="Arial"/>
          <w:color w:val="000000"/>
          <w:sz w:val="20"/>
          <w:szCs w:val="20"/>
        </w:rPr>
        <w:t>4</w:t>
      </w:r>
      <w:r w:rsidRPr="00484E3E">
        <w:rPr>
          <w:rStyle w:val="aw"/>
          <w:rFonts w:ascii="Arial" w:hAnsi="Arial" w:cs="Arial"/>
          <w:color w:val="000000"/>
          <w:sz w:val="20"/>
          <w:szCs w:val="20"/>
        </w:rPr>
        <w:t xml:space="preserve"> to </w:t>
      </w:r>
      <w:r w:rsidR="00484E3E" w:rsidRPr="00484E3E">
        <w:rPr>
          <w:rStyle w:val="aw"/>
          <w:rFonts w:ascii="Arial" w:hAnsi="Arial" w:cs="Arial"/>
          <w:color w:val="000000"/>
          <w:sz w:val="20"/>
          <w:szCs w:val="20"/>
        </w:rPr>
        <w:t>1</w:t>
      </w:r>
      <w:r w:rsidR="00B24849">
        <w:rPr>
          <w:rStyle w:val="aw"/>
          <w:rFonts w:ascii="Arial" w:hAnsi="Arial" w:cs="Arial"/>
          <w:color w:val="000000"/>
          <w:sz w:val="20"/>
          <w:szCs w:val="20"/>
        </w:rPr>
        <w:t>7</w:t>
      </w:r>
      <w:r w:rsidR="00A83A49" w:rsidRPr="00F436BB">
        <w:rPr>
          <w:rStyle w:val="aw"/>
          <w:rFonts w:ascii="Arial" w:hAnsi="Arial" w:cs="Arial"/>
          <w:color w:val="000000"/>
          <w:sz w:val="20"/>
          <w:szCs w:val="20"/>
        </w:rPr>
        <w:t xml:space="preserve"> were special resolutions, requiring at least 75% of shareholders' votes to be cast in favour of the resolutions.</w:t>
      </w:r>
    </w:p>
    <w:p w14:paraId="269C47D9" w14:textId="77777777" w:rsidR="0038793B" w:rsidRPr="0038793B" w:rsidRDefault="0038793B" w:rsidP="0038793B">
      <w:pPr>
        <w:pStyle w:val="ListParagraph"/>
        <w:rPr>
          <w:rFonts w:ascii="Arial" w:hAnsi="Arial" w:cs="Arial"/>
          <w:color w:val="000000"/>
          <w:sz w:val="20"/>
          <w:szCs w:val="20"/>
        </w:rPr>
      </w:pPr>
    </w:p>
    <w:p w14:paraId="547D0EB2" w14:textId="59D84030" w:rsidR="0038793B" w:rsidRDefault="0038793B" w:rsidP="0038793B">
      <w:pPr>
        <w:pStyle w:val="ListParagraph"/>
        <w:numPr>
          <w:ilvl w:val="0"/>
          <w:numId w:val="9"/>
        </w:numPr>
        <w:ind w:left="567" w:hanging="567"/>
        <w:jc w:val="both"/>
        <w:rPr>
          <w:rFonts w:ascii="Arial" w:hAnsi="Arial" w:cs="Arial"/>
          <w:color w:val="000000"/>
          <w:sz w:val="20"/>
          <w:szCs w:val="20"/>
        </w:rPr>
      </w:pPr>
      <w:r>
        <w:rPr>
          <w:rFonts w:ascii="Arial" w:hAnsi="Arial" w:cs="Arial"/>
          <w:color w:val="000000"/>
          <w:sz w:val="20"/>
          <w:szCs w:val="20"/>
        </w:rPr>
        <w:t xml:space="preserve">Votes ‘For’ include those votes giving the </w:t>
      </w:r>
      <w:r w:rsidR="00EA3DB2">
        <w:rPr>
          <w:rFonts w:ascii="Arial" w:hAnsi="Arial" w:cs="Arial"/>
          <w:color w:val="000000"/>
          <w:sz w:val="20"/>
          <w:szCs w:val="20"/>
        </w:rPr>
        <w:t>Chair</w:t>
      </w:r>
      <w:r>
        <w:rPr>
          <w:rFonts w:ascii="Arial" w:hAnsi="Arial" w:cs="Arial"/>
          <w:color w:val="000000"/>
          <w:sz w:val="20"/>
          <w:szCs w:val="20"/>
        </w:rPr>
        <w:t xml:space="preserve"> discretion.</w:t>
      </w:r>
    </w:p>
    <w:p w14:paraId="5CA9ABB6" w14:textId="77777777" w:rsidR="0038793B" w:rsidRPr="0038793B" w:rsidRDefault="0038793B" w:rsidP="0038793B">
      <w:pPr>
        <w:pStyle w:val="ListParagraph"/>
        <w:rPr>
          <w:rFonts w:ascii="Arial" w:hAnsi="Arial" w:cs="Arial"/>
          <w:color w:val="000000"/>
          <w:sz w:val="20"/>
          <w:szCs w:val="20"/>
        </w:rPr>
      </w:pPr>
    </w:p>
    <w:p w14:paraId="742D5847" w14:textId="5DCC0CB6" w:rsidR="0038793B" w:rsidRDefault="0038793B" w:rsidP="0038793B">
      <w:pPr>
        <w:pStyle w:val="ListParagraph"/>
        <w:numPr>
          <w:ilvl w:val="0"/>
          <w:numId w:val="9"/>
        </w:numPr>
        <w:ind w:left="567" w:hanging="567"/>
        <w:jc w:val="both"/>
        <w:rPr>
          <w:rStyle w:val="aw"/>
          <w:rFonts w:ascii="Arial" w:hAnsi="Arial" w:cs="Arial"/>
          <w:color w:val="000000"/>
          <w:sz w:val="20"/>
          <w:szCs w:val="20"/>
        </w:rPr>
      </w:pPr>
      <w:r w:rsidRPr="0038793B">
        <w:rPr>
          <w:rFonts w:ascii="Arial" w:hAnsi="Arial" w:cs="Arial"/>
          <w:color w:val="000000"/>
          <w:sz w:val="20"/>
          <w:szCs w:val="20"/>
          <w:lang w:eastAsia="en-GB"/>
        </w:rPr>
        <w:t>There were</w:t>
      </w:r>
      <w:r w:rsidR="004A1166">
        <w:rPr>
          <w:rFonts w:ascii="Arial" w:hAnsi="Arial" w:cs="Arial"/>
          <w:color w:val="000000"/>
          <w:sz w:val="20"/>
          <w:szCs w:val="20"/>
          <w:lang w:eastAsia="en-GB"/>
        </w:rPr>
        <w:t xml:space="preserve"> </w:t>
      </w:r>
      <w:r w:rsidR="009467A8" w:rsidRPr="009467A8">
        <w:rPr>
          <w:rFonts w:ascii="Arial" w:hAnsi="Arial" w:cs="Arial"/>
          <w:color w:val="000000"/>
          <w:sz w:val="20"/>
          <w:szCs w:val="20"/>
          <w:lang w:eastAsia="en-GB"/>
        </w:rPr>
        <w:t>796,113,196</w:t>
      </w:r>
      <w:r w:rsidR="009467A8">
        <w:rPr>
          <w:rFonts w:ascii="Arial" w:hAnsi="Arial" w:cs="Arial"/>
          <w:color w:val="000000"/>
          <w:sz w:val="20"/>
          <w:szCs w:val="20"/>
          <w:lang w:eastAsia="en-GB"/>
        </w:rPr>
        <w:t xml:space="preserve"> </w:t>
      </w:r>
      <w:r w:rsidRPr="0038793B">
        <w:rPr>
          <w:rFonts w:ascii="Arial" w:hAnsi="Arial" w:cs="Arial"/>
          <w:color w:val="000000"/>
          <w:sz w:val="20"/>
          <w:szCs w:val="20"/>
          <w:lang w:eastAsia="en-GB"/>
        </w:rPr>
        <w:t xml:space="preserve">ordinary </w:t>
      </w:r>
      <w:r w:rsidRPr="0038793B">
        <w:rPr>
          <w:rStyle w:val="aw"/>
          <w:rFonts w:ascii="Arial" w:hAnsi="Arial" w:cs="Arial"/>
          <w:color w:val="000000"/>
          <w:sz w:val="20"/>
          <w:szCs w:val="20"/>
        </w:rPr>
        <w:t>shares</w:t>
      </w:r>
      <w:r w:rsidR="004A1166">
        <w:rPr>
          <w:rStyle w:val="aw"/>
          <w:rFonts w:ascii="Arial" w:hAnsi="Arial" w:cs="Arial"/>
          <w:color w:val="000000"/>
          <w:sz w:val="20"/>
          <w:szCs w:val="20"/>
        </w:rPr>
        <w:t xml:space="preserve"> (excluding treasury shares) in issue </w:t>
      </w:r>
      <w:r w:rsidRPr="0038793B">
        <w:rPr>
          <w:rStyle w:val="aw"/>
          <w:rFonts w:ascii="Arial" w:hAnsi="Arial" w:cs="Arial"/>
          <w:color w:val="000000"/>
          <w:sz w:val="20"/>
          <w:szCs w:val="20"/>
        </w:rPr>
        <w:t>all of which had the right to vote.</w:t>
      </w:r>
      <w:r w:rsidR="004A1166">
        <w:rPr>
          <w:rStyle w:val="aw"/>
          <w:rFonts w:ascii="Arial" w:hAnsi="Arial" w:cs="Arial"/>
          <w:color w:val="000000"/>
          <w:sz w:val="20"/>
          <w:szCs w:val="20"/>
        </w:rPr>
        <w:t xml:space="preserve"> 263,499 ordinary shares were held in treasury which do not carry voting rights.</w:t>
      </w:r>
    </w:p>
    <w:p w14:paraId="0AA0A2F8" w14:textId="77777777" w:rsidR="0038793B" w:rsidRPr="0038793B" w:rsidRDefault="0038793B" w:rsidP="0038793B">
      <w:pPr>
        <w:pStyle w:val="ListParagraph"/>
        <w:rPr>
          <w:rFonts w:ascii="Arial" w:hAnsi="Arial" w:cs="Arial"/>
          <w:color w:val="000000"/>
          <w:sz w:val="20"/>
          <w:szCs w:val="20"/>
        </w:rPr>
      </w:pPr>
    </w:p>
    <w:p w14:paraId="4F98AB48" w14:textId="77777777" w:rsidR="0038793B" w:rsidRDefault="0038793B" w:rsidP="0038793B">
      <w:pPr>
        <w:pStyle w:val="ListParagraph"/>
        <w:numPr>
          <w:ilvl w:val="0"/>
          <w:numId w:val="9"/>
        </w:numPr>
        <w:ind w:left="567" w:hanging="567"/>
        <w:jc w:val="both"/>
        <w:rPr>
          <w:rFonts w:ascii="Arial" w:hAnsi="Arial" w:cs="Arial"/>
          <w:color w:val="000000"/>
          <w:sz w:val="20"/>
          <w:szCs w:val="20"/>
        </w:rPr>
      </w:pPr>
      <w:r w:rsidRPr="0038793B">
        <w:rPr>
          <w:rFonts w:ascii="Arial" w:hAnsi="Arial" w:cs="Arial"/>
          <w:color w:val="000000"/>
          <w:sz w:val="20"/>
          <w:szCs w:val="20"/>
          <w:lang w:eastAsia="en-GB"/>
        </w:rPr>
        <w:t>A vote withheld is not a vote in law and is not counted in the calculation of the votes for or against a resolution.</w:t>
      </w:r>
    </w:p>
    <w:p w14:paraId="2EEFC2EC" w14:textId="77777777" w:rsidR="0038793B" w:rsidRPr="0038793B" w:rsidRDefault="0038793B" w:rsidP="0038793B">
      <w:pPr>
        <w:pStyle w:val="ListParagraph"/>
        <w:rPr>
          <w:rFonts w:ascii="Arial" w:hAnsi="Arial" w:cs="Arial"/>
          <w:color w:val="000000"/>
          <w:sz w:val="20"/>
          <w:szCs w:val="20"/>
        </w:rPr>
      </w:pPr>
    </w:p>
    <w:p w14:paraId="3F15A270" w14:textId="0500BDC9" w:rsidR="00F436BB" w:rsidRPr="0038793B" w:rsidRDefault="00A83A49" w:rsidP="0038793B">
      <w:pPr>
        <w:pStyle w:val="ListParagraph"/>
        <w:numPr>
          <w:ilvl w:val="0"/>
          <w:numId w:val="9"/>
        </w:numPr>
        <w:ind w:left="567" w:hanging="567"/>
        <w:jc w:val="both"/>
        <w:rPr>
          <w:rStyle w:val="aw"/>
          <w:rFonts w:ascii="Arial" w:hAnsi="Arial" w:cs="Arial"/>
          <w:color w:val="000000"/>
          <w:sz w:val="20"/>
          <w:szCs w:val="20"/>
        </w:rPr>
      </w:pPr>
      <w:r w:rsidRPr="0038793B">
        <w:rPr>
          <w:rStyle w:val="aw"/>
          <w:rFonts w:ascii="Arial" w:hAnsi="Arial" w:cs="Arial"/>
          <w:color w:val="000000"/>
          <w:sz w:val="20"/>
          <w:szCs w:val="20"/>
        </w:rPr>
        <w:t>Copies of all the re</w:t>
      </w:r>
      <w:r w:rsidRPr="005A7B12">
        <w:rPr>
          <w:rStyle w:val="aw"/>
          <w:rFonts w:ascii="Arial" w:hAnsi="Arial" w:cs="Arial"/>
          <w:color w:val="000000"/>
          <w:sz w:val="20"/>
          <w:szCs w:val="20"/>
        </w:rPr>
        <w:t xml:space="preserve">solutions passed, other than ordinary business, have been submitted to the National Storage Mechanism and will soon be available for inspection at </w:t>
      </w:r>
      <w:r w:rsidR="00EA3DB2" w:rsidRPr="005A7B12">
        <w:rPr>
          <w:rFonts w:ascii="Arial" w:hAnsi="Arial" w:cs="Arial"/>
          <w:sz w:val="20"/>
          <w:szCs w:val="20"/>
        </w:rPr>
        <w:t>data.fca.org.uk/#/nsm/nationalstoragemechanism</w:t>
      </w:r>
      <w:r w:rsidR="005A7B12">
        <w:rPr>
          <w:rFonts w:ascii="Arial" w:hAnsi="Arial" w:cs="Arial"/>
          <w:sz w:val="20"/>
          <w:szCs w:val="20"/>
        </w:rPr>
        <w:t xml:space="preserve"> </w:t>
      </w:r>
    </w:p>
    <w:p w14:paraId="24F7BBEC" w14:textId="77777777" w:rsidR="009C55E1" w:rsidRDefault="009C55E1" w:rsidP="009C55E1">
      <w:pPr>
        <w:jc w:val="both"/>
        <w:rPr>
          <w:rFonts w:ascii="Arial" w:hAnsi="Arial" w:cs="Arial"/>
          <w:color w:val="000000"/>
          <w:sz w:val="20"/>
          <w:szCs w:val="20"/>
          <w:lang w:eastAsia="en-GB"/>
        </w:rPr>
      </w:pPr>
    </w:p>
    <w:p w14:paraId="1AFAA66B" w14:textId="0DABB98C" w:rsidR="005016AB" w:rsidRPr="005016AB" w:rsidRDefault="005016AB" w:rsidP="005016AB">
      <w:pPr>
        <w:rPr>
          <w:rFonts w:ascii="Arial" w:hAnsi="Arial" w:cs="Arial"/>
          <w:b/>
          <w:bCs/>
          <w:color w:val="000000"/>
          <w:sz w:val="20"/>
          <w:szCs w:val="20"/>
          <w:lang w:eastAsia="en-GB"/>
        </w:rPr>
      </w:pPr>
      <w:r w:rsidRPr="005016AB">
        <w:rPr>
          <w:rFonts w:ascii="Arial" w:hAnsi="Arial" w:cs="Arial"/>
          <w:b/>
          <w:bCs/>
          <w:color w:val="000000"/>
          <w:sz w:val="20"/>
          <w:szCs w:val="20"/>
          <w:lang w:eastAsia="en-GB"/>
        </w:rPr>
        <w:t>Resolutions 2, 13 and 17</w:t>
      </w:r>
    </w:p>
    <w:p w14:paraId="100A6B8A" w14:textId="2DB181DB" w:rsidR="005016AB" w:rsidRPr="005016AB" w:rsidRDefault="005016AB" w:rsidP="005016AB">
      <w:pPr>
        <w:rPr>
          <w:rFonts w:ascii="Arial" w:hAnsi="Arial" w:cs="Arial"/>
          <w:sz w:val="20"/>
          <w:szCs w:val="20"/>
          <w:lang w:eastAsia="en-GB"/>
        </w:rPr>
      </w:pPr>
      <w:r w:rsidRPr="005016AB">
        <w:rPr>
          <w:rFonts w:ascii="Arial" w:hAnsi="Arial" w:cs="Arial"/>
          <w:color w:val="000000"/>
          <w:sz w:val="20"/>
          <w:szCs w:val="20"/>
          <w:lang w:eastAsia="en-GB"/>
        </w:rPr>
        <w:t xml:space="preserve">In relation to resolutions </w:t>
      </w:r>
      <w:r w:rsidRPr="005016AB">
        <w:rPr>
          <w:rFonts w:ascii="Arial" w:hAnsi="Arial" w:cs="Arial"/>
          <w:sz w:val="20"/>
          <w:szCs w:val="20"/>
          <w:lang w:eastAsia="en-GB"/>
        </w:rPr>
        <w:t xml:space="preserve">2, to approve the Directors’ Remuneration Report, 13, to authorise the directors to allot shares </w:t>
      </w:r>
      <w:r>
        <w:rPr>
          <w:rFonts w:ascii="Arial" w:hAnsi="Arial" w:cs="Arial"/>
          <w:sz w:val="20"/>
          <w:szCs w:val="20"/>
          <w:lang w:eastAsia="en-GB"/>
        </w:rPr>
        <w:t>a</w:t>
      </w:r>
      <w:r w:rsidRPr="005016AB">
        <w:rPr>
          <w:rFonts w:ascii="Arial" w:hAnsi="Arial" w:cs="Arial"/>
          <w:sz w:val="20"/>
          <w:szCs w:val="20"/>
          <w:lang w:eastAsia="en-GB"/>
        </w:rPr>
        <w:t xml:space="preserve">nd 17, to call general meetings on 14 days’ notice, the Board acknowledges that, while these resolutions were passed with a </w:t>
      </w:r>
      <w:r w:rsidR="00D94579">
        <w:rPr>
          <w:rFonts w:ascii="Arial" w:hAnsi="Arial" w:cs="Arial"/>
          <w:sz w:val="20"/>
          <w:szCs w:val="20"/>
          <w:lang w:eastAsia="en-GB"/>
        </w:rPr>
        <w:t xml:space="preserve">clear </w:t>
      </w:r>
      <w:r w:rsidRPr="005016AB">
        <w:rPr>
          <w:rFonts w:ascii="Arial" w:hAnsi="Arial" w:cs="Arial"/>
          <w:sz w:val="20"/>
          <w:szCs w:val="20"/>
          <w:lang w:eastAsia="en-GB"/>
        </w:rPr>
        <w:t xml:space="preserve">majority, there was a significant vote against.  </w:t>
      </w:r>
    </w:p>
    <w:p w14:paraId="7ACC3451" w14:textId="77777777" w:rsidR="005016AB" w:rsidRPr="005016AB" w:rsidRDefault="005016AB" w:rsidP="005016AB">
      <w:pPr>
        <w:rPr>
          <w:rStyle w:val="aw"/>
          <w:rFonts w:ascii="Arial" w:hAnsi="Arial" w:cs="Arial"/>
          <w:sz w:val="20"/>
          <w:szCs w:val="20"/>
        </w:rPr>
      </w:pPr>
    </w:p>
    <w:p w14:paraId="0700078F" w14:textId="18B5B04D" w:rsidR="005016AB" w:rsidRPr="005016AB" w:rsidRDefault="005016AB" w:rsidP="005016AB">
      <w:pPr>
        <w:jc w:val="both"/>
        <w:rPr>
          <w:rFonts w:ascii="Arial" w:hAnsi="Arial" w:cs="Arial"/>
          <w:sz w:val="20"/>
          <w:szCs w:val="20"/>
          <w:lang w:eastAsia="en-GB"/>
        </w:rPr>
      </w:pPr>
      <w:r w:rsidRPr="005016AB">
        <w:rPr>
          <w:rFonts w:ascii="Arial" w:hAnsi="Arial" w:cs="Arial"/>
          <w:color w:val="000000"/>
          <w:sz w:val="20"/>
          <w:szCs w:val="20"/>
          <w:lang w:eastAsia="en-GB"/>
        </w:rPr>
        <w:t xml:space="preserve">The Board is committed to continuing an open and transparent dialogue with the Company's shareholders and engaged extensively with shareholders both prior to the publication of the Annual Report and ahead of the AGM on the matters set out in our Remuneration Report. We will continue that engagement, </w:t>
      </w:r>
      <w:proofErr w:type="gramStart"/>
      <w:r w:rsidRPr="005016AB">
        <w:rPr>
          <w:rFonts w:ascii="Arial" w:hAnsi="Arial" w:cs="Arial"/>
          <w:color w:val="000000"/>
          <w:sz w:val="20"/>
          <w:szCs w:val="20"/>
          <w:lang w:eastAsia="en-GB"/>
        </w:rPr>
        <w:t>in particular to</w:t>
      </w:r>
      <w:proofErr w:type="gramEnd"/>
      <w:r w:rsidRPr="005016AB">
        <w:rPr>
          <w:rFonts w:ascii="Arial" w:hAnsi="Arial" w:cs="Arial"/>
          <w:color w:val="000000"/>
          <w:sz w:val="20"/>
          <w:szCs w:val="20"/>
          <w:lang w:eastAsia="en-GB"/>
        </w:rPr>
        <w:t xml:space="preserve"> </w:t>
      </w:r>
      <w:r w:rsidRPr="005016AB">
        <w:rPr>
          <w:rFonts w:ascii="Arial" w:hAnsi="Arial" w:cs="Arial"/>
          <w:color w:val="000000"/>
          <w:sz w:val="20"/>
          <w:szCs w:val="20"/>
          <w:lang w:eastAsia="en-GB"/>
        </w:rPr>
        <w:lastRenderedPageBreak/>
        <w:t xml:space="preserve">understand the views of those </w:t>
      </w:r>
      <w:r w:rsidRPr="005016AB">
        <w:rPr>
          <w:rFonts w:ascii="Arial" w:hAnsi="Arial" w:cs="Arial"/>
          <w:color w:val="212721"/>
          <w:sz w:val="20"/>
          <w:szCs w:val="20"/>
        </w:rPr>
        <w:t>shareholders who voted against these resolutions to understand any specific concerns</w:t>
      </w:r>
      <w:r w:rsidRPr="005016AB">
        <w:rPr>
          <w:rFonts w:ascii="Arial" w:hAnsi="Arial" w:cs="Arial"/>
          <w:color w:val="000000"/>
          <w:sz w:val="20"/>
          <w:szCs w:val="20"/>
          <w:lang w:eastAsia="en-GB"/>
        </w:rPr>
        <w:t xml:space="preserve"> on executive pay,</w:t>
      </w:r>
      <w:r>
        <w:rPr>
          <w:rFonts w:ascii="Arial" w:hAnsi="Arial" w:cs="Arial"/>
          <w:color w:val="000000"/>
          <w:sz w:val="20"/>
          <w:szCs w:val="20"/>
          <w:lang w:eastAsia="en-GB"/>
        </w:rPr>
        <w:t xml:space="preserve"> </w:t>
      </w:r>
      <w:r w:rsidRPr="005016AB">
        <w:rPr>
          <w:rFonts w:ascii="Arial" w:hAnsi="Arial" w:cs="Arial"/>
          <w:color w:val="000000"/>
          <w:sz w:val="20"/>
          <w:szCs w:val="20"/>
          <w:lang w:eastAsia="en-GB"/>
        </w:rPr>
        <w:t xml:space="preserve">allotment authorities and notice periods. We will publish an update on this engagement, in accordance with the UK Corporate Governance Code, within six months of the 2022 AGM as well as a final summary in the Company's Annual Report for the 2022 Financial Year. </w:t>
      </w:r>
    </w:p>
    <w:p w14:paraId="272E9D71" w14:textId="77777777" w:rsidR="005016AB" w:rsidRPr="005016AB" w:rsidRDefault="005016AB" w:rsidP="005016AB">
      <w:pPr>
        <w:jc w:val="both"/>
        <w:rPr>
          <w:rFonts w:ascii="Arial" w:hAnsi="Arial" w:cs="Arial"/>
          <w:color w:val="000000"/>
          <w:sz w:val="20"/>
          <w:szCs w:val="20"/>
          <w:lang w:eastAsia="en-GB"/>
        </w:rPr>
      </w:pPr>
    </w:p>
    <w:p w14:paraId="425ABD23" w14:textId="68AAC2C1" w:rsidR="005016AB" w:rsidRPr="005016AB" w:rsidRDefault="005016AB" w:rsidP="005016AB">
      <w:pPr>
        <w:rPr>
          <w:rFonts w:ascii="Arial" w:hAnsi="Arial" w:cs="Arial"/>
          <w:color w:val="212721"/>
          <w:sz w:val="20"/>
          <w:szCs w:val="20"/>
        </w:rPr>
      </w:pPr>
      <w:r w:rsidRPr="005016AB">
        <w:rPr>
          <w:rFonts w:ascii="Arial" w:hAnsi="Arial" w:cs="Arial"/>
          <w:color w:val="000000"/>
          <w:sz w:val="20"/>
          <w:szCs w:val="20"/>
          <w:lang w:eastAsia="en-GB"/>
        </w:rPr>
        <w:t xml:space="preserve">In relation to resolution 13, the </w:t>
      </w:r>
      <w:r w:rsidRPr="005016AB">
        <w:rPr>
          <w:rFonts w:ascii="Arial" w:hAnsi="Arial" w:cs="Arial"/>
          <w:color w:val="212721"/>
          <w:sz w:val="20"/>
          <w:szCs w:val="20"/>
        </w:rPr>
        <w:t>Board further notes that the allotment authority under resolution 13 granted today by shareholders falls within the Investment Association's Share Capital Management Guidelines. </w:t>
      </w:r>
    </w:p>
    <w:p w14:paraId="2E16AD53" w14:textId="77777777" w:rsidR="005016AB" w:rsidRPr="005016AB" w:rsidRDefault="005016AB" w:rsidP="005016AB">
      <w:pPr>
        <w:rPr>
          <w:rFonts w:ascii="Arial" w:hAnsi="Arial" w:cs="Arial"/>
          <w:sz w:val="20"/>
          <w:szCs w:val="20"/>
        </w:rPr>
      </w:pPr>
    </w:p>
    <w:p w14:paraId="17BE4246" w14:textId="77777777" w:rsidR="005A7B12" w:rsidRDefault="005A7B12" w:rsidP="004B058C">
      <w:pPr>
        <w:rPr>
          <w:rStyle w:val="aw"/>
          <w:rFonts w:ascii="Arial" w:hAnsi="Arial" w:cs="Arial"/>
          <w:b/>
          <w:color w:val="000000"/>
          <w:sz w:val="20"/>
          <w:szCs w:val="20"/>
        </w:rPr>
      </w:pPr>
    </w:p>
    <w:p w14:paraId="22138C83" w14:textId="77777777" w:rsidR="00F436BB" w:rsidRPr="00F436BB" w:rsidRDefault="00A83A49" w:rsidP="00F436BB">
      <w:pPr>
        <w:jc w:val="both"/>
        <w:rPr>
          <w:rFonts w:ascii="Arial" w:hAnsi="Arial" w:cs="Arial"/>
          <w:color w:val="000000"/>
          <w:sz w:val="20"/>
          <w:szCs w:val="20"/>
          <w:lang w:eastAsia="en-GB"/>
        </w:rPr>
      </w:pPr>
      <w:r w:rsidRPr="00F436BB">
        <w:rPr>
          <w:rFonts w:ascii="Arial" w:hAnsi="Arial" w:cs="Arial"/>
          <w:color w:val="000000"/>
          <w:sz w:val="20"/>
          <w:szCs w:val="20"/>
          <w:lang w:eastAsia="en-GB"/>
        </w:rPr>
        <w:t xml:space="preserve">For further information contact: </w:t>
      </w:r>
    </w:p>
    <w:p w14:paraId="63023868" w14:textId="77777777" w:rsidR="00F436BB" w:rsidRPr="00F436BB" w:rsidRDefault="00F436BB" w:rsidP="00F436BB">
      <w:pPr>
        <w:jc w:val="both"/>
        <w:rPr>
          <w:rFonts w:ascii="Arial" w:hAnsi="Arial" w:cs="Arial"/>
          <w:color w:val="000000"/>
          <w:sz w:val="20"/>
          <w:szCs w:val="20"/>
          <w:lang w:eastAsia="en-GB"/>
        </w:rPr>
      </w:pPr>
    </w:p>
    <w:p w14:paraId="673ADE2C" w14:textId="77777777" w:rsidR="00F436BB" w:rsidRPr="009B17D0" w:rsidRDefault="00A83A49" w:rsidP="005A7B12">
      <w:pPr>
        <w:jc w:val="both"/>
        <w:rPr>
          <w:rFonts w:ascii="Arial" w:hAnsi="Arial" w:cs="Arial"/>
          <w:b/>
          <w:color w:val="000000"/>
          <w:sz w:val="20"/>
          <w:szCs w:val="20"/>
          <w:lang w:eastAsia="en-GB"/>
        </w:rPr>
      </w:pPr>
      <w:r w:rsidRPr="009B17D0">
        <w:rPr>
          <w:rFonts w:ascii="Arial" w:hAnsi="Arial" w:cs="Arial"/>
          <w:b/>
          <w:color w:val="000000"/>
          <w:sz w:val="20"/>
          <w:szCs w:val="20"/>
          <w:lang w:eastAsia="en-GB"/>
        </w:rPr>
        <w:t>Helen Byrne</w:t>
      </w:r>
    </w:p>
    <w:p w14:paraId="586A2981" w14:textId="27B17284" w:rsidR="00F436BB" w:rsidRPr="00F436BB" w:rsidRDefault="009467A8" w:rsidP="005A7B12">
      <w:pPr>
        <w:jc w:val="both"/>
        <w:rPr>
          <w:rFonts w:ascii="Arial" w:hAnsi="Arial" w:cs="Arial"/>
          <w:color w:val="000000"/>
          <w:sz w:val="20"/>
          <w:szCs w:val="20"/>
          <w:lang w:eastAsia="en-GB"/>
        </w:rPr>
      </w:pPr>
      <w:r w:rsidRPr="00F436BB">
        <w:rPr>
          <w:rFonts w:ascii="Arial" w:hAnsi="Arial" w:cs="Arial"/>
          <w:color w:val="000000"/>
          <w:sz w:val="20"/>
          <w:szCs w:val="20"/>
          <w:lang w:eastAsia="en-GB"/>
        </w:rPr>
        <w:t xml:space="preserve">General Counsel &amp; </w:t>
      </w:r>
      <w:r w:rsidR="00A83A49" w:rsidRPr="00F436BB">
        <w:rPr>
          <w:rFonts w:ascii="Arial" w:hAnsi="Arial" w:cs="Arial"/>
          <w:color w:val="000000"/>
          <w:sz w:val="20"/>
          <w:szCs w:val="20"/>
          <w:lang w:eastAsia="en-GB"/>
        </w:rPr>
        <w:t xml:space="preserve">Company Secretary </w:t>
      </w:r>
    </w:p>
    <w:p w14:paraId="6B317C33" w14:textId="50469009" w:rsidR="009467A8" w:rsidRDefault="007B09BF" w:rsidP="005A7B12">
      <w:pPr>
        <w:pStyle w:val="BodyText"/>
        <w:spacing w:line="240" w:lineRule="auto"/>
        <w:rPr>
          <w:rFonts w:ascii="Arial" w:hAnsi="Arial" w:cs="Arial"/>
          <w:color w:val="000000"/>
          <w:sz w:val="20"/>
          <w:szCs w:val="20"/>
          <w:lang w:val="en-US" w:eastAsia="en-GB"/>
        </w:rPr>
      </w:pPr>
      <w:r>
        <w:rPr>
          <w:rFonts w:ascii="Arial" w:hAnsi="Arial" w:cs="Arial"/>
          <w:color w:val="000000"/>
          <w:sz w:val="20"/>
          <w:szCs w:val="20"/>
          <w:lang w:eastAsia="en-GB"/>
        </w:rPr>
        <w:t>+44 (0)</w:t>
      </w:r>
      <w:r w:rsidR="00A83A49" w:rsidRPr="00F436BB">
        <w:rPr>
          <w:rFonts w:ascii="Arial" w:hAnsi="Arial" w:cs="Arial"/>
          <w:color w:val="000000"/>
          <w:sz w:val="20"/>
          <w:szCs w:val="20"/>
          <w:lang w:val="en-US" w:eastAsia="en-GB"/>
        </w:rPr>
        <w:t>207 543 3300</w:t>
      </w:r>
    </w:p>
    <w:p w14:paraId="230EA6BE" w14:textId="77777777" w:rsidR="00CE0794" w:rsidRPr="00F4393F" w:rsidRDefault="00CE0794" w:rsidP="005A7B12">
      <w:pPr>
        <w:jc w:val="both"/>
        <w:rPr>
          <w:rFonts w:ascii="Arial" w:hAnsi="Arial" w:cs="Arial"/>
          <w:color w:val="000000"/>
          <w:sz w:val="20"/>
          <w:szCs w:val="20"/>
          <w:lang w:eastAsia="en-GB"/>
        </w:rPr>
      </w:pPr>
      <w:r w:rsidRPr="00F4393F">
        <w:rPr>
          <w:rFonts w:ascii="Arial" w:hAnsi="Arial" w:cs="Arial"/>
          <w:color w:val="000000"/>
          <w:sz w:val="20"/>
          <w:szCs w:val="20"/>
          <w:lang w:eastAsia="en-GB"/>
        </w:rPr>
        <w:t>Investor and analyst enquiries</w:t>
      </w:r>
    </w:p>
    <w:p w14:paraId="041F7AA7" w14:textId="77777777" w:rsidR="00CE0794" w:rsidRPr="00F4393F" w:rsidRDefault="00CE0794" w:rsidP="005A7B12">
      <w:pPr>
        <w:jc w:val="both"/>
        <w:rPr>
          <w:rFonts w:ascii="Arial" w:hAnsi="Arial" w:cs="Arial"/>
          <w:b/>
          <w:color w:val="000000"/>
          <w:sz w:val="20"/>
          <w:szCs w:val="20"/>
          <w:lang w:eastAsia="en-GB"/>
        </w:rPr>
      </w:pPr>
      <w:r w:rsidRPr="00F4393F">
        <w:rPr>
          <w:rFonts w:ascii="Arial" w:hAnsi="Arial" w:cs="Arial"/>
          <w:b/>
          <w:color w:val="000000"/>
          <w:sz w:val="20"/>
          <w:szCs w:val="20"/>
          <w:lang w:eastAsia="en-GB"/>
        </w:rPr>
        <w:t xml:space="preserve">Sarah John </w:t>
      </w:r>
    </w:p>
    <w:p w14:paraId="46B111EA" w14:textId="60EB9432" w:rsidR="00CE0794" w:rsidRPr="00F4393F" w:rsidRDefault="009467A8" w:rsidP="005A7B12">
      <w:pPr>
        <w:jc w:val="both"/>
        <w:rPr>
          <w:rFonts w:ascii="Arial" w:hAnsi="Arial" w:cs="Arial"/>
          <w:color w:val="000000"/>
          <w:sz w:val="20"/>
          <w:szCs w:val="20"/>
          <w:lang w:eastAsia="en-GB"/>
        </w:rPr>
      </w:pPr>
      <w:r>
        <w:rPr>
          <w:rFonts w:ascii="Arial" w:hAnsi="Arial" w:cs="Arial"/>
          <w:color w:val="000000"/>
          <w:sz w:val="20"/>
          <w:szCs w:val="20"/>
          <w:lang w:eastAsia="en-GB"/>
        </w:rPr>
        <w:t>Corporate Affairs Director</w:t>
      </w:r>
    </w:p>
    <w:p w14:paraId="12090F29" w14:textId="77777777" w:rsidR="00CE0794" w:rsidRPr="00F4393F" w:rsidRDefault="007B09BF" w:rsidP="005A7B12">
      <w:pPr>
        <w:jc w:val="both"/>
        <w:rPr>
          <w:rFonts w:ascii="Arial" w:hAnsi="Arial" w:cs="Arial"/>
          <w:color w:val="000000"/>
          <w:sz w:val="20"/>
          <w:szCs w:val="20"/>
          <w:lang w:eastAsia="en-GB"/>
        </w:rPr>
      </w:pPr>
      <w:r>
        <w:rPr>
          <w:rFonts w:ascii="Arial" w:hAnsi="Arial" w:cs="Arial"/>
          <w:color w:val="000000"/>
          <w:sz w:val="20"/>
          <w:szCs w:val="20"/>
          <w:lang w:eastAsia="en-GB"/>
        </w:rPr>
        <w:t>+44 (0)</w:t>
      </w:r>
      <w:r w:rsidR="00CE0794" w:rsidRPr="00F4393F">
        <w:rPr>
          <w:rFonts w:ascii="Arial" w:hAnsi="Arial" w:cs="Arial"/>
          <w:color w:val="000000"/>
          <w:sz w:val="20"/>
          <w:szCs w:val="20"/>
          <w:lang w:eastAsia="en-GB"/>
        </w:rPr>
        <w:t>203 714 5251</w:t>
      </w:r>
    </w:p>
    <w:p w14:paraId="00974083" w14:textId="77777777" w:rsidR="00CE0794" w:rsidRPr="00F436BB" w:rsidRDefault="00CE0794" w:rsidP="005A7B12">
      <w:pPr>
        <w:jc w:val="both"/>
        <w:rPr>
          <w:rFonts w:ascii="Arial" w:hAnsi="Arial" w:cs="Arial"/>
          <w:color w:val="000000"/>
          <w:sz w:val="20"/>
          <w:szCs w:val="20"/>
          <w:lang w:val="en-US" w:eastAsia="en-GB"/>
        </w:rPr>
      </w:pPr>
      <w:r w:rsidRPr="00F4393F">
        <w:rPr>
          <w:rFonts w:ascii="Arial" w:hAnsi="Arial" w:cs="Arial"/>
          <w:color w:val="000000"/>
          <w:sz w:val="20"/>
          <w:szCs w:val="20"/>
          <w:lang w:eastAsia="en-GB"/>
        </w:rPr>
        <w:t>E-mail: sarah.john@ssp-intl.com</w:t>
      </w:r>
    </w:p>
    <w:sectPr w:rsidR="00CE0794" w:rsidRPr="00F436BB" w:rsidSect="00872558">
      <w:footerReference w:type="default" r:id="rId10"/>
      <w:footerReference w:type="first" r:id="rId11"/>
      <w:pgSz w:w="11909" w:h="16834" w:code="9"/>
      <w:pgMar w:top="1440" w:right="852" w:bottom="1800" w:left="1418"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E3CB" w14:textId="77777777" w:rsidR="00DF4271" w:rsidRDefault="00DF4271">
      <w:r>
        <w:separator/>
      </w:r>
    </w:p>
  </w:endnote>
  <w:endnote w:type="continuationSeparator" w:id="0">
    <w:p w14:paraId="6F5B72CD" w14:textId="77777777" w:rsidR="00DF4271" w:rsidRDefault="00DF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0D5" w14:textId="77777777" w:rsidR="00DF4271" w:rsidRDefault="00DF4271">
    <w:pPr>
      <w:pStyle w:val="Footer"/>
    </w:pPr>
    <w:r>
      <w:tab/>
    </w:r>
    <w:bookmarkStart w:id="0" w:name="PageLabel"/>
    <w:bookmarkEnd w:id="0"/>
    <w:r>
      <w:t>Page </w:t>
    </w:r>
    <w:r>
      <w:fldChar w:fldCharType="begin"/>
    </w:r>
    <w:r>
      <w:instrText xml:space="preserve"> PAGE  \* MERGEFORMAT </w:instrText>
    </w:r>
    <w:r>
      <w:fldChar w:fldCharType="separate"/>
    </w:r>
    <w:r w:rsidR="00E80355">
      <w:rPr>
        <w:noProof/>
      </w:rPr>
      <w:t>3</w:t>
    </w:r>
    <w:r>
      <w:fldChar w:fldCharType="end"/>
    </w:r>
  </w:p>
  <w:p w14:paraId="08F03105" w14:textId="77777777" w:rsidR="00DF4271" w:rsidRDefault="00DF4271">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C305" w14:textId="77777777" w:rsidR="00DF4271" w:rsidRDefault="00DF4271">
    <w:pPr>
      <w:pStyle w:val="Footer"/>
    </w:pPr>
    <w:r>
      <w:tab/>
    </w:r>
  </w:p>
  <w:p w14:paraId="54BE74B4" w14:textId="3244C0AE" w:rsidR="00DF4271" w:rsidRDefault="008152AA">
    <w:pPr>
      <w:pStyle w:val="Footer"/>
      <w:spacing w:line="20" w:lineRule="exact"/>
    </w:pPr>
    <w:r>
      <w:rPr>
        <w:noProof/>
        <w:lang w:val="en-US"/>
      </w:rPr>
      <mc:AlternateContent>
        <mc:Choice Requires="wps">
          <w:drawing>
            <wp:anchor distT="0" distB="0" distL="114300" distR="114300" simplePos="0" relativeHeight="251657728" behindDoc="1" locked="0" layoutInCell="1" allowOverlap="1" wp14:anchorId="1A8EE31B" wp14:editId="0E6776C9">
              <wp:simplePos x="0" y="0"/>
              <wp:positionH relativeFrom="margin">
                <wp:posOffset>0</wp:posOffset>
              </wp:positionH>
              <wp:positionV relativeFrom="paragraph">
                <wp:posOffset>0</wp:posOffset>
              </wp:positionV>
              <wp:extent cx="2560320" cy="255905"/>
              <wp:effectExtent l="0" t="0" r="1905" b="1270"/>
              <wp:wrapNone/>
              <wp:docPr id="1" name="zzmpTrailer_2832_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B3CCD" w14:textId="77777777" w:rsidR="00DF4271" w:rsidRDefault="00DF4271">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EE31B" id="_x0000_t202" coordsize="21600,21600" o:spt="202" path="m,l,21600r21600,l21600,xe">
              <v:stroke joinstyle="miter"/>
              <v:path gradientshapeok="t" o:connecttype="rect"/>
            </v:shapetype>
            <v:shape id="zzmpTrailer_2832_1" o:spid="_x0000_s1026" type="#_x0000_t202" style="position:absolute;left:0;text-align:left;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76AB3CCD" w14:textId="77777777" w:rsidR="00DF4271" w:rsidRDefault="00DF4271">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7FF0" w14:textId="77777777" w:rsidR="00DF4271" w:rsidRDefault="00DF4271">
      <w:r>
        <w:separator/>
      </w:r>
    </w:p>
  </w:footnote>
  <w:footnote w:type="continuationSeparator" w:id="0">
    <w:p w14:paraId="41178A85" w14:textId="77777777" w:rsidR="00DF4271" w:rsidRDefault="00DF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3DE"/>
    <w:multiLevelType w:val="multilevel"/>
    <w:tmpl w:val="CD6404BA"/>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154C2783"/>
    <w:multiLevelType w:val="hybridMultilevel"/>
    <w:tmpl w:val="FA401D98"/>
    <w:lvl w:ilvl="0" w:tplc="BE94CC5C">
      <w:start w:val="1"/>
      <w:numFmt w:val="decimal"/>
      <w:lvlText w:val="%1."/>
      <w:lvlJc w:val="left"/>
      <w:pPr>
        <w:ind w:left="360" w:hanging="360"/>
      </w:pPr>
    </w:lvl>
    <w:lvl w:ilvl="1" w:tplc="A20E8FDE" w:tentative="1">
      <w:start w:val="1"/>
      <w:numFmt w:val="lowerLetter"/>
      <w:lvlText w:val="%2."/>
      <w:lvlJc w:val="left"/>
      <w:pPr>
        <w:ind w:left="1080" w:hanging="360"/>
      </w:pPr>
    </w:lvl>
    <w:lvl w:ilvl="2" w:tplc="C7046538" w:tentative="1">
      <w:start w:val="1"/>
      <w:numFmt w:val="lowerRoman"/>
      <w:lvlText w:val="%3."/>
      <w:lvlJc w:val="right"/>
      <w:pPr>
        <w:ind w:left="1800" w:hanging="180"/>
      </w:pPr>
    </w:lvl>
    <w:lvl w:ilvl="3" w:tplc="95242EB2" w:tentative="1">
      <w:start w:val="1"/>
      <w:numFmt w:val="decimal"/>
      <w:lvlText w:val="%4."/>
      <w:lvlJc w:val="left"/>
      <w:pPr>
        <w:ind w:left="2520" w:hanging="360"/>
      </w:pPr>
    </w:lvl>
    <w:lvl w:ilvl="4" w:tplc="D0389216" w:tentative="1">
      <w:start w:val="1"/>
      <w:numFmt w:val="lowerLetter"/>
      <w:lvlText w:val="%5."/>
      <w:lvlJc w:val="left"/>
      <w:pPr>
        <w:ind w:left="3240" w:hanging="360"/>
      </w:pPr>
    </w:lvl>
    <w:lvl w:ilvl="5" w:tplc="D2687D9E" w:tentative="1">
      <w:start w:val="1"/>
      <w:numFmt w:val="lowerRoman"/>
      <w:lvlText w:val="%6."/>
      <w:lvlJc w:val="right"/>
      <w:pPr>
        <w:ind w:left="3960" w:hanging="180"/>
      </w:pPr>
    </w:lvl>
    <w:lvl w:ilvl="6" w:tplc="8B84A796" w:tentative="1">
      <w:start w:val="1"/>
      <w:numFmt w:val="decimal"/>
      <w:lvlText w:val="%7."/>
      <w:lvlJc w:val="left"/>
      <w:pPr>
        <w:ind w:left="4680" w:hanging="360"/>
      </w:pPr>
    </w:lvl>
    <w:lvl w:ilvl="7" w:tplc="AA702BDC" w:tentative="1">
      <w:start w:val="1"/>
      <w:numFmt w:val="lowerLetter"/>
      <w:lvlText w:val="%8."/>
      <w:lvlJc w:val="left"/>
      <w:pPr>
        <w:ind w:left="5400" w:hanging="360"/>
      </w:pPr>
    </w:lvl>
    <w:lvl w:ilvl="8" w:tplc="F04417A0" w:tentative="1">
      <w:start w:val="1"/>
      <w:numFmt w:val="lowerRoman"/>
      <w:lvlText w:val="%9."/>
      <w:lvlJc w:val="right"/>
      <w:pPr>
        <w:ind w:left="6120" w:hanging="180"/>
      </w:pPr>
    </w:lvl>
  </w:abstractNum>
  <w:abstractNum w:abstractNumId="2" w15:restartNumberingAfterBreak="0">
    <w:nsid w:val="175E2729"/>
    <w:multiLevelType w:val="hybridMultilevel"/>
    <w:tmpl w:val="6EEAA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4" w15:restartNumberingAfterBreak="0">
    <w:nsid w:val="1E8F7C68"/>
    <w:multiLevelType w:val="multilevel"/>
    <w:tmpl w:val="0130E650"/>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5" w15:restartNumberingAfterBreak="0">
    <w:nsid w:val="28C130D7"/>
    <w:multiLevelType w:val="hybridMultilevel"/>
    <w:tmpl w:val="750E1428"/>
    <w:lvl w:ilvl="0" w:tplc="3A64A1EE">
      <w:start w:val="1"/>
      <w:numFmt w:val="decimal"/>
      <w:lvlText w:val="(%1)"/>
      <w:lvlJc w:val="left"/>
      <w:pPr>
        <w:ind w:left="786" w:hanging="360"/>
      </w:pPr>
      <w:rPr>
        <w:rFonts w:hint="default"/>
      </w:rPr>
    </w:lvl>
    <w:lvl w:ilvl="1" w:tplc="98A2FD9A" w:tentative="1">
      <w:start w:val="1"/>
      <w:numFmt w:val="lowerLetter"/>
      <w:lvlText w:val="%2."/>
      <w:lvlJc w:val="left"/>
      <w:pPr>
        <w:ind w:left="1440" w:hanging="360"/>
      </w:pPr>
    </w:lvl>
    <w:lvl w:ilvl="2" w:tplc="9140A77A" w:tentative="1">
      <w:start w:val="1"/>
      <w:numFmt w:val="lowerRoman"/>
      <w:lvlText w:val="%3."/>
      <w:lvlJc w:val="right"/>
      <w:pPr>
        <w:ind w:left="2160" w:hanging="180"/>
      </w:pPr>
    </w:lvl>
    <w:lvl w:ilvl="3" w:tplc="668689D4" w:tentative="1">
      <w:start w:val="1"/>
      <w:numFmt w:val="decimal"/>
      <w:lvlText w:val="%4."/>
      <w:lvlJc w:val="left"/>
      <w:pPr>
        <w:ind w:left="2880" w:hanging="360"/>
      </w:pPr>
    </w:lvl>
    <w:lvl w:ilvl="4" w:tplc="03402208" w:tentative="1">
      <w:start w:val="1"/>
      <w:numFmt w:val="lowerLetter"/>
      <w:lvlText w:val="%5."/>
      <w:lvlJc w:val="left"/>
      <w:pPr>
        <w:ind w:left="3600" w:hanging="360"/>
      </w:pPr>
    </w:lvl>
    <w:lvl w:ilvl="5" w:tplc="05F27AE2" w:tentative="1">
      <w:start w:val="1"/>
      <w:numFmt w:val="lowerRoman"/>
      <w:lvlText w:val="%6."/>
      <w:lvlJc w:val="right"/>
      <w:pPr>
        <w:ind w:left="4320" w:hanging="180"/>
      </w:pPr>
    </w:lvl>
    <w:lvl w:ilvl="6" w:tplc="BCBE38E6" w:tentative="1">
      <w:start w:val="1"/>
      <w:numFmt w:val="decimal"/>
      <w:lvlText w:val="%7."/>
      <w:lvlJc w:val="left"/>
      <w:pPr>
        <w:ind w:left="5040" w:hanging="360"/>
      </w:pPr>
    </w:lvl>
    <w:lvl w:ilvl="7" w:tplc="5DE6BE36" w:tentative="1">
      <w:start w:val="1"/>
      <w:numFmt w:val="lowerLetter"/>
      <w:lvlText w:val="%8."/>
      <w:lvlJc w:val="left"/>
      <w:pPr>
        <w:ind w:left="5760" w:hanging="360"/>
      </w:pPr>
    </w:lvl>
    <w:lvl w:ilvl="8" w:tplc="B47472D0" w:tentative="1">
      <w:start w:val="1"/>
      <w:numFmt w:val="lowerRoman"/>
      <w:lvlText w:val="%9."/>
      <w:lvlJc w:val="right"/>
      <w:pPr>
        <w:ind w:left="6480" w:hanging="180"/>
      </w:pPr>
    </w:lvl>
  </w:abstractNum>
  <w:abstractNum w:abstractNumId="6" w15:restartNumberingAfterBreak="0">
    <w:nsid w:val="52A96B24"/>
    <w:multiLevelType w:val="multilevel"/>
    <w:tmpl w:val="691241E2"/>
    <w:lvl w:ilvl="0">
      <w:start w:val="1"/>
      <w:numFmt w:val="bullet"/>
      <w:pStyle w:val="ListBullet"/>
      <w:lvlText w:val=""/>
      <w:lvlJc w:val="left"/>
      <w:pPr>
        <w:ind w:left="720" w:hanging="720"/>
      </w:pPr>
      <w:rPr>
        <w:rFonts w:ascii="Symbol" w:hAnsi="Symbol" w:hint="default"/>
      </w:rPr>
    </w:lvl>
    <w:lvl w:ilvl="1">
      <w:start w:val="1"/>
      <w:numFmt w:val="bullet"/>
      <w:pStyle w:val="ListBullet2"/>
      <w:lvlText w:val=""/>
      <w:lvlJc w:val="left"/>
      <w:pPr>
        <w:ind w:left="1440" w:hanging="720"/>
      </w:pPr>
      <w:rPr>
        <w:rFonts w:ascii="Symbol" w:hAnsi="Symbol" w:hint="default"/>
        <w:color w:val="auto"/>
      </w:rPr>
    </w:lvl>
    <w:lvl w:ilvl="2">
      <w:start w:val="1"/>
      <w:numFmt w:val="bullet"/>
      <w:pStyle w:val="ListBullet3"/>
      <w:lvlText w:val=""/>
      <w:lvlJc w:val="left"/>
      <w:pPr>
        <w:ind w:left="2160" w:hanging="720"/>
      </w:pPr>
      <w:rPr>
        <w:rFonts w:ascii="Symbol" w:hAnsi="Symbol" w:hint="default"/>
        <w:color w:val="auto"/>
      </w:rPr>
    </w:lvl>
    <w:lvl w:ilvl="3">
      <w:start w:val="1"/>
      <w:numFmt w:val="bullet"/>
      <w:pStyle w:val="ListBullet4"/>
      <w:lvlText w:val=""/>
      <w:lvlJc w:val="left"/>
      <w:pPr>
        <w:ind w:left="2880" w:hanging="720"/>
      </w:pPr>
      <w:rPr>
        <w:rFonts w:ascii="Symbol" w:hAnsi="Symbol" w:hint="default"/>
        <w:color w:val="auto"/>
      </w:rPr>
    </w:lvl>
    <w:lvl w:ilvl="4">
      <w:start w:val="1"/>
      <w:numFmt w:val="bullet"/>
      <w:pStyle w:val="ListBullet5"/>
      <w:lvlText w:val=""/>
      <w:lvlJc w:val="left"/>
      <w:pPr>
        <w:ind w:left="3600" w:hanging="720"/>
      </w:pPr>
      <w:rPr>
        <w:rFonts w:ascii="Symbol" w:hAnsi="Symbol" w:hint="default"/>
        <w:color w:val="auto"/>
      </w:rPr>
    </w:lvl>
    <w:lvl w:ilvl="5">
      <w:start w:val="1"/>
      <w:numFmt w:val="bullet"/>
      <w:pStyle w:val="ListBullet6"/>
      <w:lvlText w:val=""/>
      <w:lvlJc w:val="left"/>
      <w:pPr>
        <w:ind w:left="4320" w:hanging="720"/>
      </w:pPr>
      <w:rPr>
        <w:rFonts w:ascii="Wingdings" w:hAnsi="Wingdings" w:hint="default"/>
      </w:rPr>
    </w:lvl>
    <w:lvl w:ilvl="6">
      <w:start w:val="1"/>
      <w:numFmt w:val="bullet"/>
      <w:pStyle w:val="ListBullet7"/>
      <w:lvlText w:val=""/>
      <w:lvlJc w:val="left"/>
      <w:pPr>
        <w:ind w:left="5040" w:hanging="720"/>
      </w:pPr>
      <w:rPr>
        <w:rFonts w:ascii="Symbol" w:hAnsi="Symbol" w:hint="default"/>
      </w:rPr>
    </w:lvl>
    <w:lvl w:ilvl="7">
      <w:start w:val="1"/>
      <w:numFmt w:val="bullet"/>
      <w:pStyle w:val="ListBullet8"/>
      <w:lvlText w:val="o"/>
      <w:lvlJc w:val="left"/>
      <w:pPr>
        <w:ind w:left="5760" w:hanging="720"/>
      </w:pPr>
      <w:rPr>
        <w:rFonts w:ascii="Courier New" w:hAnsi="Courier New" w:hint="default"/>
      </w:rPr>
    </w:lvl>
    <w:lvl w:ilvl="8">
      <w:start w:val="1"/>
      <w:numFmt w:val="bullet"/>
      <w:pStyle w:val="ListBullet9"/>
      <w:lvlText w:val=""/>
      <w:lvlJc w:val="left"/>
      <w:pPr>
        <w:ind w:left="6480" w:hanging="720"/>
      </w:pPr>
      <w:rPr>
        <w:rFonts w:ascii="Wingdings" w:hAnsi="Wingdings" w:hint="default"/>
      </w:rPr>
    </w:lvl>
  </w:abstractNum>
  <w:abstractNum w:abstractNumId="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8" w15:restartNumberingAfterBreak="0">
    <w:nsid w:val="631E3505"/>
    <w:multiLevelType w:val="hybridMultilevel"/>
    <w:tmpl w:val="A32ECCF0"/>
    <w:lvl w:ilvl="0" w:tplc="A818541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6"/>
  </w:num>
  <w:num w:numId="5">
    <w:abstractNumId w:val="7"/>
  </w:num>
  <w:num w:numId="6">
    <w:abstractNumId w:val="1"/>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91"/>
    <w:rsid w:val="000359E0"/>
    <w:rsid w:val="00065710"/>
    <w:rsid w:val="000662B7"/>
    <w:rsid w:val="00074715"/>
    <w:rsid w:val="000A7DD3"/>
    <w:rsid w:val="000C6068"/>
    <w:rsid w:val="000E58D8"/>
    <w:rsid w:val="000F38FA"/>
    <w:rsid w:val="00103E29"/>
    <w:rsid w:val="00117BB6"/>
    <w:rsid w:val="001B1234"/>
    <w:rsid w:val="001B32B8"/>
    <w:rsid w:val="001B4214"/>
    <w:rsid w:val="001C10AC"/>
    <w:rsid w:val="00293A29"/>
    <w:rsid w:val="002E205E"/>
    <w:rsid w:val="002E4903"/>
    <w:rsid w:val="002E4AA8"/>
    <w:rsid w:val="002E6237"/>
    <w:rsid w:val="003000E7"/>
    <w:rsid w:val="00343E61"/>
    <w:rsid w:val="0037770E"/>
    <w:rsid w:val="0038793B"/>
    <w:rsid w:val="003956E2"/>
    <w:rsid w:val="003C6F7B"/>
    <w:rsid w:val="00404C2F"/>
    <w:rsid w:val="004103A5"/>
    <w:rsid w:val="004527D6"/>
    <w:rsid w:val="00452D3C"/>
    <w:rsid w:val="0046465D"/>
    <w:rsid w:val="0047434A"/>
    <w:rsid w:val="00484E3E"/>
    <w:rsid w:val="004A1166"/>
    <w:rsid w:val="004B058C"/>
    <w:rsid w:val="004B4BE4"/>
    <w:rsid w:val="004F5921"/>
    <w:rsid w:val="005011E4"/>
    <w:rsid w:val="005016AB"/>
    <w:rsid w:val="0055343B"/>
    <w:rsid w:val="00554368"/>
    <w:rsid w:val="00557206"/>
    <w:rsid w:val="005A30AF"/>
    <w:rsid w:val="005A4EB7"/>
    <w:rsid w:val="005A7B12"/>
    <w:rsid w:val="00617DCF"/>
    <w:rsid w:val="00651A17"/>
    <w:rsid w:val="006626E8"/>
    <w:rsid w:val="0067768E"/>
    <w:rsid w:val="006A5E31"/>
    <w:rsid w:val="006E123F"/>
    <w:rsid w:val="006E3D84"/>
    <w:rsid w:val="006E4279"/>
    <w:rsid w:val="007571C2"/>
    <w:rsid w:val="00771CF2"/>
    <w:rsid w:val="007752F4"/>
    <w:rsid w:val="00797591"/>
    <w:rsid w:val="007B09BF"/>
    <w:rsid w:val="007F7454"/>
    <w:rsid w:val="00802473"/>
    <w:rsid w:val="008152AA"/>
    <w:rsid w:val="00843F7B"/>
    <w:rsid w:val="0087148C"/>
    <w:rsid w:val="00872558"/>
    <w:rsid w:val="00876C4E"/>
    <w:rsid w:val="008A1F9E"/>
    <w:rsid w:val="009326C3"/>
    <w:rsid w:val="009442FD"/>
    <w:rsid w:val="009467A8"/>
    <w:rsid w:val="0097715D"/>
    <w:rsid w:val="00980513"/>
    <w:rsid w:val="009B17D0"/>
    <w:rsid w:val="009C55E1"/>
    <w:rsid w:val="009F077D"/>
    <w:rsid w:val="00A02458"/>
    <w:rsid w:val="00A4140A"/>
    <w:rsid w:val="00A64F0A"/>
    <w:rsid w:val="00A83A49"/>
    <w:rsid w:val="00AA3E3D"/>
    <w:rsid w:val="00AA7C48"/>
    <w:rsid w:val="00AD306C"/>
    <w:rsid w:val="00AF3CB9"/>
    <w:rsid w:val="00B01FAE"/>
    <w:rsid w:val="00B24849"/>
    <w:rsid w:val="00B348FD"/>
    <w:rsid w:val="00B3553B"/>
    <w:rsid w:val="00B85243"/>
    <w:rsid w:val="00BD5ABC"/>
    <w:rsid w:val="00C6394E"/>
    <w:rsid w:val="00CA0805"/>
    <w:rsid w:val="00CC60EB"/>
    <w:rsid w:val="00CE0794"/>
    <w:rsid w:val="00CE50CF"/>
    <w:rsid w:val="00D2347A"/>
    <w:rsid w:val="00D4467A"/>
    <w:rsid w:val="00D94579"/>
    <w:rsid w:val="00DC5109"/>
    <w:rsid w:val="00DD180F"/>
    <w:rsid w:val="00DD59DA"/>
    <w:rsid w:val="00DE19A1"/>
    <w:rsid w:val="00DF4271"/>
    <w:rsid w:val="00E01CF1"/>
    <w:rsid w:val="00E11113"/>
    <w:rsid w:val="00E11A7A"/>
    <w:rsid w:val="00E80355"/>
    <w:rsid w:val="00E91BB1"/>
    <w:rsid w:val="00E96A01"/>
    <w:rsid w:val="00EA3DB2"/>
    <w:rsid w:val="00EC3EE4"/>
    <w:rsid w:val="00EE5CB3"/>
    <w:rsid w:val="00F436BB"/>
    <w:rsid w:val="00F73BAF"/>
    <w:rsid w:val="00F77A38"/>
    <w:rsid w:val="00F83BE6"/>
    <w:rsid w:val="00FA3E16"/>
    <w:rsid w:val="00FB5DFD"/>
    <w:rsid w:val="00FD7C24"/>
    <w:rsid w:val="00FF73E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982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4"/>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7"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iPriority="0" w:unhideWhenUsed="1"/>
    <w:lsdException w:name="List" w:semiHidden="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iPriority="7"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8152AA"/>
    <w:rPr>
      <w:rFonts w:eastAsia="Times New Roman"/>
      <w:lang w:val="en-GB"/>
    </w:rPr>
  </w:style>
  <w:style w:type="paragraph" w:styleId="Heading1">
    <w:name w:val="heading 1"/>
    <w:basedOn w:val="BodyText"/>
    <w:next w:val="BodyText"/>
    <w:link w:val="Heading1Char"/>
    <w:uiPriority w:val="3"/>
    <w:qFormat/>
    <w:rsid w:val="004C670F"/>
    <w:pPr>
      <w:keepNext/>
      <w:keepLines/>
      <w:jc w:val="left"/>
      <w:outlineLvl w:val="0"/>
    </w:pPr>
    <w:rPr>
      <w:b/>
      <w:caps/>
    </w:rPr>
  </w:style>
  <w:style w:type="paragraph" w:styleId="Heading2">
    <w:name w:val="heading 2"/>
    <w:basedOn w:val="BodyText"/>
    <w:next w:val="BodyText"/>
    <w:link w:val="Heading2Char"/>
    <w:uiPriority w:val="3"/>
    <w:qFormat/>
    <w:rsid w:val="004C670F"/>
    <w:pPr>
      <w:keepNext/>
      <w:keepLines/>
      <w:jc w:val="left"/>
      <w:outlineLvl w:val="1"/>
    </w:pPr>
    <w:rPr>
      <w:b/>
      <w:smallCaps/>
    </w:rPr>
  </w:style>
  <w:style w:type="paragraph" w:styleId="Heading3">
    <w:name w:val="heading 3"/>
    <w:basedOn w:val="BodyText"/>
    <w:next w:val="BodyText"/>
    <w:link w:val="Heading3Char"/>
    <w:uiPriority w:val="3"/>
    <w:qFormat/>
    <w:rsid w:val="004C670F"/>
    <w:pPr>
      <w:keepNext/>
      <w:keepLines/>
      <w:jc w:val="left"/>
      <w:outlineLvl w:val="2"/>
    </w:pPr>
    <w:rPr>
      <w:b/>
    </w:rPr>
  </w:style>
  <w:style w:type="paragraph" w:styleId="Heading4">
    <w:name w:val="heading 4"/>
    <w:basedOn w:val="Heading3"/>
    <w:next w:val="BodyText"/>
    <w:link w:val="Heading4Char"/>
    <w:uiPriority w:val="3"/>
    <w:qFormat/>
    <w:rsid w:val="004C670F"/>
    <w:pPr>
      <w:outlineLvl w:val="3"/>
    </w:pPr>
  </w:style>
  <w:style w:type="paragraph" w:styleId="Heading5">
    <w:name w:val="heading 5"/>
    <w:basedOn w:val="BodyText"/>
    <w:next w:val="BodyText"/>
    <w:link w:val="Heading5Char"/>
    <w:uiPriority w:val="3"/>
    <w:qFormat/>
    <w:rsid w:val="004C670F"/>
    <w:pPr>
      <w:keepNext/>
      <w:keepLines/>
      <w:jc w:val="center"/>
      <w:outlineLvl w:val="4"/>
    </w:pPr>
    <w:rPr>
      <w:b/>
      <w:caps/>
    </w:rPr>
  </w:style>
  <w:style w:type="paragraph" w:styleId="Heading6">
    <w:name w:val="heading 6"/>
    <w:basedOn w:val="BodyText"/>
    <w:next w:val="BodyText"/>
    <w:link w:val="Heading6Char"/>
    <w:uiPriority w:val="3"/>
    <w:qFormat/>
    <w:rsid w:val="004C670F"/>
    <w:pPr>
      <w:keepNext/>
      <w:jc w:val="center"/>
      <w:outlineLvl w:val="5"/>
    </w:pPr>
    <w:rPr>
      <w:b/>
    </w:rPr>
  </w:style>
  <w:style w:type="paragraph" w:styleId="Heading7">
    <w:name w:val="heading 7"/>
    <w:basedOn w:val="BodyText"/>
    <w:next w:val="BodyText"/>
    <w:link w:val="Heading7Char"/>
    <w:semiHidden/>
    <w:rsid w:val="004C670F"/>
    <w:pPr>
      <w:keepNext/>
      <w:keepLines/>
      <w:outlineLvl w:val="6"/>
    </w:pPr>
  </w:style>
  <w:style w:type="paragraph" w:styleId="Heading8">
    <w:name w:val="heading 8"/>
    <w:basedOn w:val="BodyText"/>
    <w:next w:val="BodyText"/>
    <w:link w:val="Heading8Char"/>
    <w:semiHidden/>
    <w:rsid w:val="004C670F"/>
    <w:pPr>
      <w:jc w:val="left"/>
      <w:outlineLvl w:val="7"/>
    </w:pPr>
  </w:style>
  <w:style w:type="paragraph" w:styleId="Heading9">
    <w:name w:val="heading 9"/>
    <w:basedOn w:val="BodyText"/>
    <w:next w:val="Normal"/>
    <w:link w:val="Heading9Char"/>
    <w:semiHidden/>
    <w:rsid w:val="004C670F"/>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311C1"/>
    <w:pPr>
      <w:spacing w:after="180" w:line="280" w:lineRule="atLeast"/>
      <w:jc w:val="both"/>
    </w:pPr>
  </w:style>
  <w:style w:type="character" w:customStyle="1" w:styleId="BodyTextChar">
    <w:name w:val="Body Text Char"/>
    <w:basedOn w:val="DefaultParagraphFont"/>
    <w:link w:val="BodyText"/>
    <w:rsid w:val="007311C1"/>
    <w:rPr>
      <w:rFonts w:eastAsia="Times New Roman"/>
      <w:lang w:val="en-GB"/>
    </w:rPr>
  </w:style>
  <w:style w:type="paragraph" w:customStyle="1" w:styleId="Address">
    <w:name w:val="Address"/>
    <w:basedOn w:val="BodyText"/>
    <w:uiPriority w:val="7"/>
    <w:unhideWhenUsed/>
    <w:rsid w:val="004C670F"/>
    <w:pPr>
      <w:spacing w:after="720"/>
    </w:pPr>
    <w:rPr>
      <w:noProof/>
    </w:rPr>
  </w:style>
  <w:style w:type="paragraph" w:styleId="Date">
    <w:name w:val="Date"/>
    <w:basedOn w:val="Normal"/>
    <w:next w:val="Normal"/>
    <w:link w:val="DateChar"/>
    <w:uiPriority w:val="9"/>
    <w:unhideWhenUsed/>
    <w:rsid w:val="004C670F"/>
  </w:style>
  <w:style w:type="character" w:customStyle="1" w:styleId="DateChar">
    <w:name w:val="Date Char"/>
    <w:basedOn w:val="DefaultParagraphFont"/>
    <w:link w:val="Date"/>
    <w:uiPriority w:val="9"/>
    <w:rsid w:val="00953526"/>
    <w:rPr>
      <w:rFonts w:eastAsia="Times New Roman"/>
      <w:lang w:val="en-GB"/>
    </w:rPr>
  </w:style>
  <w:style w:type="paragraph" w:styleId="Footer">
    <w:name w:val="footer"/>
    <w:basedOn w:val="BodyText"/>
    <w:link w:val="FooterChar"/>
    <w:uiPriority w:val="7"/>
    <w:unhideWhenUsed/>
    <w:rsid w:val="004C670F"/>
    <w:pPr>
      <w:tabs>
        <w:tab w:val="right" w:pos="8280"/>
      </w:tabs>
      <w:spacing w:after="0"/>
    </w:pPr>
    <w:rPr>
      <w:sz w:val="16"/>
    </w:rPr>
  </w:style>
  <w:style w:type="character" w:customStyle="1" w:styleId="FooterChar">
    <w:name w:val="Footer Char"/>
    <w:basedOn w:val="DefaultParagraphFont"/>
    <w:link w:val="Footer"/>
    <w:uiPriority w:val="7"/>
    <w:rsid w:val="002E5C48"/>
    <w:rPr>
      <w:rFonts w:eastAsia="Times New Roman"/>
      <w:sz w:val="16"/>
      <w:lang w:val="en-GB"/>
    </w:rPr>
  </w:style>
  <w:style w:type="character" w:styleId="FootnoteReference">
    <w:name w:val="footnote reference"/>
    <w:basedOn w:val="DefaultParagraphFont"/>
    <w:uiPriority w:val="7"/>
    <w:unhideWhenUsed/>
    <w:rsid w:val="002E5C48"/>
    <w:rPr>
      <w:vertAlign w:val="superscript"/>
      <w:lang w:val="en-GB"/>
    </w:rPr>
  </w:style>
  <w:style w:type="paragraph" w:customStyle="1" w:styleId="FootNoteSeparator">
    <w:name w:val="FootNote Separator"/>
    <w:basedOn w:val="Normal"/>
    <w:uiPriority w:val="7"/>
    <w:unhideWhenUsed/>
    <w:rsid w:val="004C670F"/>
    <w:pPr>
      <w:pBdr>
        <w:top w:val="single" w:sz="4" w:space="1" w:color="auto"/>
      </w:pBdr>
    </w:pPr>
  </w:style>
  <w:style w:type="paragraph" w:styleId="FootnoteText">
    <w:name w:val="footnote text"/>
    <w:basedOn w:val="BodyText"/>
    <w:link w:val="FootnoteTextChar"/>
    <w:uiPriority w:val="7"/>
    <w:rsid w:val="002E5C48"/>
    <w:pPr>
      <w:spacing w:after="120"/>
      <w:ind w:left="187" w:hanging="187"/>
    </w:pPr>
    <w:rPr>
      <w:sz w:val="20"/>
      <w:szCs w:val="20"/>
    </w:rPr>
  </w:style>
  <w:style w:type="character" w:customStyle="1" w:styleId="FootnoteTextChar">
    <w:name w:val="Footnote Text Char"/>
    <w:basedOn w:val="DefaultParagraphFont"/>
    <w:link w:val="FootnoteText"/>
    <w:uiPriority w:val="7"/>
    <w:rsid w:val="002E5C48"/>
    <w:rPr>
      <w:rFonts w:eastAsia="Times New Roman"/>
      <w:sz w:val="20"/>
      <w:szCs w:val="20"/>
      <w:lang w:val="en-GB"/>
    </w:rPr>
  </w:style>
  <w:style w:type="paragraph" w:customStyle="1" w:styleId="FsTable">
    <w:name w:val="FsTable"/>
    <w:basedOn w:val="BodyText"/>
    <w:uiPriority w:val="1"/>
    <w:qFormat/>
    <w:rsid w:val="004C670F"/>
    <w:pPr>
      <w:spacing w:before="120" w:after="120"/>
      <w:jc w:val="left"/>
    </w:pPr>
  </w:style>
  <w:style w:type="paragraph" w:customStyle="1" w:styleId="FsTableHeading">
    <w:name w:val="FsTableHeading"/>
    <w:basedOn w:val="BodyText"/>
    <w:next w:val="FsTable"/>
    <w:uiPriority w:val="1"/>
    <w:qFormat/>
    <w:rsid w:val="004C670F"/>
    <w:pPr>
      <w:keepNext/>
      <w:keepLines/>
      <w:spacing w:before="120" w:after="120"/>
      <w:jc w:val="left"/>
    </w:pPr>
    <w:rPr>
      <w:b/>
    </w:rPr>
  </w:style>
  <w:style w:type="paragraph" w:customStyle="1" w:styleId="FWRecitals">
    <w:name w:val="FWRecitals"/>
    <w:basedOn w:val="Normal"/>
    <w:link w:val="FWRecitalsChar"/>
    <w:qFormat/>
    <w:rsid w:val="001B66EA"/>
    <w:pPr>
      <w:numPr>
        <w:numId w:val="1"/>
      </w:numPr>
      <w:spacing w:after="180" w:line="280" w:lineRule="atLeast"/>
      <w:jc w:val="both"/>
    </w:pPr>
    <w:rPr>
      <w:rFonts w:eastAsia="SimSun"/>
      <w:szCs w:val="20"/>
    </w:rPr>
  </w:style>
  <w:style w:type="paragraph" w:styleId="Header">
    <w:name w:val="header"/>
    <w:basedOn w:val="BodyText"/>
    <w:link w:val="HeaderChar"/>
    <w:semiHidden/>
    <w:rsid w:val="004C670F"/>
    <w:pPr>
      <w:tabs>
        <w:tab w:val="right" w:pos="8280"/>
      </w:tabs>
      <w:spacing w:after="0"/>
      <w:jc w:val="right"/>
    </w:pPr>
    <w:rPr>
      <w:sz w:val="16"/>
    </w:rPr>
  </w:style>
  <w:style w:type="character" w:customStyle="1" w:styleId="HeaderChar">
    <w:name w:val="Header Char"/>
    <w:basedOn w:val="DefaultParagraphFont"/>
    <w:link w:val="Header"/>
    <w:semiHidden/>
    <w:rsid w:val="00953526"/>
    <w:rPr>
      <w:rFonts w:eastAsia="Times New Roman"/>
      <w:sz w:val="16"/>
      <w:lang w:val="en-GB"/>
    </w:rPr>
  </w:style>
  <w:style w:type="paragraph" w:customStyle="1" w:styleId="HeaderFPCSLogo">
    <w:name w:val="HeaderFPCSLogo"/>
    <w:basedOn w:val="Header"/>
    <w:semiHidden/>
    <w:rsid w:val="004C670F"/>
    <w:pPr>
      <w:tabs>
        <w:tab w:val="clear" w:pos="8280"/>
      </w:tabs>
      <w:jc w:val="center"/>
    </w:pPr>
  </w:style>
  <w:style w:type="paragraph" w:customStyle="1" w:styleId="HeaderCPCSLogo">
    <w:name w:val="HeaderCPCSLogo"/>
    <w:basedOn w:val="HeaderFPCSLogo"/>
    <w:semiHidden/>
    <w:rsid w:val="004C670F"/>
    <w:pPr>
      <w:spacing w:before="360"/>
    </w:pPr>
  </w:style>
  <w:style w:type="paragraph" w:customStyle="1" w:styleId="HeaderCPN">
    <w:name w:val="HeaderCPN"/>
    <w:basedOn w:val="BodyText"/>
    <w:semiHidden/>
    <w:rsid w:val="004C670F"/>
    <w:pPr>
      <w:spacing w:before="360" w:after="0"/>
      <w:jc w:val="right"/>
    </w:pPr>
  </w:style>
  <w:style w:type="paragraph" w:customStyle="1" w:styleId="HeaderFPN">
    <w:name w:val="HeaderFPN"/>
    <w:basedOn w:val="HeaderCPN"/>
    <w:semiHidden/>
    <w:rsid w:val="004C670F"/>
    <w:pPr>
      <w:spacing w:before="0"/>
    </w:pPr>
  </w:style>
  <w:style w:type="character" w:customStyle="1" w:styleId="Heading1Char">
    <w:name w:val="Heading 1 Char"/>
    <w:basedOn w:val="DefaultParagraphFont"/>
    <w:link w:val="Heading1"/>
    <w:uiPriority w:val="3"/>
    <w:rsid w:val="002E5C48"/>
    <w:rPr>
      <w:rFonts w:eastAsia="Times New Roman"/>
      <w:b/>
      <w:caps/>
      <w:lang w:val="en-GB"/>
    </w:rPr>
  </w:style>
  <w:style w:type="character" w:customStyle="1" w:styleId="Heading2Char">
    <w:name w:val="Heading 2 Char"/>
    <w:basedOn w:val="DefaultParagraphFont"/>
    <w:link w:val="Heading2"/>
    <w:uiPriority w:val="3"/>
    <w:rsid w:val="002E5C48"/>
    <w:rPr>
      <w:rFonts w:eastAsia="Times New Roman"/>
      <w:b/>
      <w:smallCaps/>
      <w:lang w:val="en-GB"/>
    </w:rPr>
  </w:style>
  <w:style w:type="character" w:customStyle="1" w:styleId="Heading3Char">
    <w:name w:val="Heading 3 Char"/>
    <w:basedOn w:val="DefaultParagraphFont"/>
    <w:link w:val="Heading3"/>
    <w:uiPriority w:val="3"/>
    <w:rsid w:val="002E5C48"/>
    <w:rPr>
      <w:rFonts w:eastAsia="Times New Roman"/>
      <w:b/>
      <w:lang w:val="en-GB"/>
    </w:rPr>
  </w:style>
  <w:style w:type="character" w:customStyle="1" w:styleId="Heading4Char">
    <w:name w:val="Heading 4 Char"/>
    <w:basedOn w:val="DefaultParagraphFont"/>
    <w:link w:val="Heading4"/>
    <w:uiPriority w:val="3"/>
    <w:rsid w:val="002E5C48"/>
    <w:rPr>
      <w:rFonts w:eastAsia="Times New Roman"/>
      <w:b/>
      <w:lang w:val="en-GB"/>
    </w:rPr>
  </w:style>
  <w:style w:type="character" w:customStyle="1" w:styleId="Heading5Char">
    <w:name w:val="Heading 5 Char"/>
    <w:basedOn w:val="DefaultParagraphFont"/>
    <w:link w:val="Heading5"/>
    <w:uiPriority w:val="3"/>
    <w:rsid w:val="002E5C48"/>
    <w:rPr>
      <w:rFonts w:eastAsia="Times New Roman"/>
      <w:b/>
      <w:caps/>
      <w:lang w:val="en-GB"/>
    </w:rPr>
  </w:style>
  <w:style w:type="character" w:customStyle="1" w:styleId="Heading6Char">
    <w:name w:val="Heading 6 Char"/>
    <w:basedOn w:val="DefaultParagraphFont"/>
    <w:link w:val="Heading6"/>
    <w:uiPriority w:val="3"/>
    <w:rsid w:val="002E5C48"/>
    <w:rPr>
      <w:rFonts w:eastAsia="Times New Roman"/>
      <w:b/>
      <w:lang w:val="en-GB"/>
    </w:rPr>
  </w:style>
  <w:style w:type="character" w:customStyle="1" w:styleId="Heading7Char">
    <w:name w:val="Heading 7 Char"/>
    <w:basedOn w:val="DefaultParagraphFont"/>
    <w:link w:val="Heading7"/>
    <w:semiHidden/>
    <w:rsid w:val="00953526"/>
    <w:rPr>
      <w:rFonts w:eastAsia="Times New Roman"/>
      <w:lang w:val="en-GB"/>
    </w:rPr>
  </w:style>
  <w:style w:type="character" w:customStyle="1" w:styleId="Heading8Char">
    <w:name w:val="Heading 8 Char"/>
    <w:basedOn w:val="DefaultParagraphFont"/>
    <w:link w:val="Heading8"/>
    <w:semiHidden/>
    <w:rsid w:val="00953526"/>
    <w:rPr>
      <w:rFonts w:eastAsia="Times New Roman"/>
      <w:lang w:val="en-GB"/>
    </w:rPr>
  </w:style>
  <w:style w:type="character" w:customStyle="1" w:styleId="Heading9Char">
    <w:name w:val="Heading 9 Char"/>
    <w:basedOn w:val="DefaultParagraphFont"/>
    <w:link w:val="Heading9"/>
    <w:semiHidden/>
    <w:rsid w:val="00953526"/>
    <w:rPr>
      <w:rFonts w:eastAsia="Times New Roman" w:cs="Arial"/>
      <w:szCs w:val="22"/>
      <w:lang w:val="en-GB"/>
    </w:rPr>
  </w:style>
  <w:style w:type="paragraph" w:customStyle="1" w:styleId="MarginalNote">
    <w:name w:val="Marginal Note"/>
    <w:basedOn w:val="BodyText"/>
    <w:next w:val="BodyText"/>
    <w:uiPriority w:val="2"/>
    <w:rsid w:val="004C670F"/>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196C32"/>
    <w:rPr>
      <w:rFonts w:ascii="Times New Roman" w:hAnsi="Times New Roman"/>
      <w:sz w:val="16"/>
      <w:lang w:val="en-GB"/>
    </w:rPr>
  </w:style>
  <w:style w:type="paragraph" w:customStyle="1" w:styleId="ParaHeading">
    <w:name w:val="ParaHeading"/>
    <w:basedOn w:val="BodyText"/>
    <w:next w:val="BodyText"/>
    <w:qFormat/>
    <w:rsid w:val="004C670F"/>
    <w:pPr>
      <w:keepNext/>
      <w:keepLines/>
    </w:pPr>
    <w:rPr>
      <w:b/>
    </w:rPr>
  </w:style>
  <w:style w:type="paragraph" w:styleId="Salutation">
    <w:name w:val="Salutation"/>
    <w:basedOn w:val="BodyText"/>
    <w:next w:val="Normal"/>
    <w:link w:val="SalutationChar"/>
    <w:uiPriority w:val="7"/>
    <w:unhideWhenUsed/>
    <w:rsid w:val="004C670F"/>
  </w:style>
  <w:style w:type="character" w:customStyle="1" w:styleId="SalutationChar">
    <w:name w:val="Salutation Char"/>
    <w:basedOn w:val="DefaultParagraphFont"/>
    <w:link w:val="Salutation"/>
    <w:uiPriority w:val="7"/>
    <w:rsid w:val="002E5C48"/>
    <w:rPr>
      <w:rFonts w:eastAsia="Times New Roman"/>
      <w:lang w:val="en-GB"/>
    </w:rPr>
  </w:style>
  <w:style w:type="paragraph" w:customStyle="1" w:styleId="Sealing">
    <w:name w:val="Sealing"/>
    <w:basedOn w:val="BodyText"/>
    <w:uiPriority w:val="2"/>
    <w:rsid w:val="004C670F"/>
    <w:pPr>
      <w:keepLines/>
      <w:tabs>
        <w:tab w:val="left" w:pos="1728"/>
        <w:tab w:val="left" w:pos="4320"/>
      </w:tabs>
      <w:spacing w:after="480"/>
    </w:pPr>
  </w:style>
  <w:style w:type="paragraph" w:styleId="TOAHeading">
    <w:name w:val="toa heading"/>
    <w:basedOn w:val="Normal"/>
    <w:next w:val="Normal"/>
    <w:semiHidden/>
    <w:rsid w:val="004C670F"/>
    <w:pPr>
      <w:spacing w:before="120"/>
    </w:pPr>
    <w:rPr>
      <w:rFonts w:ascii="Arial" w:hAnsi="Arial" w:cs="Arial"/>
      <w:b/>
      <w:bCs/>
    </w:rPr>
  </w:style>
  <w:style w:type="paragraph" w:styleId="TOC1">
    <w:name w:val="toc 1"/>
    <w:basedOn w:val="BodyText"/>
    <w:next w:val="BodyText"/>
    <w:uiPriority w:val="4"/>
    <w:rsid w:val="004C670F"/>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4C670F"/>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4C670F"/>
    <w:pPr>
      <w:tabs>
        <w:tab w:val="right" w:leader="dot" w:pos="8307"/>
      </w:tabs>
      <w:spacing w:after="0"/>
      <w:ind w:left="720" w:right="720"/>
    </w:pPr>
  </w:style>
  <w:style w:type="paragraph" w:styleId="TOC4">
    <w:name w:val="toc 4"/>
    <w:basedOn w:val="BodyText"/>
    <w:next w:val="BodyText"/>
    <w:semiHidden/>
    <w:rsid w:val="004C670F"/>
    <w:pPr>
      <w:tabs>
        <w:tab w:val="right" w:leader="dot" w:pos="8309"/>
      </w:tabs>
      <w:spacing w:after="0"/>
      <w:ind w:left="1440" w:right="720"/>
    </w:pPr>
  </w:style>
  <w:style w:type="paragraph" w:styleId="TOC5">
    <w:name w:val="toc 5"/>
    <w:basedOn w:val="BodyText"/>
    <w:semiHidden/>
    <w:rsid w:val="004C670F"/>
    <w:pPr>
      <w:tabs>
        <w:tab w:val="right" w:leader="dot" w:pos="8309"/>
      </w:tabs>
      <w:spacing w:before="120" w:after="120"/>
      <w:ind w:left="720" w:right="720" w:hanging="720"/>
    </w:pPr>
    <w:rPr>
      <w:caps/>
    </w:rPr>
  </w:style>
  <w:style w:type="paragraph" w:styleId="TOC6">
    <w:name w:val="toc 6"/>
    <w:basedOn w:val="BodyText"/>
    <w:semiHidden/>
    <w:rsid w:val="004C670F"/>
    <w:pPr>
      <w:tabs>
        <w:tab w:val="right" w:leader="dot" w:pos="8309"/>
      </w:tabs>
      <w:ind w:left="720" w:right="720"/>
    </w:pPr>
  </w:style>
  <w:style w:type="paragraph" w:styleId="TOC7">
    <w:name w:val="toc 7"/>
    <w:basedOn w:val="BodyText"/>
    <w:semiHidden/>
    <w:rsid w:val="004C670F"/>
    <w:pPr>
      <w:tabs>
        <w:tab w:val="right" w:leader="dot" w:pos="8309"/>
      </w:tabs>
      <w:ind w:left="1080" w:right="720"/>
    </w:pPr>
    <w:rPr>
      <w:i/>
    </w:rPr>
  </w:style>
  <w:style w:type="paragraph" w:styleId="TOC8">
    <w:name w:val="toc 8"/>
    <w:basedOn w:val="BodyText"/>
    <w:semiHidden/>
    <w:rsid w:val="004C670F"/>
    <w:pPr>
      <w:tabs>
        <w:tab w:val="right" w:leader="dot" w:pos="8309"/>
      </w:tabs>
      <w:ind w:left="1440" w:right="720"/>
    </w:pPr>
    <w:rPr>
      <w:i/>
    </w:rPr>
  </w:style>
  <w:style w:type="paragraph" w:styleId="TOC9">
    <w:name w:val="toc 9"/>
    <w:basedOn w:val="BodyText"/>
    <w:next w:val="Normal"/>
    <w:semiHidden/>
    <w:rsid w:val="004C670F"/>
    <w:pPr>
      <w:tabs>
        <w:tab w:val="right" w:leader="dot" w:pos="8309"/>
      </w:tabs>
      <w:ind w:left="1440"/>
    </w:pPr>
    <w:rPr>
      <w:i/>
    </w:rPr>
  </w:style>
  <w:style w:type="character" w:styleId="Emphasis">
    <w:name w:val="Emphasis"/>
    <w:basedOn w:val="DefaultParagraphFont"/>
    <w:qFormat/>
    <w:rsid w:val="00A93B94"/>
    <w:rPr>
      <w:i/>
      <w:iCs/>
      <w:lang w:val="en-GB"/>
    </w:rPr>
  </w:style>
  <w:style w:type="character" w:customStyle="1" w:styleId="FsHidden">
    <w:name w:val="FsHidden"/>
    <w:basedOn w:val="DefaultParagraphFont"/>
    <w:uiPriority w:val="1"/>
    <w:rsid w:val="005667E1"/>
    <w:rPr>
      <w:vanish/>
      <w:color w:val="FFC000" w:themeColor="accent4"/>
      <w:lang w:val="en-GB"/>
    </w:rPr>
  </w:style>
  <w:style w:type="paragraph" w:styleId="NoSpacing">
    <w:name w:val="No Spacing"/>
    <w:uiPriority w:val="2"/>
    <w:rsid w:val="005667E1"/>
    <w:rPr>
      <w:rFonts w:eastAsia="Times New Roman"/>
      <w:lang w:val="en-GB"/>
    </w:rPr>
  </w:style>
  <w:style w:type="table" w:styleId="TableGrid">
    <w:name w:val="Table Grid"/>
    <w:basedOn w:val="TableNormal"/>
    <w:uiPriority w:val="39"/>
    <w:rsid w:val="005667E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1B66EA"/>
    <w:rPr>
      <w:rFonts w:eastAsia="SimSun"/>
      <w:szCs w:val="20"/>
      <w:lang w:val="en-GB"/>
    </w:rPr>
  </w:style>
  <w:style w:type="numbering" w:styleId="111111">
    <w:name w:val="Outline List 2"/>
    <w:basedOn w:val="NoList"/>
    <w:uiPriority w:val="99"/>
    <w:semiHidden/>
    <w:unhideWhenUsed/>
    <w:rsid w:val="008F7985"/>
  </w:style>
  <w:style w:type="numbering" w:styleId="1ai">
    <w:name w:val="Outline List 1"/>
    <w:basedOn w:val="NoList"/>
    <w:uiPriority w:val="99"/>
    <w:semiHidden/>
    <w:unhideWhenUsed/>
    <w:rsid w:val="008F7985"/>
  </w:style>
  <w:style w:type="numbering" w:styleId="ArticleSection">
    <w:name w:val="Outline List 3"/>
    <w:basedOn w:val="NoList"/>
    <w:uiPriority w:val="99"/>
    <w:semiHidden/>
    <w:unhideWhenUsed/>
    <w:rsid w:val="008F7985"/>
  </w:style>
  <w:style w:type="paragraph" w:styleId="BalloonText">
    <w:name w:val="Balloon Text"/>
    <w:basedOn w:val="Normal"/>
    <w:link w:val="BalloonTextChar"/>
    <w:uiPriority w:val="99"/>
    <w:semiHidden/>
    <w:rsid w:val="008F7985"/>
    <w:rPr>
      <w:rFonts w:ascii="Tahoma" w:hAnsi="Tahoma" w:cs="Tahoma"/>
      <w:sz w:val="16"/>
      <w:szCs w:val="16"/>
    </w:rPr>
  </w:style>
  <w:style w:type="character" w:customStyle="1" w:styleId="BalloonTextChar">
    <w:name w:val="Balloon Text Char"/>
    <w:basedOn w:val="DefaultParagraphFont"/>
    <w:link w:val="BalloonText"/>
    <w:uiPriority w:val="99"/>
    <w:semiHidden/>
    <w:rsid w:val="008F7985"/>
    <w:rPr>
      <w:rFonts w:ascii="Tahoma" w:eastAsia="Times New Roman" w:hAnsi="Tahoma" w:cs="Tahoma"/>
      <w:sz w:val="16"/>
      <w:szCs w:val="16"/>
      <w:lang w:val="en-GB"/>
    </w:rPr>
  </w:style>
  <w:style w:type="paragraph" w:styleId="Bibliography">
    <w:name w:val="Bibliography"/>
    <w:basedOn w:val="Normal"/>
    <w:next w:val="Normal"/>
    <w:uiPriority w:val="37"/>
    <w:semiHidden/>
    <w:rsid w:val="008F7985"/>
  </w:style>
  <w:style w:type="paragraph" w:styleId="BlockText">
    <w:name w:val="Block Text"/>
    <w:basedOn w:val="Normal"/>
    <w:uiPriority w:val="99"/>
    <w:semiHidden/>
    <w:rsid w:val="008F798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rsid w:val="008F7985"/>
    <w:pPr>
      <w:spacing w:after="120" w:line="480" w:lineRule="auto"/>
    </w:pPr>
  </w:style>
  <w:style w:type="character" w:customStyle="1" w:styleId="BodyText2Char">
    <w:name w:val="Body Text 2 Char"/>
    <w:basedOn w:val="DefaultParagraphFont"/>
    <w:link w:val="BodyText2"/>
    <w:uiPriority w:val="99"/>
    <w:semiHidden/>
    <w:rsid w:val="008F7985"/>
    <w:rPr>
      <w:rFonts w:eastAsia="Times New Roman"/>
      <w:lang w:val="en-GB"/>
    </w:rPr>
  </w:style>
  <w:style w:type="paragraph" w:styleId="BodyText3">
    <w:name w:val="Body Text 3"/>
    <w:basedOn w:val="Normal"/>
    <w:link w:val="BodyText3Char"/>
    <w:uiPriority w:val="99"/>
    <w:semiHidden/>
    <w:rsid w:val="008F7985"/>
    <w:pPr>
      <w:spacing w:after="120"/>
    </w:pPr>
    <w:rPr>
      <w:sz w:val="16"/>
      <w:szCs w:val="16"/>
    </w:rPr>
  </w:style>
  <w:style w:type="character" w:customStyle="1" w:styleId="BodyText3Char">
    <w:name w:val="Body Text 3 Char"/>
    <w:basedOn w:val="DefaultParagraphFont"/>
    <w:link w:val="BodyText3"/>
    <w:uiPriority w:val="99"/>
    <w:semiHidden/>
    <w:rsid w:val="008F7985"/>
    <w:rPr>
      <w:rFonts w:eastAsia="Times New Roman"/>
      <w:sz w:val="16"/>
      <w:szCs w:val="16"/>
      <w:lang w:val="en-GB"/>
    </w:rPr>
  </w:style>
  <w:style w:type="paragraph" w:styleId="BodyTextFirstIndent">
    <w:name w:val="Body Text First Indent"/>
    <w:basedOn w:val="BodyText"/>
    <w:link w:val="BodyTextFirstIndentChar"/>
    <w:semiHidden/>
    <w:rsid w:val="008F7985"/>
    <w:pPr>
      <w:spacing w:after="0" w:line="240" w:lineRule="auto"/>
      <w:ind w:firstLine="360"/>
      <w:jc w:val="left"/>
    </w:pPr>
  </w:style>
  <w:style w:type="character" w:customStyle="1" w:styleId="BodyTextFirstIndentChar">
    <w:name w:val="Body Text First Indent Char"/>
    <w:basedOn w:val="BodyTextChar"/>
    <w:link w:val="BodyTextFirstIndent"/>
    <w:uiPriority w:val="99"/>
    <w:semiHidden/>
    <w:rsid w:val="008F7985"/>
    <w:rPr>
      <w:rFonts w:eastAsia="Times New Roman"/>
      <w:lang w:val="en-GB"/>
    </w:rPr>
  </w:style>
  <w:style w:type="paragraph" w:styleId="BodyTextIndent">
    <w:name w:val="Body Text Indent"/>
    <w:basedOn w:val="Normal"/>
    <w:link w:val="BodyTextIndentChar"/>
    <w:uiPriority w:val="99"/>
    <w:semiHidden/>
    <w:rsid w:val="008F7985"/>
    <w:pPr>
      <w:spacing w:after="120"/>
      <w:ind w:left="360"/>
    </w:pPr>
  </w:style>
  <w:style w:type="character" w:customStyle="1" w:styleId="BodyTextIndentChar">
    <w:name w:val="Body Text Indent Char"/>
    <w:basedOn w:val="DefaultParagraphFont"/>
    <w:link w:val="BodyTextIndent"/>
    <w:uiPriority w:val="99"/>
    <w:semiHidden/>
    <w:rsid w:val="008F7985"/>
    <w:rPr>
      <w:rFonts w:eastAsia="Times New Roman"/>
      <w:lang w:val="en-GB"/>
    </w:rPr>
  </w:style>
  <w:style w:type="paragraph" w:styleId="BodyTextFirstIndent2">
    <w:name w:val="Body Text First Indent 2"/>
    <w:basedOn w:val="BodyTextIndent"/>
    <w:link w:val="BodyTextFirstIndent2Char"/>
    <w:uiPriority w:val="99"/>
    <w:semiHidden/>
    <w:rsid w:val="008F7985"/>
    <w:pPr>
      <w:spacing w:after="0"/>
      <w:ind w:firstLine="360"/>
    </w:pPr>
  </w:style>
  <w:style w:type="character" w:customStyle="1" w:styleId="BodyTextFirstIndent2Char">
    <w:name w:val="Body Text First Indent 2 Char"/>
    <w:basedOn w:val="BodyTextIndentChar"/>
    <w:link w:val="BodyTextFirstIndent2"/>
    <w:uiPriority w:val="99"/>
    <w:semiHidden/>
    <w:rsid w:val="008F7985"/>
    <w:rPr>
      <w:rFonts w:eastAsia="Times New Roman"/>
      <w:lang w:val="en-GB"/>
    </w:rPr>
  </w:style>
  <w:style w:type="paragraph" w:styleId="BodyTextIndent2">
    <w:name w:val="Body Text Indent 2"/>
    <w:basedOn w:val="Normal"/>
    <w:link w:val="BodyTextIndent2Char"/>
    <w:uiPriority w:val="99"/>
    <w:semiHidden/>
    <w:rsid w:val="008F7985"/>
    <w:pPr>
      <w:spacing w:after="120" w:line="480" w:lineRule="auto"/>
      <w:ind w:left="360"/>
    </w:pPr>
  </w:style>
  <w:style w:type="character" w:customStyle="1" w:styleId="BodyTextIndent2Char">
    <w:name w:val="Body Text Indent 2 Char"/>
    <w:basedOn w:val="DefaultParagraphFont"/>
    <w:link w:val="BodyTextIndent2"/>
    <w:uiPriority w:val="99"/>
    <w:semiHidden/>
    <w:rsid w:val="008F7985"/>
    <w:rPr>
      <w:rFonts w:eastAsia="Times New Roman"/>
      <w:lang w:val="en-GB"/>
    </w:rPr>
  </w:style>
  <w:style w:type="paragraph" w:styleId="BodyTextIndent3">
    <w:name w:val="Body Text Indent 3"/>
    <w:basedOn w:val="Normal"/>
    <w:link w:val="BodyTextIndent3Char"/>
    <w:uiPriority w:val="99"/>
    <w:semiHidden/>
    <w:rsid w:val="008F798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985"/>
    <w:rPr>
      <w:rFonts w:eastAsia="Times New Roman"/>
      <w:sz w:val="16"/>
      <w:szCs w:val="16"/>
      <w:lang w:val="en-GB"/>
    </w:rPr>
  </w:style>
  <w:style w:type="character" w:styleId="BookTitle">
    <w:name w:val="Book Title"/>
    <w:basedOn w:val="DefaultParagraphFont"/>
    <w:uiPriority w:val="33"/>
    <w:semiHidden/>
    <w:rsid w:val="008F7985"/>
    <w:rPr>
      <w:b/>
      <w:bCs/>
      <w:smallCaps/>
      <w:spacing w:val="5"/>
      <w:lang w:val="en-GB"/>
    </w:rPr>
  </w:style>
  <w:style w:type="paragraph" w:styleId="Caption">
    <w:name w:val="caption"/>
    <w:basedOn w:val="Normal"/>
    <w:next w:val="Normal"/>
    <w:uiPriority w:val="35"/>
    <w:semiHidden/>
    <w:rsid w:val="008F7985"/>
    <w:pPr>
      <w:spacing w:after="200"/>
    </w:pPr>
    <w:rPr>
      <w:b/>
      <w:bCs/>
      <w:color w:val="5B9BD5" w:themeColor="accent1"/>
      <w:sz w:val="18"/>
      <w:szCs w:val="18"/>
    </w:rPr>
  </w:style>
  <w:style w:type="paragraph" w:styleId="Closing">
    <w:name w:val="Closing"/>
    <w:basedOn w:val="Normal"/>
    <w:link w:val="ClosingChar"/>
    <w:uiPriority w:val="99"/>
    <w:semiHidden/>
    <w:rsid w:val="008F7985"/>
    <w:pPr>
      <w:ind w:left="4320"/>
    </w:pPr>
  </w:style>
  <w:style w:type="character" w:customStyle="1" w:styleId="ClosingChar">
    <w:name w:val="Closing Char"/>
    <w:basedOn w:val="DefaultParagraphFont"/>
    <w:link w:val="Closing"/>
    <w:uiPriority w:val="99"/>
    <w:semiHidden/>
    <w:rsid w:val="008F7985"/>
    <w:rPr>
      <w:rFonts w:eastAsia="Times New Roman"/>
      <w:lang w:val="en-GB"/>
    </w:rPr>
  </w:style>
  <w:style w:type="table" w:styleId="ColorfulGrid">
    <w:name w:val="Colorful Grid"/>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8F7985"/>
    <w:rPr>
      <w:color w:val="000000" w:themeColor="text1"/>
      <w:lang w:val="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8F7985"/>
    <w:rPr>
      <w:color w:val="000000" w:themeColor="text1"/>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7985"/>
    <w:rPr>
      <w:color w:val="000000" w:themeColor="text1"/>
      <w:lang w:val="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8F7985"/>
    <w:rPr>
      <w:color w:val="000000" w:themeColor="text1"/>
      <w:lang w:val="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8F7985"/>
    <w:rPr>
      <w:color w:val="000000" w:themeColor="text1"/>
      <w:lang w:val="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8F7985"/>
    <w:rPr>
      <w:color w:val="000000" w:themeColor="text1"/>
      <w:lang w:val="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8F7985"/>
    <w:rPr>
      <w:color w:val="000000" w:themeColor="text1"/>
      <w:lang w:val="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8F7985"/>
    <w:rPr>
      <w:color w:val="000000" w:themeColor="text1"/>
      <w:lang w:val="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7985"/>
    <w:rPr>
      <w:color w:val="000000" w:themeColor="text1"/>
      <w:lang w:val="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7985"/>
    <w:rPr>
      <w:color w:val="000000" w:themeColor="text1"/>
      <w:lang w:val="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8F7985"/>
    <w:rPr>
      <w:color w:val="000000" w:themeColor="text1"/>
      <w:lang w:val="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7985"/>
    <w:rPr>
      <w:color w:val="000000" w:themeColor="text1"/>
      <w:lang w:val="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7985"/>
    <w:rPr>
      <w:color w:val="000000" w:themeColor="text1"/>
      <w:lang w:val="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7985"/>
    <w:rPr>
      <w:sz w:val="16"/>
      <w:szCs w:val="16"/>
      <w:lang w:val="en-GB"/>
    </w:rPr>
  </w:style>
  <w:style w:type="paragraph" w:styleId="CommentText">
    <w:name w:val="annotation text"/>
    <w:basedOn w:val="Normal"/>
    <w:link w:val="CommentTextChar"/>
    <w:uiPriority w:val="99"/>
    <w:semiHidden/>
    <w:rsid w:val="008F7985"/>
    <w:rPr>
      <w:sz w:val="20"/>
      <w:szCs w:val="20"/>
    </w:rPr>
  </w:style>
  <w:style w:type="character" w:customStyle="1" w:styleId="CommentTextChar">
    <w:name w:val="Comment Text Char"/>
    <w:basedOn w:val="DefaultParagraphFont"/>
    <w:link w:val="CommentText"/>
    <w:uiPriority w:val="99"/>
    <w:semiHidden/>
    <w:rsid w:val="008F7985"/>
    <w:rPr>
      <w:rFonts w:eastAsia="Times New Roman"/>
      <w:sz w:val="20"/>
      <w:szCs w:val="20"/>
      <w:lang w:val="en-GB"/>
    </w:rPr>
  </w:style>
  <w:style w:type="paragraph" w:styleId="CommentSubject">
    <w:name w:val="annotation subject"/>
    <w:basedOn w:val="CommentText"/>
    <w:next w:val="CommentText"/>
    <w:link w:val="CommentSubjectChar"/>
    <w:uiPriority w:val="99"/>
    <w:semiHidden/>
    <w:rsid w:val="008F7985"/>
    <w:rPr>
      <w:b/>
      <w:bCs/>
    </w:rPr>
  </w:style>
  <w:style w:type="character" w:customStyle="1" w:styleId="CommentSubjectChar">
    <w:name w:val="Comment Subject Char"/>
    <w:basedOn w:val="CommentTextChar"/>
    <w:link w:val="CommentSubject"/>
    <w:uiPriority w:val="99"/>
    <w:semiHidden/>
    <w:rsid w:val="008F7985"/>
    <w:rPr>
      <w:rFonts w:eastAsia="Times New Roman"/>
      <w:b/>
      <w:bCs/>
      <w:sz w:val="20"/>
      <w:szCs w:val="20"/>
      <w:lang w:val="en-GB"/>
    </w:rPr>
  </w:style>
  <w:style w:type="table" w:styleId="DarkList">
    <w:name w:val="Dark List"/>
    <w:basedOn w:val="TableNormal"/>
    <w:uiPriority w:val="70"/>
    <w:rsid w:val="008F7985"/>
    <w:rPr>
      <w:color w:val="FFFFFF" w:themeColor="background1"/>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7985"/>
    <w:rPr>
      <w:color w:val="FFFFFF" w:themeColor="background1"/>
      <w:lang w:val="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8F7985"/>
    <w:rPr>
      <w:color w:val="FFFFFF" w:themeColor="background1"/>
      <w:lang w:val="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8F7985"/>
    <w:rPr>
      <w:color w:val="FFFFFF" w:themeColor="background1"/>
      <w:lang w:val="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8F7985"/>
    <w:rPr>
      <w:color w:val="FFFFFF" w:themeColor="background1"/>
      <w:lang w:val="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8F7985"/>
    <w:rPr>
      <w:color w:val="FFFFFF" w:themeColor="background1"/>
      <w:lang w:val="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8F7985"/>
    <w:rPr>
      <w:color w:val="FFFFFF" w:themeColor="background1"/>
      <w:lang w:val="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rsid w:val="008F7985"/>
    <w:rPr>
      <w:rFonts w:ascii="Tahoma" w:hAnsi="Tahoma" w:cs="Tahoma"/>
      <w:sz w:val="16"/>
      <w:szCs w:val="16"/>
    </w:rPr>
  </w:style>
  <w:style w:type="character" w:customStyle="1" w:styleId="DocumentMapChar">
    <w:name w:val="Document Map Char"/>
    <w:basedOn w:val="DefaultParagraphFont"/>
    <w:link w:val="DocumentMap"/>
    <w:uiPriority w:val="99"/>
    <w:semiHidden/>
    <w:rsid w:val="008F7985"/>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8F7985"/>
  </w:style>
  <w:style w:type="character" w:customStyle="1" w:styleId="E-mailSignatureChar">
    <w:name w:val="E-mail Signature Char"/>
    <w:basedOn w:val="DefaultParagraphFont"/>
    <w:link w:val="E-mailSignature"/>
    <w:uiPriority w:val="99"/>
    <w:semiHidden/>
    <w:rsid w:val="008F7985"/>
    <w:rPr>
      <w:rFonts w:eastAsia="Times New Roman"/>
      <w:lang w:val="en-GB"/>
    </w:rPr>
  </w:style>
  <w:style w:type="character" w:styleId="EndnoteReference">
    <w:name w:val="endnote reference"/>
    <w:basedOn w:val="DefaultParagraphFont"/>
    <w:uiPriority w:val="99"/>
    <w:semiHidden/>
    <w:rsid w:val="008F7985"/>
    <w:rPr>
      <w:vertAlign w:val="superscript"/>
      <w:lang w:val="en-GB"/>
    </w:rPr>
  </w:style>
  <w:style w:type="paragraph" w:styleId="EndnoteText">
    <w:name w:val="endnote text"/>
    <w:basedOn w:val="Normal"/>
    <w:link w:val="EndnoteTextChar"/>
    <w:uiPriority w:val="99"/>
    <w:semiHidden/>
    <w:rsid w:val="008F7985"/>
    <w:rPr>
      <w:sz w:val="20"/>
      <w:szCs w:val="20"/>
    </w:rPr>
  </w:style>
  <w:style w:type="character" w:customStyle="1" w:styleId="EndnoteTextChar">
    <w:name w:val="Endnote Text Char"/>
    <w:basedOn w:val="DefaultParagraphFont"/>
    <w:link w:val="EndnoteText"/>
    <w:uiPriority w:val="99"/>
    <w:semiHidden/>
    <w:rsid w:val="008F7985"/>
    <w:rPr>
      <w:rFonts w:eastAsia="Times New Roman"/>
      <w:sz w:val="20"/>
      <w:szCs w:val="20"/>
      <w:lang w:val="en-GB"/>
    </w:rPr>
  </w:style>
  <w:style w:type="paragraph" w:styleId="EnvelopeAddress">
    <w:name w:val="envelope address"/>
    <w:basedOn w:val="Normal"/>
    <w:uiPriority w:val="99"/>
    <w:semiHidden/>
    <w:rsid w:val="008F79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8F79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F7985"/>
    <w:rPr>
      <w:color w:val="954F72" w:themeColor="followedHyperlink"/>
      <w:u w:val="single"/>
      <w:lang w:val="en-GB"/>
    </w:rPr>
  </w:style>
  <w:style w:type="character" w:styleId="HTMLAcronym">
    <w:name w:val="HTML Acronym"/>
    <w:basedOn w:val="DefaultParagraphFont"/>
    <w:uiPriority w:val="99"/>
    <w:semiHidden/>
    <w:rsid w:val="008F7985"/>
    <w:rPr>
      <w:lang w:val="en-GB"/>
    </w:rPr>
  </w:style>
  <w:style w:type="paragraph" w:styleId="HTMLAddress">
    <w:name w:val="HTML Address"/>
    <w:basedOn w:val="Normal"/>
    <w:link w:val="HTMLAddressChar"/>
    <w:uiPriority w:val="99"/>
    <w:semiHidden/>
    <w:rsid w:val="008F7985"/>
    <w:rPr>
      <w:i/>
      <w:iCs/>
    </w:rPr>
  </w:style>
  <w:style w:type="character" w:customStyle="1" w:styleId="HTMLAddressChar">
    <w:name w:val="HTML Address Char"/>
    <w:basedOn w:val="DefaultParagraphFont"/>
    <w:link w:val="HTMLAddress"/>
    <w:uiPriority w:val="99"/>
    <w:semiHidden/>
    <w:rsid w:val="008F7985"/>
    <w:rPr>
      <w:rFonts w:eastAsia="Times New Roman"/>
      <w:i/>
      <w:iCs/>
      <w:lang w:val="en-GB"/>
    </w:rPr>
  </w:style>
  <w:style w:type="character" w:styleId="HTMLCite">
    <w:name w:val="HTML Cite"/>
    <w:basedOn w:val="DefaultParagraphFont"/>
    <w:uiPriority w:val="99"/>
    <w:semiHidden/>
    <w:rsid w:val="008F7985"/>
    <w:rPr>
      <w:i/>
      <w:iCs/>
      <w:lang w:val="en-GB"/>
    </w:rPr>
  </w:style>
  <w:style w:type="character" w:styleId="HTMLCode">
    <w:name w:val="HTML Code"/>
    <w:basedOn w:val="DefaultParagraphFont"/>
    <w:uiPriority w:val="99"/>
    <w:semiHidden/>
    <w:rsid w:val="008F7985"/>
    <w:rPr>
      <w:rFonts w:ascii="Consolas" w:hAnsi="Consolas" w:cs="Consolas"/>
      <w:sz w:val="20"/>
      <w:szCs w:val="20"/>
      <w:lang w:val="en-GB"/>
    </w:rPr>
  </w:style>
  <w:style w:type="character" w:styleId="HTMLDefinition">
    <w:name w:val="HTML Definition"/>
    <w:basedOn w:val="DefaultParagraphFont"/>
    <w:uiPriority w:val="99"/>
    <w:semiHidden/>
    <w:rsid w:val="008F7985"/>
    <w:rPr>
      <w:i/>
      <w:iCs/>
      <w:lang w:val="en-GB"/>
    </w:rPr>
  </w:style>
  <w:style w:type="character" w:styleId="HTMLKeyboard">
    <w:name w:val="HTML Keyboard"/>
    <w:basedOn w:val="DefaultParagraphFont"/>
    <w:uiPriority w:val="99"/>
    <w:semiHidden/>
    <w:rsid w:val="008F7985"/>
    <w:rPr>
      <w:rFonts w:ascii="Consolas" w:hAnsi="Consolas" w:cs="Consolas"/>
      <w:sz w:val="20"/>
      <w:szCs w:val="20"/>
      <w:lang w:val="en-GB"/>
    </w:rPr>
  </w:style>
  <w:style w:type="paragraph" w:styleId="HTMLPreformatted">
    <w:name w:val="HTML Preformatted"/>
    <w:basedOn w:val="Normal"/>
    <w:link w:val="HTMLPreformattedChar"/>
    <w:uiPriority w:val="99"/>
    <w:semiHidden/>
    <w:rsid w:val="008F798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F7985"/>
    <w:rPr>
      <w:rFonts w:ascii="Consolas" w:eastAsia="Times New Roman" w:hAnsi="Consolas" w:cs="Consolas"/>
      <w:sz w:val="20"/>
      <w:szCs w:val="20"/>
      <w:lang w:val="en-GB"/>
    </w:rPr>
  </w:style>
  <w:style w:type="character" w:styleId="HTMLSample">
    <w:name w:val="HTML Sample"/>
    <w:basedOn w:val="DefaultParagraphFont"/>
    <w:uiPriority w:val="99"/>
    <w:semiHidden/>
    <w:rsid w:val="008F7985"/>
    <w:rPr>
      <w:rFonts w:ascii="Consolas" w:hAnsi="Consolas" w:cs="Consolas"/>
      <w:sz w:val="24"/>
      <w:szCs w:val="24"/>
      <w:lang w:val="en-GB"/>
    </w:rPr>
  </w:style>
  <w:style w:type="character" w:styleId="HTMLTypewriter">
    <w:name w:val="HTML Typewriter"/>
    <w:basedOn w:val="DefaultParagraphFont"/>
    <w:uiPriority w:val="99"/>
    <w:semiHidden/>
    <w:rsid w:val="008F7985"/>
    <w:rPr>
      <w:rFonts w:ascii="Consolas" w:hAnsi="Consolas" w:cs="Consolas"/>
      <w:sz w:val="20"/>
      <w:szCs w:val="20"/>
      <w:lang w:val="en-GB"/>
    </w:rPr>
  </w:style>
  <w:style w:type="character" w:styleId="HTMLVariable">
    <w:name w:val="HTML Variable"/>
    <w:basedOn w:val="DefaultParagraphFont"/>
    <w:uiPriority w:val="99"/>
    <w:semiHidden/>
    <w:rsid w:val="008F7985"/>
    <w:rPr>
      <w:i/>
      <w:iCs/>
      <w:lang w:val="en-GB"/>
    </w:rPr>
  </w:style>
  <w:style w:type="character" w:styleId="Hyperlink">
    <w:name w:val="Hyperlink"/>
    <w:basedOn w:val="DefaultParagraphFont"/>
    <w:uiPriority w:val="99"/>
    <w:semiHidden/>
    <w:rsid w:val="008F7985"/>
    <w:rPr>
      <w:color w:val="0563C1" w:themeColor="hyperlink"/>
      <w:u w:val="single"/>
      <w:lang w:val="en-GB"/>
    </w:rPr>
  </w:style>
  <w:style w:type="paragraph" w:styleId="IndexHeading">
    <w:name w:val="index heading"/>
    <w:basedOn w:val="Normal"/>
    <w:next w:val="Normal"/>
    <w:semiHidden/>
    <w:unhideWhenUsed/>
    <w:rsid w:val="008F7985"/>
    <w:rPr>
      <w:rFonts w:asciiTheme="majorHAnsi" w:eastAsiaTheme="majorEastAsia" w:hAnsiTheme="majorHAnsi" w:cstheme="majorBidi"/>
      <w:b/>
      <w:bCs/>
    </w:rPr>
  </w:style>
  <w:style w:type="character" w:styleId="IntenseEmphasis">
    <w:name w:val="Intense Emphasis"/>
    <w:basedOn w:val="DefaultParagraphFont"/>
    <w:uiPriority w:val="21"/>
    <w:semiHidden/>
    <w:rsid w:val="008F7985"/>
    <w:rPr>
      <w:b/>
      <w:bCs/>
      <w:i/>
      <w:iCs/>
      <w:color w:val="5B9BD5" w:themeColor="accent1"/>
      <w:lang w:val="en-GB"/>
    </w:rPr>
  </w:style>
  <w:style w:type="paragraph" w:styleId="IntenseQuote">
    <w:name w:val="Intense Quote"/>
    <w:basedOn w:val="Normal"/>
    <w:next w:val="Normal"/>
    <w:link w:val="IntenseQuoteChar"/>
    <w:uiPriority w:val="30"/>
    <w:semiHidden/>
    <w:rsid w:val="008F798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semiHidden/>
    <w:rsid w:val="008F7985"/>
    <w:rPr>
      <w:rFonts w:eastAsia="Times New Roman"/>
      <w:b/>
      <w:bCs/>
      <w:i/>
      <w:iCs/>
      <w:color w:val="5B9BD5" w:themeColor="accent1"/>
      <w:lang w:val="en-GB"/>
    </w:rPr>
  </w:style>
  <w:style w:type="character" w:styleId="IntenseReference">
    <w:name w:val="Intense Reference"/>
    <w:basedOn w:val="DefaultParagraphFont"/>
    <w:uiPriority w:val="32"/>
    <w:semiHidden/>
    <w:rsid w:val="008F7985"/>
    <w:rPr>
      <w:b/>
      <w:bCs/>
      <w:smallCaps/>
      <w:color w:val="ED7D31" w:themeColor="accent2"/>
      <w:spacing w:val="5"/>
      <w:u w:val="single"/>
      <w:lang w:val="en-GB"/>
    </w:rPr>
  </w:style>
  <w:style w:type="table" w:styleId="LightGrid">
    <w:name w:val="Light Grid"/>
    <w:basedOn w:val="TableNormal"/>
    <w:uiPriority w:val="62"/>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8F7985"/>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7985"/>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8F7985"/>
    <w:rPr>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8F7985"/>
    <w:rPr>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8F7985"/>
    <w:rPr>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8F7985"/>
    <w:rPr>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8F7985"/>
    <w:rPr>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8F7985"/>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7985"/>
    <w:rPr>
      <w:color w:val="2E74B5" w:themeColor="accent1" w:themeShade="BF"/>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F7985"/>
    <w:rPr>
      <w:color w:val="C45911" w:themeColor="accent2" w:themeShade="BF"/>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F7985"/>
    <w:rPr>
      <w:color w:val="7B7B7B" w:themeColor="accent3" w:themeShade="BF"/>
      <w:lang w:val="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8F7985"/>
    <w:rPr>
      <w:color w:val="BF8F00" w:themeColor="accent4" w:themeShade="BF"/>
      <w:lang w:val="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8F7985"/>
    <w:rPr>
      <w:color w:val="2F5496" w:themeColor="accent5" w:themeShade="BF"/>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8F7985"/>
    <w:rPr>
      <w:color w:val="538135" w:themeColor="accent6" w:themeShade="BF"/>
      <w:lang w:val="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8F7985"/>
    <w:rPr>
      <w:lang w:val="en-GB"/>
    </w:rPr>
  </w:style>
  <w:style w:type="paragraph" w:styleId="MacroText">
    <w:name w:val="macro"/>
    <w:link w:val="MacroTextChar"/>
    <w:uiPriority w:val="99"/>
    <w:semiHidden/>
    <w:rsid w:val="008F798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lang w:val="en-GB"/>
    </w:rPr>
  </w:style>
  <w:style w:type="character" w:customStyle="1" w:styleId="MacroTextChar">
    <w:name w:val="Macro Text Char"/>
    <w:basedOn w:val="DefaultParagraphFont"/>
    <w:link w:val="MacroText"/>
    <w:uiPriority w:val="99"/>
    <w:semiHidden/>
    <w:rsid w:val="008F7985"/>
    <w:rPr>
      <w:rFonts w:ascii="Consolas" w:eastAsia="Times New Roman" w:hAnsi="Consolas" w:cs="Consolas"/>
      <w:sz w:val="20"/>
      <w:szCs w:val="20"/>
      <w:lang w:val="en-GB"/>
    </w:rPr>
  </w:style>
  <w:style w:type="table" w:styleId="MediumGrid1">
    <w:name w:val="Medium Grid 1"/>
    <w:basedOn w:val="TableNormal"/>
    <w:uiPriority w:val="67"/>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8F7985"/>
    <w:rPr>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8F7985"/>
    <w:rPr>
      <w:color w:val="000000" w:themeColor="text1"/>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7985"/>
    <w:rPr>
      <w:color w:val="000000" w:themeColor="text1"/>
      <w:lang w:val="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8F7985"/>
    <w:rPr>
      <w:color w:val="000000" w:themeColor="text1"/>
      <w:lang w:val="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8F7985"/>
    <w:rPr>
      <w:color w:val="000000" w:themeColor="text1"/>
      <w:lang w:val="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8F7985"/>
    <w:rPr>
      <w:color w:val="000000" w:themeColor="text1"/>
      <w:lang w:val="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8F7985"/>
    <w:rPr>
      <w:color w:val="000000" w:themeColor="text1"/>
      <w:lang w:val="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8F7985"/>
    <w:rPr>
      <w:color w:val="000000" w:themeColor="text1"/>
      <w:lang w:val="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7985"/>
    <w:rPr>
      <w:rFonts w:asciiTheme="majorHAnsi" w:eastAsiaTheme="majorEastAsia" w:hAnsiTheme="majorHAnsi" w:cstheme="majorBidi"/>
      <w:color w:val="000000" w:themeColor="text1"/>
      <w:lang w:val="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7985"/>
    <w:rPr>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7985"/>
    <w:rPr>
      <w:lang w:val="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7985"/>
    <w:rPr>
      <w:lang w:val="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7985"/>
    <w:rPr>
      <w:lang w:val="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7985"/>
    <w:rPr>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7985"/>
    <w:rPr>
      <w:lang w:val="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7985"/>
    <w:rPr>
      <w:lang w:val="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798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F79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F7985"/>
    <w:rPr>
      <w:rFonts w:asciiTheme="majorHAnsi" w:eastAsiaTheme="majorEastAsia" w:hAnsiTheme="majorHAnsi" w:cstheme="majorBidi"/>
      <w:shd w:val="pct20" w:color="auto" w:fill="auto"/>
      <w:lang w:val="en-GB"/>
    </w:rPr>
  </w:style>
  <w:style w:type="paragraph" w:styleId="NormalWeb">
    <w:name w:val="Normal (Web)"/>
    <w:basedOn w:val="Normal"/>
    <w:uiPriority w:val="99"/>
    <w:semiHidden/>
    <w:rsid w:val="008F7985"/>
  </w:style>
  <w:style w:type="paragraph" w:styleId="NormalIndent">
    <w:name w:val="Normal Indent"/>
    <w:basedOn w:val="Normal"/>
    <w:uiPriority w:val="99"/>
    <w:semiHidden/>
    <w:rsid w:val="008F7985"/>
    <w:pPr>
      <w:ind w:left="720"/>
    </w:pPr>
  </w:style>
  <w:style w:type="paragraph" w:customStyle="1" w:styleId="NoteHeading1">
    <w:name w:val="Note Heading1"/>
    <w:basedOn w:val="Normal"/>
    <w:next w:val="Normal"/>
    <w:link w:val="NoteHeadingChar"/>
    <w:uiPriority w:val="99"/>
    <w:semiHidden/>
    <w:rsid w:val="008F7985"/>
  </w:style>
  <w:style w:type="character" w:customStyle="1" w:styleId="NoteHeadingChar">
    <w:name w:val="Note Heading Char"/>
    <w:basedOn w:val="DefaultParagraphFont"/>
    <w:link w:val="NoteHeading1"/>
    <w:uiPriority w:val="99"/>
    <w:semiHidden/>
    <w:rsid w:val="008F7985"/>
    <w:rPr>
      <w:rFonts w:eastAsia="Times New Roman"/>
      <w:lang w:val="en-GB"/>
    </w:rPr>
  </w:style>
  <w:style w:type="character" w:styleId="PlaceholderText">
    <w:name w:val="Placeholder Text"/>
    <w:basedOn w:val="DefaultParagraphFont"/>
    <w:uiPriority w:val="99"/>
    <w:semiHidden/>
    <w:rsid w:val="008F7985"/>
    <w:rPr>
      <w:color w:val="808080"/>
      <w:lang w:val="en-GB"/>
    </w:rPr>
  </w:style>
  <w:style w:type="paragraph" w:styleId="PlainText">
    <w:name w:val="Plain Text"/>
    <w:basedOn w:val="Normal"/>
    <w:link w:val="PlainTextChar"/>
    <w:uiPriority w:val="99"/>
    <w:semiHidden/>
    <w:rsid w:val="008F7985"/>
    <w:rPr>
      <w:rFonts w:ascii="Consolas" w:hAnsi="Consolas" w:cs="Consolas"/>
      <w:sz w:val="21"/>
      <w:szCs w:val="21"/>
    </w:rPr>
  </w:style>
  <w:style w:type="character" w:customStyle="1" w:styleId="PlainTextChar">
    <w:name w:val="Plain Text Char"/>
    <w:basedOn w:val="DefaultParagraphFont"/>
    <w:link w:val="PlainText"/>
    <w:uiPriority w:val="99"/>
    <w:semiHidden/>
    <w:rsid w:val="008F7985"/>
    <w:rPr>
      <w:rFonts w:ascii="Consolas" w:eastAsia="Times New Roman" w:hAnsi="Consolas" w:cs="Consolas"/>
      <w:sz w:val="21"/>
      <w:szCs w:val="21"/>
      <w:lang w:val="en-GB"/>
    </w:rPr>
  </w:style>
  <w:style w:type="paragraph" w:styleId="Quote">
    <w:name w:val="Quote"/>
    <w:basedOn w:val="Normal"/>
    <w:next w:val="Normal"/>
    <w:link w:val="QuoteChar"/>
    <w:uiPriority w:val="29"/>
    <w:semiHidden/>
    <w:rsid w:val="008F7985"/>
    <w:rPr>
      <w:i/>
      <w:iCs/>
      <w:color w:val="000000" w:themeColor="text1"/>
    </w:rPr>
  </w:style>
  <w:style w:type="character" w:customStyle="1" w:styleId="QuoteChar">
    <w:name w:val="Quote Char"/>
    <w:basedOn w:val="DefaultParagraphFont"/>
    <w:link w:val="Quote"/>
    <w:uiPriority w:val="29"/>
    <w:semiHidden/>
    <w:rsid w:val="008F7985"/>
    <w:rPr>
      <w:rFonts w:eastAsia="Times New Roman"/>
      <w:i/>
      <w:iCs/>
      <w:color w:val="000000" w:themeColor="text1"/>
      <w:lang w:val="en-GB"/>
    </w:rPr>
  </w:style>
  <w:style w:type="paragraph" w:styleId="Signature">
    <w:name w:val="Signature"/>
    <w:basedOn w:val="Normal"/>
    <w:link w:val="SignatureChar"/>
    <w:uiPriority w:val="99"/>
    <w:semiHidden/>
    <w:rsid w:val="008F7985"/>
    <w:pPr>
      <w:ind w:left="4320"/>
    </w:pPr>
  </w:style>
  <w:style w:type="character" w:customStyle="1" w:styleId="SignatureChar">
    <w:name w:val="Signature Char"/>
    <w:basedOn w:val="DefaultParagraphFont"/>
    <w:link w:val="Signature"/>
    <w:uiPriority w:val="99"/>
    <w:semiHidden/>
    <w:rsid w:val="008F7985"/>
    <w:rPr>
      <w:rFonts w:eastAsia="Times New Roman"/>
      <w:lang w:val="en-GB"/>
    </w:rPr>
  </w:style>
  <w:style w:type="character" w:styleId="Strong">
    <w:name w:val="Strong"/>
    <w:basedOn w:val="DefaultParagraphFont"/>
    <w:uiPriority w:val="22"/>
    <w:semiHidden/>
    <w:rsid w:val="008F7985"/>
    <w:rPr>
      <w:b/>
      <w:bCs/>
      <w:lang w:val="en-GB"/>
    </w:rPr>
  </w:style>
  <w:style w:type="paragraph" w:styleId="Subtitle">
    <w:name w:val="Subtitle"/>
    <w:basedOn w:val="Normal"/>
    <w:next w:val="Normal"/>
    <w:link w:val="SubtitleChar"/>
    <w:uiPriority w:val="11"/>
    <w:semiHidden/>
    <w:rsid w:val="008F7985"/>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semiHidden/>
    <w:rsid w:val="008F7985"/>
    <w:rPr>
      <w:rFonts w:asciiTheme="majorHAnsi" w:eastAsiaTheme="majorEastAsia" w:hAnsiTheme="majorHAnsi" w:cstheme="majorBidi"/>
      <w:i/>
      <w:iCs/>
      <w:color w:val="5B9BD5" w:themeColor="accent1"/>
      <w:spacing w:val="15"/>
      <w:lang w:val="en-GB"/>
    </w:rPr>
  </w:style>
  <w:style w:type="character" w:styleId="SubtleEmphasis">
    <w:name w:val="Subtle Emphasis"/>
    <w:basedOn w:val="DefaultParagraphFont"/>
    <w:uiPriority w:val="19"/>
    <w:semiHidden/>
    <w:rsid w:val="008F7985"/>
    <w:rPr>
      <w:i/>
      <w:iCs/>
      <w:color w:val="808080" w:themeColor="text1" w:themeTint="7F"/>
      <w:lang w:val="en-GB"/>
    </w:rPr>
  </w:style>
  <w:style w:type="character" w:styleId="SubtleReference">
    <w:name w:val="Subtle Reference"/>
    <w:basedOn w:val="DefaultParagraphFont"/>
    <w:uiPriority w:val="31"/>
    <w:semiHidden/>
    <w:rsid w:val="008F7985"/>
    <w:rPr>
      <w:smallCaps/>
      <w:color w:val="ED7D31" w:themeColor="accent2"/>
      <w:u w:val="single"/>
      <w:lang w:val="en-GB"/>
    </w:rPr>
  </w:style>
  <w:style w:type="table" w:styleId="Table3Deffects1">
    <w:name w:val="Table 3D effects 1"/>
    <w:basedOn w:val="TableNormal"/>
    <w:uiPriority w:val="99"/>
    <w:semiHidden/>
    <w:unhideWhenUsed/>
    <w:rsid w:val="008F7985"/>
    <w:rPr>
      <w:lang w:val="en-GB"/>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8F7985"/>
    <w:rPr>
      <w:lang w:val="en-GB"/>
    </w:r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8F7985"/>
    <w:rPr>
      <w:lang w:val="en-GB"/>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8F7985"/>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8F7985"/>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8F7985"/>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8F7985"/>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8F7985"/>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8F7985"/>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8F7985"/>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8F7985"/>
    <w:rPr>
      <w:b/>
      <w:bCs/>
      <w:lang w:val="en-GB"/>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8F7985"/>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8F7985"/>
    <w:rPr>
      <w:lang w:val="en-GB"/>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7985"/>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7985"/>
    <w:rPr>
      <w:lang w:val="en-GB"/>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8F7985"/>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8F7985"/>
    <w:rPr>
      <w:lang w:val="en-GB"/>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8F7985"/>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8F7985"/>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F7985"/>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F7985"/>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8F7985"/>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8F7985"/>
    <w:rPr>
      <w:lang w:val="en-GB"/>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8F7985"/>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F7985"/>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F7985"/>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uiPriority w:val="99"/>
    <w:semiHidden/>
    <w:rsid w:val="008F7985"/>
    <w:pPr>
      <w:ind w:left="240" w:hanging="240"/>
    </w:pPr>
  </w:style>
  <w:style w:type="paragraph" w:styleId="TableofFigures">
    <w:name w:val="table of figures"/>
    <w:basedOn w:val="Normal"/>
    <w:next w:val="Normal"/>
    <w:uiPriority w:val="99"/>
    <w:semiHidden/>
    <w:rsid w:val="008F7985"/>
  </w:style>
  <w:style w:type="table" w:styleId="TableProfessional">
    <w:name w:val="Table Professional"/>
    <w:basedOn w:val="TableNormal"/>
    <w:uiPriority w:val="99"/>
    <w:semiHidden/>
    <w:unhideWhenUsed/>
    <w:rsid w:val="008F7985"/>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8F7985"/>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F7985"/>
    <w:rPr>
      <w:lang w:val="en-GB"/>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8F7985"/>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8F7985"/>
    <w:rPr>
      <w:lang w:val="en-GB"/>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8F7985"/>
    <w:rPr>
      <w:lang w:val="en-GB"/>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8F798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7985"/>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8F7985"/>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8F7985"/>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itle">
    <w:name w:val="Title"/>
    <w:basedOn w:val="Normal"/>
    <w:next w:val="Normal"/>
    <w:link w:val="TitleChar"/>
    <w:uiPriority w:val="10"/>
    <w:semiHidden/>
    <w:rsid w:val="008F79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8F7985"/>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rsid w:val="008F7985"/>
    <w:pPr>
      <w:spacing w:before="480" w:after="0" w:line="240" w:lineRule="auto"/>
      <w:outlineLvl w:val="9"/>
    </w:pPr>
    <w:rPr>
      <w:rFonts w:asciiTheme="majorHAnsi" w:eastAsiaTheme="majorEastAsia" w:hAnsiTheme="majorHAnsi" w:cstheme="majorBidi"/>
      <w:bCs/>
      <w:caps w:val="0"/>
      <w:color w:val="2E74B5" w:themeColor="accent1" w:themeShade="BF"/>
      <w:sz w:val="28"/>
      <w:szCs w:val="28"/>
    </w:rPr>
  </w:style>
  <w:style w:type="character" w:customStyle="1" w:styleId="BoldEmphasis">
    <w:name w:val="Bold Emphasis"/>
    <w:basedOn w:val="DefaultParagraphFont"/>
    <w:qFormat/>
    <w:rsid w:val="007311C1"/>
    <w:rPr>
      <w:rFonts w:ascii="Times New Roman" w:hAnsi="Times New Roman"/>
      <w:b/>
      <w:i/>
      <w:sz w:val="24"/>
      <w:lang w:val="en-GB"/>
    </w:rPr>
  </w:style>
  <w:style w:type="paragraph" w:customStyle="1" w:styleId="MarginNo">
    <w:name w:val="MarginNo"/>
    <w:basedOn w:val="Normal"/>
    <w:link w:val="MarginNoChar"/>
    <w:qFormat/>
    <w:rsid w:val="00A00506"/>
    <w:pPr>
      <w:numPr>
        <w:numId w:val="3"/>
      </w:numPr>
      <w:spacing w:after="180" w:line="280" w:lineRule="atLeast"/>
      <w:jc w:val="both"/>
    </w:pPr>
    <w:rPr>
      <w:rFonts w:eastAsia="SimSun"/>
      <w:szCs w:val="20"/>
    </w:rPr>
  </w:style>
  <w:style w:type="character" w:customStyle="1" w:styleId="MarginNoChar">
    <w:name w:val="MarginNo Char"/>
    <w:link w:val="MarginNo"/>
    <w:rsid w:val="00A00506"/>
    <w:rPr>
      <w:rFonts w:eastAsia="SimSun"/>
      <w:szCs w:val="20"/>
      <w:lang w:val="en-GB"/>
    </w:rPr>
  </w:style>
  <w:style w:type="paragraph" w:customStyle="1" w:styleId="FWParties">
    <w:name w:val="FWParties"/>
    <w:basedOn w:val="Normal"/>
    <w:link w:val="FWPartiesChar"/>
    <w:qFormat/>
    <w:rsid w:val="001B66EA"/>
    <w:pPr>
      <w:numPr>
        <w:numId w:val="2"/>
      </w:numPr>
      <w:spacing w:after="180" w:line="280" w:lineRule="atLeast"/>
      <w:jc w:val="both"/>
      <w:outlineLvl w:val="0"/>
    </w:pPr>
    <w:rPr>
      <w:rFonts w:eastAsia="SimSun"/>
      <w:szCs w:val="20"/>
    </w:rPr>
  </w:style>
  <w:style w:type="character" w:customStyle="1" w:styleId="FWPartiesChar">
    <w:name w:val="FWParties Char"/>
    <w:link w:val="FWParties"/>
    <w:rsid w:val="001B66EA"/>
    <w:rPr>
      <w:rFonts w:eastAsia="SimSun"/>
      <w:szCs w:val="20"/>
      <w:lang w:val="en-GB"/>
    </w:rPr>
  </w:style>
  <w:style w:type="paragraph" w:styleId="ListParagraph">
    <w:name w:val="List Paragraph"/>
    <w:basedOn w:val="Normal"/>
    <w:uiPriority w:val="34"/>
    <w:semiHidden/>
    <w:rsid w:val="0003315D"/>
    <w:pPr>
      <w:ind w:left="720"/>
      <w:contextualSpacing/>
    </w:pPr>
  </w:style>
  <w:style w:type="paragraph" w:styleId="ListBullet5">
    <w:name w:val="List Bullet 5"/>
    <w:basedOn w:val="Normal"/>
    <w:unhideWhenUsed/>
    <w:rsid w:val="00CE1E62"/>
    <w:pPr>
      <w:numPr>
        <w:ilvl w:val="4"/>
        <w:numId w:val="4"/>
      </w:numPr>
      <w:contextualSpacing/>
    </w:pPr>
  </w:style>
  <w:style w:type="paragraph" w:styleId="ListBullet2">
    <w:name w:val="List Bullet 2"/>
    <w:basedOn w:val="Normal"/>
    <w:unhideWhenUsed/>
    <w:rsid w:val="00CE1E62"/>
    <w:pPr>
      <w:numPr>
        <w:ilvl w:val="1"/>
        <w:numId w:val="4"/>
      </w:numPr>
      <w:contextualSpacing/>
    </w:pPr>
  </w:style>
  <w:style w:type="paragraph" w:styleId="ListBullet3">
    <w:name w:val="List Bullet 3"/>
    <w:basedOn w:val="Normal"/>
    <w:unhideWhenUsed/>
    <w:rsid w:val="00CE1E62"/>
    <w:pPr>
      <w:numPr>
        <w:ilvl w:val="2"/>
        <w:numId w:val="4"/>
      </w:numPr>
      <w:contextualSpacing/>
    </w:pPr>
  </w:style>
  <w:style w:type="paragraph" w:styleId="ListBullet4">
    <w:name w:val="List Bullet 4"/>
    <w:basedOn w:val="Normal"/>
    <w:unhideWhenUsed/>
    <w:rsid w:val="00CE1E62"/>
    <w:pPr>
      <w:numPr>
        <w:ilvl w:val="3"/>
        <w:numId w:val="4"/>
      </w:numPr>
      <w:contextualSpacing/>
    </w:pPr>
  </w:style>
  <w:style w:type="paragraph" w:customStyle="1" w:styleId="ListBullet6">
    <w:name w:val="List Bullet 6"/>
    <w:basedOn w:val="Normal"/>
    <w:rsid w:val="00CE1E62"/>
    <w:pPr>
      <w:numPr>
        <w:ilvl w:val="5"/>
        <w:numId w:val="4"/>
      </w:numPr>
    </w:pPr>
  </w:style>
  <w:style w:type="paragraph" w:customStyle="1" w:styleId="ListBullet7">
    <w:name w:val="List Bullet 7"/>
    <w:basedOn w:val="Normal"/>
    <w:rsid w:val="00CE1E62"/>
    <w:pPr>
      <w:numPr>
        <w:ilvl w:val="6"/>
        <w:numId w:val="4"/>
      </w:numPr>
    </w:pPr>
  </w:style>
  <w:style w:type="paragraph" w:customStyle="1" w:styleId="ListBullet8">
    <w:name w:val="List Bullet 8"/>
    <w:basedOn w:val="Normal"/>
    <w:rsid w:val="00CE1E62"/>
    <w:pPr>
      <w:numPr>
        <w:ilvl w:val="7"/>
        <w:numId w:val="4"/>
      </w:numPr>
    </w:pPr>
  </w:style>
  <w:style w:type="paragraph" w:customStyle="1" w:styleId="ListBullet9">
    <w:name w:val="List Bullet 9"/>
    <w:basedOn w:val="Normal"/>
    <w:rsid w:val="00CE1E62"/>
    <w:pPr>
      <w:numPr>
        <w:ilvl w:val="8"/>
        <w:numId w:val="4"/>
      </w:numPr>
    </w:pPr>
  </w:style>
  <w:style w:type="paragraph" w:styleId="ListBullet">
    <w:name w:val="List Bullet"/>
    <w:basedOn w:val="Normal"/>
    <w:unhideWhenUsed/>
    <w:rsid w:val="00FA03EA"/>
    <w:pPr>
      <w:numPr>
        <w:numId w:val="4"/>
      </w:numPr>
      <w:contextualSpacing/>
    </w:pPr>
  </w:style>
  <w:style w:type="paragraph" w:customStyle="1" w:styleId="Randziffer">
    <w:name w:val="Randziffer"/>
    <w:basedOn w:val="Normal"/>
    <w:qFormat/>
    <w:rsid w:val="00F2487C"/>
    <w:pPr>
      <w:numPr>
        <w:numId w:val="5"/>
      </w:numPr>
      <w:spacing w:after="180" w:line="280" w:lineRule="atLeast"/>
    </w:pPr>
  </w:style>
  <w:style w:type="character" w:customStyle="1" w:styleId="cb">
    <w:name w:val="cb"/>
    <w:basedOn w:val="DefaultParagraphFont"/>
    <w:rsid w:val="00231A87"/>
  </w:style>
  <w:style w:type="character" w:customStyle="1" w:styleId="cc">
    <w:name w:val="cc"/>
    <w:basedOn w:val="DefaultParagraphFont"/>
    <w:rsid w:val="00231A87"/>
  </w:style>
  <w:style w:type="character" w:customStyle="1" w:styleId="cd">
    <w:name w:val="cd"/>
    <w:basedOn w:val="DefaultParagraphFont"/>
    <w:rsid w:val="00231A87"/>
  </w:style>
  <w:style w:type="paragraph" w:customStyle="1" w:styleId="MacPacTrailer">
    <w:name w:val="MacPac Trailer"/>
    <w:rsid w:val="00231A87"/>
    <w:pPr>
      <w:widowControl w:val="0"/>
      <w:spacing w:line="170" w:lineRule="exact"/>
    </w:pPr>
    <w:rPr>
      <w:rFonts w:eastAsia="Times New Roman"/>
      <w:sz w:val="14"/>
      <w:szCs w:val="22"/>
    </w:rPr>
  </w:style>
  <w:style w:type="paragraph" w:customStyle="1" w:styleId="a">
    <w:name w:val="a"/>
    <w:basedOn w:val="Normal"/>
    <w:rsid w:val="009C1E7E"/>
    <w:pPr>
      <w:spacing w:before="100" w:beforeAutospacing="1" w:after="100" w:afterAutospacing="1"/>
    </w:pPr>
    <w:rPr>
      <w:lang w:eastAsia="en-GB"/>
    </w:rPr>
  </w:style>
  <w:style w:type="character" w:customStyle="1" w:styleId="aw">
    <w:name w:val="aw"/>
    <w:basedOn w:val="DefaultParagraphFont"/>
    <w:rsid w:val="009C1E7E"/>
  </w:style>
  <w:style w:type="paragraph" w:customStyle="1" w:styleId="ba">
    <w:name w:val="ba"/>
    <w:basedOn w:val="Normal"/>
    <w:rsid w:val="009C1E7E"/>
    <w:pPr>
      <w:spacing w:before="100" w:beforeAutospacing="1" w:after="100" w:afterAutospacing="1"/>
    </w:pPr>
    <w:rPr>
      <w:lang w:eastAsia="en-GB"/>
    </w:rPr>
  </w:style>
  <w:style w:type="character" w:customStyle="1" w:styleId="t">
    <w:name w:val="t"/>
    <w:basedOn w:val="DefaultParagraphFont"/>
    <w:rsid w:val="009C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1871">
      <w:bodyDiv w:val="1"/>
      <w:marLeft w:val="0"/>
      <w:marRight w:val="0"/>
      <w:marTop w:val="0"/>
      <w:marBottom w:val="0"/>
      <w:divBdr>
        <w:top w:val="none" w:sz="0" w:space="0" w:color="auto"/>
        <w:left w:val="none" w:sz="0" w:space="0" w:color="auto"/>
        <w:bottom w:val="none" w:sz="0" w:space="0" w:color="auto"/>
        <w:right w:val="none" w:sz="0" w:space="0" w:color="auto"/>
      </w:divBdr>
    </w:div>
    <w:div w:id="178663081">
      <w:bodyDiv w:val="1"/>
      <w:marLeft w:val="0"/>
      <w:marRight w:val="0"/>
      <w:marTop w:val="0"/>
      <w:marBottom w:val="0"/>
      <w:divBdr>
        <w:top w:val="none" w:sz="0" w:space="0" w:color="auto"/>
        <w:left w:val="none" w:sz="0" w:space="0" w:color="auto"/>
        <w:bottom w:val="none" w:sz="0" w:space="0" w:color="auto"/>
        <w:right w:val="none" w:sz="0" w:space="0" w:color="auto"/>
      </w:divBdr>
    </w:div>
    <w:div w:id="863206939">
      <w:bodyDiv w:val="1"/>
      <w:marLeft w:val="0"/>
      <w:marRight w:val="0"/>
      <w:marTop w:val="0"/>
      <w:marBottom w:val="0"/>
      <w:divBdr>
        <w:top w:val="none" w:sz="0" w:space="0" w:color="auto"/>
        <w:left w:val="none" w:sz="0" w:space="0" w:color="auto"/>
        <w:bottom w:val="none" w:sz="0" w:space="0" w:color="auto"/>
        <w:right w:val="none" w:sz="0" w:space="0" w:color="auto"/>
      </w:divBdr>
    </w:div>
    <w:div w:id="1410957117">
      <w:bodyDiv w:val="1"/>
      <w:marLeft w:val="0"/>
      <w:marRight w:val="0"/>
      <w:marTop w:val="0"/>
      <w:marBottom w:val="0"/>
      <w:divBdr>
        <w:top w:val="none" w:sz="0" w:space="0" w:color="auto"/>
        <w:left w:val="none" w:sz="0" w:space="0" w:color="auto"/>
        <w:bottom w:val="none" w:sz="0" w:space="0" w:color="auto"/>
        <w:right w:val="none" w:sz="0" w:space="0" w:color="auto"/>
      </w:divBdr>
    </w:div>
    <w:div w:id="1497844263">
      <w:bodyDiv w:val="1"/>
      <w:marLeft w:val="0"/>
      <w:marRight w:val="0"/>
      <w:marTop w:val="0"/>
      <w:marBottom w:val="0"/>
      <w:divBdr>
        <w:top w:val="none" w:sz="0" w:space="0" w:color="auto"/>
        <w:left w:val="none" w:sz="0" w:space="0" w:color="auto"/>
        <w:bottom w:val="none" w:sz="0" w:space="0" w:color="auto"/>
        <w:right w:val="none" w:sz="0" w:space="0" w:color="auto"/>
      </w:divBdr>
    </w:div>
    <w:div w:id="183147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travelexper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odtravelexper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Blank_A4_Portrai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88AF-E6DD-4BF1-996D-CF41FC73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Blank_A4_Portrait</Template>
  <TotalTime>0</TotalTime>
  <Pages>3</Pages>
  <Words>856</Words>
  <Characters>4968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TS4/23859353/02/AZS/AZS</cp:keywords>
  <cp:lastModifiedBy/>
  <cp:revision>1</cp:revision>
  <dcterms:created xsi:type="dcterms:W3CDTF">2022-02-04T14:29:00Z</dcterms:created>
  <dcterms:modified xsi:type="dcterms:W3CDTF">2022-02-04T14:29:00Z</dcterms:modified>
</cp:coreProperties>
</file>