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A4" w14:textId="08B7C697" w:rsidR="00E5087D" w:rsidRPr="00E5087D" w:rsidRDefault="00E5087D" w:rsidP="00E5087D">
      <w:pPr>
        <w:rPr>
          <w:rFonts w:ascii="Arial" w:hAnsi="Arial" w:cs="Arial"/>
          <w:sz w:val="20"/>
          <w:szCs w:val="20"/>
        </w:rPr>
      </w:pPr>
      <w:r w:rsidRPr="00E5087D">
        <w:rPr>
          <w:rFonts w:ascii="Arial" w:hAnsi="Arial" w:cs="Arial"/>
          <w:sz w:val="20"/>
          <w:szCs w:val="20"/>
        </w:rPr>
        <w:t xml:space="preserve">Company Number: </w:t>
      </w:r>
      <w:r w:rsidR="004500C9" w:rsidRPr="004500C9">
        <w:rPr>
          <w:rFonts w:ascii="Arial" w:hAnsi="Arial" w:cs="Arial"/>
          <w:sz w:val="20"/>
          <w:szCs w:val="20"/>
        </w:rPr>
        <w:t>09899024</w:t>
      </w:r>
    </w:p>
    <w:p w14:paraId="6BFE9F54" w14:textId="77777777" w:rsidR="00E5087D" w:rsidRPr="00E5087D" w:rsidRDefault="00E5087D" w:rsidP="00E5087D">
      <w:pPr>
        <w:rPr>
          <w:rFonts w:ascii="Arial" w:hAnsi="Arial" w:cs="Arial"/>
          <w:sz w:val="20"/>
          <w:szCs w:val="20"/>
        </w:rPr>
      </w:pPr>
    </w:p>
    <w:p w14:paraId="22334C6C"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THE COMPANIES ACT 2006</w:t>
      </w:r>
    </w:p>
    <w:p w14:paraId="25078083"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PUBLIC COMPANY LIMITED BY SHARES</w:t>
      </w:r>
    </w:p>
    <w:p w14:paraId="2BD9DAB0" w14:textId="77777777" w:rsidR="00E5087D" w:rsidRPr="00E5087D" w:rsidRDefault="00E5087D" w:rsidP="00E5087D">
      <w:pPr>
        <w:jc w:val="center"/>
        <w:rPr>
          <w:rFonts w:ascii="Arial" w:hAnsi="Arial" w:cs="Arial"/>
          <w:b/>
          <w:sz w:val="20"/>
          <w:szCs w:val="20"/>
        </w:rPr>
      </w:pPr>
    </w:p>
    <w:p w14:paraId="5FA75526"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 xml:space="preserve">NOTICE OF RESOLUTIONS OF </w:t>
      </w:r>
    </w:p>
    <w:p w14:paraId="317A6A06" w14:textId="1DA09561" w:rsidR="00E5087D" w:rsidRPr="00E5087D" w:rsidRDefault="004500C9" w:rsidP="00E5087D">
      <w:pPr>
        <w:jc w:val="center"/>
        <w:rPr>
          <w:rFonts w:ascii="Arial" w:hAnsi="Arial" w:cs="Arial"/>
          <w:b/>
          <w:sz w:val="20"/>
          <w:szCs w:val="20"/>
        </w:rPr>
      </w:pPr>
      <w:r>
        <w:rPr>
          <w:rFonts w:ascii="Arial" w:hAnsi="Arial" w:cs="Arial"/>
          <w:b/>
          <w:sz w:val="20"/>
          <w:szCs w:val="20"/>
        </w:rPr>
        <w:t>HONEYCOMB INVESTMENT TRUST PLC</w:t>
      </w:r>
    </w:p>
    <w:p w14:paraId="40422C24" w14:textId="77777777" w:rsidR="00E5087D" w:rsidRPr="00E5087D" w:rsidRDefault="00E5087D" w:rsidP="00E5087D">
      <w:pPr>
        <w:jc w:val="center"/>
        <w:rPr>
          <w:rFonts w:ascii="Arial" w:hAnsi="Arial" w:cs="Arial"/>
          <w:b/>
          <w:sz w:val="20"/>
          <w:szCs w:val="20"/>
        </w:rPr>
      </w:pPr>
      <w:r w:rsidRPr="00E5087D">
        <w:rPr>
          <w:rFonts w:ascii="Arial" w:hAnsi="Arial" w:cs="Arial"/>
          <w:b/>
          <w:sz w:val="20"/>
          <w:szCs w:val="20"/>
        </w:rPr>
        <w:t>(the “Company”)</w:t>
      </w:r>
    </w:p>
    <w:p w14:paraId="45A43140" w14:textId="77777777" w:rsidR="00E5087D" w:rsidRPr="00E5087D" w:rsidRDefault="00E5087D" w:rsidP="00E5087D">
      <w:pPr>
        <w:jc w:val="center"/>
        <w:rPr>
          <w:rFonts w:ascii="Arial" w:hAnsi="Arial" w:cs="Arial"/>
          <w:b/>
          <w:sz w:val="20"/>
          <w:szCs w:val="20"/>
        </w:rPr>
      </w:pPr>
    </w:p>
    <w:p w14:paraId="47024BBA" w14:textId="1A94B405" w:rsidR="00E5087D" w:rsidRPr="00E5087D" w:rsidRDefault="00E5087D" w:rsidP="00E5087D">
      <w:pPr>
        <w:jc w:val="center"/>
        <w:rPr>
          <w:rFonts w:ascii="Arial" w:hAnsi="Arial" w:cs="Arial"/>
          <w:b/>
          <w:sz w:val="20"/>
          <w:szCs w:val="20"/>
        </w:rPr>
      </w:pPr>
      <w:r w:rsidRPr="00E5087D">
        <w:rPr>
          <w:rFonts w:ascii="Arial" w:hAnsi="Arial" w:cs="Arial"/>
          <w:b/>
          <w:sz w:val="20"/>
          <w:szCs w:val="20"/>
        </w:rPr>
        <w:t xml:space="preserve">PASSED ON </w:t>
      </w:r>
      <w:r w:rsidR="00A32F4C">
        <w:rPr>
          <w:rFonts w:ascii="Arial" w:hAnsi="Arial" w:cs="Arial"/>
          <w:b/>
          <w:sz w:val="20"/>
          <w:szCs w:val="20"/>
        </w:rPr>
        <w:t>22 JUNE 2022</w:t>
      </w:r>
    </w:p>
    <w:p w14:paraId="3E1FF27E" w14:textId="77777777" w:rsidR="00E5087D" w:rsidRPr="00E5087D" w:rsidRDefault="00E5087D" w:rsidP="00E5087D">
      <w:pPr>
        <w:rPr>
          <w:rFonts w:ascii="Arial" w:hAnsi="Arial" w:cs="Arial"/>
          <w:sz w:val="20"/>
          <w:szCs w:val="20"/>
        </w:rPr>
      </w:pPr>
    </w:p>
    <w:p w14:paraId="609605F2" w14:textId="77777777" w:rsidR="00180A35" w:rsidRPr="00FC789B" w:rsidRDefault="00E5087D" w:rsidP="00180A35">
      <w:pPr>
        <w:jc w:val="both"/>
        <w:rPr>
          <w:rFonts w:ascii="Arial" w:eastAsia="Times New Roman" w:hAnsi="Arial" w:cs="Arial"/>
          <w:sz w:val="20"/>
          <w:szCs w:val="20"/>
          <w:lang w:eastAsia="en-GB"/>
        </w:rPr>
      </w:pPr>
      <w:r w:rsidRPr="00FC789B">
        <w:rPr>
          <w:rFonts w:ascii="Arial" w:eastAsia="Times New Roman" w:hAnsi="Arial" w:cs="Arial"/>
          <w:sz w:val="20"/>
          <w:szCs w:val="20"/>
          <w:lang w:eastAsia="en-GB"/>
        </w:rPr>
        <w:t xml:space="preserve">At the Annual General Meeting of the Company duly convened and held at </w:t>
      </w:r>
      <w:r w:rsidR="00A32F4C" w:rsidRPr="00FC789B">
        <w:rPr>
          <w:rFonts w:ascii="Arial" w:eastAsia="Times New Roman" w:hAnsi="Arial" w:cs="Arial"/>
          <w:sz w:val="20"/>
          <w:szCs w:val="20"/>
          <w:lang w:eastAsia="en-GB"/>
        </w:rPr>
        <w:t>11.30am</w:t>
      </w:r>
      <w:r w:rsidRPr="00FC789B">
        <w:rPr>
          <w:rFonts w:ascii="Arial" w:eastAsia="Times New Roman" w:hAnsi="Arial" w:cs="Arial"/>
          <w:sz w:val="20"/>
          <w:szCs w:val="20"/>
          <w:lang w:eastAsia="en-GB"/>
        </w:rPr>
        <w:t xml:space="preserve"> on </w:t>
      </w:r>
      <w:r w:rsidR="00A32F4C" w:rsidRPr="00FC789B">
        <w:rPr>
          <w:rFonts w:ascii="Arial" w:eastAsia="Times New Roman" w:hAnsi="Arial" w:cs="Arial"/>
          <w:sz w:val="20"/>
          <w:szCs w:val="20"/>
          <w:lang w:eastAsia="en-GB"/>
        </w:rPr>
        <w:t xml:space="preserve">22 </w:t>
      </w:r>
      <w:r w:rsidRPr="00FC789B">
        <w:rPr>
          <w:rFonts w:ascii="Arial" w:eastAsia="Times New Roman" w:hAnsi="Arial" w:cs="Arial"/>
          <w:sz w:val="20"/>
          <w:szCs w:val="20"/>
          <w:lang w:eastAsia="en-GB"/>
        </w:rPr>
        <w:t>June 20</w:t>
      </w:r>
      <w:r w:rsidR="00C23129" w:rsidRPr="00FC789B">
        <w:rPr>
          <w:rFonts w:ascii="Arial" w:eastAsia="Times New Roman" w:hAnsi="Arial" w:cs="Arial"/>
          <w:sz w:val="20"/>
          <w:szCs w:val="20"/>
          <w:lang w:eastAsia="en-GB"/>
        </w:rPr>
        <w:t>2</w:t>
      </w:r>
      <w:r w:rsidR="00A32F4C" w:rsidRPr="00FC789B">
        <w:rPr>
          <w:rFonts w:ascii="Arial" w:eastAsia="Times New Roman" w:hAnsi="Arial" w:cs="Arial"/>
          <w:sz w:val="20"/>
          <w:szCs w:val="20"/>
          <w:lang w:eastAsia="en-GB"/>
        </w:rPr>
        <w:t>2</w:t>
      </w:r>
      <w:r w:rsidRPr="00FC789B">
        <w:rPr>
          <w:rFonts w:ascii="Arial" w:eastAsia="Times New Roman" w:hAnsi="Arial" w:cs="Arial"/>
          <w:sz w:val="20"/>
          <w:szCs w:val="20"/>
          <w:lang w:eastAsia="en-GB"/>
        </w:rPr>
        <w:t xml:space="preserve"> at </w:t>
      </w:r>
      <w:r w:rsidR="00A32F4C" w:rsidRPr="00FC789B">
        <w:rPr>
          <w:rFonts w:ascii="Arial" w:eastAsia="Times New Roman" w:hAnsi="Arial" w:cs="Arial"/>
          <w:color w:val="000000"/>
          <w:sz w:val="20"/>
          <w:szCs w:val="24"/>
          <w:lang w:val="en-GB"/>
        </w:rPr>
        <w:t>the offices of Slaughter and May</w:t>
      </w:r>
      <w:r w:rsidRPr="00FC789B">
        <w:rPr>
          <w:rFonts w:ascii="Arial" w:eastAsia="Times New Roman" w:hAnsi="Arial" w:cs="Arial"/>
          <w:sz w:val="20"/>
          <w:szCs w:val="20"/>
          <w:lang w:eastAsia="en-GB"/>
        </w:rPr>
        <w:t xml:space="preserve">, </w:t>
      </w:r>
      <w:r w:rsidR="00A32F4C" w:rsidRPr="00FC789B">
        <w:rPr>
          <w:rFonts w:ascii="Arial" w:eastAsia="Times New Roman" w:hAnsi="Arial" w:cs="Arial"/>
          <w:sz w:val="20"/>
          <w:szCs w:val="20"/>
          <w:lang w:eastAsia="en-GB"/>
        </w:rPr>
        <w:t xml:space="preserve">One Bunhill Row, London EC1Y 8YY, </w:t>
      </w:r>
      <w:r w:rsidRPr="00FC789B">
        <w:rPr>
          <w:rFonts w:ascii="Arial" w:eastAsia="Times New Roman" w:hAnsi="Arial" w:cs="Arial"/>
          <w:sz w:val="20"/>
          <w:szCs w:val="20"/>
          <w:lang w:eastAsia="en-GB"/>
        </w:rPr>
        <w:t xml:space="preserve">the following Resolutions were duly passed: - </w:t>
      </w:r>
    </w:p>
    <w:p w14:paraId="1B59964D" w14:textId="77777777" w:rsidR="00180A35" w:rsidRPr="00FC789B" w:rsidRDefault="00180A35" w:rsidP="00180A35">
      <w:pPr>
        <w:jc w:val="both"/>
        <w:rPr>
          <w:rFonts w:ascii="Arial" w:eastAsia="Times New Roman" w:hAnsi="Arial" w:cs="Arial"/>
          <w:sz w:val="20"/>
          <w:szCs w:val="20"/>
          <w:lang w:eastAsia="en-GB"/>
        </w:rPr>
      </w:pPr>
    </w:p>
    <w:p w14:paraId="614BE370" w14:textId="766EFFD5" w:rsidR="00180A35" w:rsidRPr="00FC789B" w:rsidRDefault="00180A35" w:rsidP="00180A35">
      <w:pPr>
        <w:jc w:val="both"/>
        <w:rPr>
          <w:rFonts w:ascii="Arial" w:eastAsia="Times New Roman" w:hAnsi="Arial" w:cs="Arial"/>
          <w:sz w:val="20"/>
          <w:szCs w:val="20"/>
          <w:lang w:eastAsia="en-GB"/>
        </w:rPr>
      </w:pPr>
      <w:r w:rsidRPr="00FC789B">
        <w:rPr>
          <w:rFonts w:ascii="Arial" w:eastAsia="Arial" w:hAnsi="Arial" w:cs="Arial"/>
          <w:b/>
          <w:color w:val="000000"/>
          <w:spacing w:val="-1"/>
          <w:sz w:val="20"/>
        </w:rPr>
        <w:t>Ordinary Resolutions</w:t>
      </w:r>
    </w:p>
    <w:p w14:paraId="4D967501" w14:textId="3AC23F59" w:rsidR="00180A35" w:rsidRPr="00FC789B" w:rsidRDefault="00180A35" w:rsidP="00FC789B">
      <w:pPr>
        <w:pStyle w:val="ListParagraph"/>
        <w:numPr>
          <w:ilvl w:val="0"/>
          <w:numId w:val="29"/>
        </w:numPr>
        <w:tabs>
          <w:tab w:val="left" w:pos="432"/>
        </w:tabs>
        <w:spacing w:before="226" w:line="240" w:lineRule="exact"/>
        <w:jc w:val="both"/>
        <w:textAlignment w:val="baseline"/>
        <w:rPr>
          <w:rFonts w:ascii="Arial" w:eastAsia="Arial" w:hAnsi="Arial" w:cs="Arial"/>
          <w:color w:val="000000"/>
          <w:spacing w:val="-4"/>
          <w:sz w:val="20"/>
        </w:rPr>
      </w:pPr>
      <w:r w:rsidRPr="00FC789B">
        <w:rPr>
          <w:rFonts w:ascii="Arial" w:eastAsia="Arial" w:hAnsi="Arial" w:cs="Arial"/>
          <w:color w:val="000000"/>
          <w:spacing w:val="-4"/>
          <w:sz w:val="20"/>
        </w:rPr>
        <w:t>THAT the Directors be generally and unconditionally authorised, in addition to all subsisting authorities, to exercise all the powers of the Company to allot ordinary shares of £0.01 each in the capital of the Company (“</w:t>
      </w:r>
      <w:r w:rsidRPr="00FC789B">
        <w:rPr>
          <w:rFonts w:ascii="Arial" w:eastAsia="Arial" w:hAnsi="Arial" w:cs="Arial"/>
          <w:b/>
          <w:color w:val="000000"/>
          <w:spacing w:val="-4"/>
          <w:sz w:val="20"/>
        </w:rPr>
        <w:t>Ordinary Shares</w:t>
      </w:r>
      <w:r w:rsidRPr="00FC789B">
        <w:rPr>
          <w:rFonts w:ascii="Arial" w:eastAsia="Arial" w:hAnsi="Arial" w:cs="Arial"/>
          <w:color w:val="000000"/>
          <w:spacing w:val="-4"/>
          <w:sz w:val="20"/>
        </w:rPr>
        <w:t>”), and to grant rights to subscribe for or to convert any security into Ordinary Shares for any purpose, up to an aggregate nominal amount of £34,973.43 such authority to apply until the end of next year’s annual general meeting (or, if earlier, until the close of business on 31 August 2023) but, in each case, during this period the Company may make offers and enter into agreements which would, or might, require Ordinary Shares to be allotted or rights to subscribe for or convert securities into Ordinary Shares to be granted after the authority ends and the Board may allot Ordinary Shares or grant rights to subscribe for or convert securities into Ordinary Shares under any such offer or agreement as if the authority had not ended.</w:t>
      </w:r>
    </w:p>
    <w:p w14:paraId="49050DA0" w14:textId="77777777" w:rsidR="00FC789B" w:rsidRPr="00FC789B" w:rsidRDefault="00FC789B" w:rsidP="00FC789B">
      <w:pPr>
        <w:pStyle w:val="ListParagraph"/>
        <w:tabs>
          <w:tab w:val="left" w:pos="432"/>
        </w:tabs>
        <w:spacing w:before="226" w:line="240" w:lineRule="exact"/>
        <w:jc w:val="both"/>
        <w:textAlignment w:val="baseline"/>
        <w:rPr>
          <w:rFonts w:ascii="Arial" w:eastAsia="Arial" w:hAnsi="Arial" w:cs="Arial"/>
          <w:color w:val="000000"/>
          <w:spacing w:val="-4"/>
          <w:sz w:val="20"/>
        </w:rPr>
      </w:pPr>
    </w:p>
    <w:p w14:paraId="76DCCFB5" w14:textId="7B179881" w:rsidR="00180A35" w:rsidRPr="00FC789B" w:rsidRDefault="00180A35" w:rsidP="00FC789B">
      <w:pPr>
        <w:pStyle w:val="ListParagraph"/>
        <w:numPr>
          <w:ilvl w:val="0"/>
          <w:numId w:val="29"/>
        </w:numPr>
        <w:tabs>
          <w:tab w:val="left" w:pos="432"/>
        </w:tabs>
        <w:spacing w:before="230" w:line="240" w:lineRule="exact"/>
        <w:jc w:val="both"/>
        <w:textAlignment w:val="baseline"/>
        <w:rPr>
          <w:rFonts w:ascii="Arial" w:eastAsia="Arial" w:hAnsi="Arial" w:cs="Arial"/>
          <w:color w:val="000000"/>
          <w:spacing w:val="-7"/>
          <w:sz w:val="20"/>
        </w:rPr>
      </w:pPr>
      <w:r w:rsidRPr="00FC789B">
        <w:rPr>
          <w:rFonts w:ascii="Arial" w:eastAsia="Arial" w:hAnsi="Arial" w:cs="Arial"/>
          <w:color w:val="000000"/>
          <w:spacing w:val="-7"/>
          <w:sz w:val="20"/>
        </w:rPr>
        <w:t>THAT, in addition to all subsisting authorities (including any authority granted pursuant to Resolution 10), the Directors be generally and unconditionally authorised to exercise all the powers of the Company to allot Ordinary Shares, and to grant rights to subscribe for or to convert any security into Ordinary Shares for any purpose, up to an aggregate nominal amount of £34,973.43, such authority to apply until the end of next year’s annual general meeting (or, if earlier, until the close of business on 31 August 2023), but, in each case, during this period the Company may make offers and enter into agreements which would, or might, require Ordinary Shares to be allotted or rights to subscribe for or convert securities into Ordinary Shares to be granted after the authority ends and the Board may allot Ordinary Shares or grant rights to subscribe for or convert securities into Ordinary Shares under any such offer or agreement as if the authority had not ended.</w:t>
      </w:r>
    </w:p>
    <w:p w14:paraId="14B5FB34" w14:textId="77777777" w:rsidR="00180A35" w:rsidRPr="00FC789B" w:rsidRDefault="00180A35" w:rsidP="00180A35">
      <w:pPr>
        <w:spacing w:before="467" w:line="226" w:lineRule="exact"/>
        <w:textAlignment w:val="baseline"/>
        <w:rPr>
          <w:rFonts w:ascii="Arial" w:eastAsia="Arial" w:hAnsi="Arial" w:cs="Arial"/>
          <w:b/>
          <w:color w:val="000000"/>
          <w:sz w:val="20"/>
        </w:rPr>
      </w:pPr>
      <w:r w:rsidRPr="00FC789B">
        <w:rPr>
          <w:rFonts w:ascii="Arial" w:eastAsia="Arial" w:hAnsi="Arial" w:cs="Arial"/>
          <w:b/>
          <w:color w:val="000000"/>
          <w:sz w:val="20"/>
        </w:rPr>
        <w:t>Special Resolutions</w:t>
      </w:r>
    </w:p>
    <w:p w14:paraId="2472AAE5" w14:textId="77777777" w:rsidR="00180A35" w:rsidRPr="00FC789B" w:rsidRDefault="00180A35" w:rsidP="00180A35">
      <w:pPr>
        <w:numPr>
          <w:ilvl w:val="0"/>
          <w:numId w:val="27"/>
        </w:numPr>
        <w:spacing w:before="56" w:line="240" w:lineRule="exact"/>
        <w:ind w:left="432" w:hanging="432"/>
        <w:jc w:val="both"/>
        <w:textAlignment w:val="baseline"/>
        <w:rPr>
          <w:rFonts w:ascii="Arial" w:eastAsia="Arial" w:hAnsi="Arial" w:cs="Arial"/>
          <w:color w:val="000000"/>
          <w:spacing w:val="-5"/>
          <w:sz w:val="20"/>
        </w:rPr>
      </w:pPr>
      <w:r w:rsidRPr="00FC789B">
        <w:rPr>
          <w:rFonts w:ascii="Arial" w:eastAsia="Arial" w:hAnsi="Arial" w:cs="Arial"/>
          <w:color w:val="000000"/>
          <w:spacing w:val="-5"/>
          <w:sz w:val="20"/>
        </w:rPr>
        <w:t>THAT, if Resolution 10 is passed, the Directors be given power, in addition to all subsisting powers, to allot Ordinary Shares under the authority given by that resolution and/or to sell Ordinary Shares held by the Company as treasury shares as if section 561 of the Companies Act 2006 (the “</w:t>
      </w:r>
      <w:r w:rsidRPr="00FC789B">
        <w:rPr>
          <w:rFonts w:ascii="Arial" w:eastAsia="Arial" w:hAnsi="Arial" w:cs="Arial"/>
          <w:b/>
          <w:color w:val="000000"/>
          <w:spacing w:val="-5"/>
          <w:sz w:val="20"/>
        </w:rPr>
        <w:t>Act</w:t>
      </w:r>
      <w:r w:rsidRPr="00FC789B">
        <w:rPr>
          <w:rFonts w:ascii="Arial" w:eastAsia="Arial" w:hAnsi="Arial" w:cs="Arial"/>
          <w:color w:val="000000"/>
          <w:spacing w:val="-5"/>
          <w:sz w:val="20"/>
        </w:rPr>
        <w:t>”) did not apply to any such allotment or sale, up to an aggregate nominal amount of £34,973.43, provided that in the case of any Ordinary Shares allotted the issue price is no lower than the latest published net asset value per Ordinary Share (as calculated in accordance with the Company’s policies existing from time to time), such power to apply until the end of next year’s annual general meeting (or, if earlier, until the close of business on 31 August 2023), but, in each case, during this period the Company may make offers, and enter into agreements, which would, or might, require Ordinary Shares to be allotted (or treasury shares to be sold) after the power ends and the Directors may allot Ordinary Shares (and sell treasury shares) under any such offer or agreement as if the power had not ended.</w:t>
      </w:r>
    </w:p>
    <w:p w14:paraId="5E12E516" w14:textId="77777777" w:rsidR="00180A35" w:rsidRPr="00FC789B" w:rsidRDefault="00180A35" w:rsidP="00180A35">
      <w:pPr>
        <w:numPr>
          <w:ilvl w:val="0"/>
          <w:numId w:val="27"/>
        </w:numPr>
        <w:spacing w:before="225" w:line="240" w:lineRule="exact"/>
        <w:ind w:left="432" w:hanging="432"/>
        <w:jc w:val="both"/>
        <w:textAlignment w:val="baseline"/>
        <w:rPr>
          <w:rFonts w:ascii="Arial" w:eastAsia="Arial" w:hAnsi="Arial" w:cs="Arial"/>
          <w:color w:val="000000"/>
          <w:spacing w:val="-4"/>
          <w:sz w:val="20"/>
        </w:rPr>
      </w:pPr>
      <w:r w:rsidRPr="00FC789B">
        <w:rPr>
          <w:rFonts w:ascii="Arial" w:eastAsia="Arial" w:hAnsi="Arial" w:cs="Arial"/>
          <w:color w:val="000000"/>
          <w:spacing w:val="-4"/>
          <w:sz w:val="20"/>
        </w:rPr>
        <w:t xml:space="preserve">THAT, if Resolution 11 is passed, the Directors be given power, in addition to all subsisting powers (including any powers granted pursuant to Resolution 12), to allot Ordinary Shares and/or to sell Ordinary Shares held by the Company as treasury shares as if section 561 of the Act did not apply to any such allotment or sale, up to an aggregate nominal amount of £34,973.43, provided that in the case of any Ordinary Shares allotted the issue price is no lower than the latest published net asset value per </w:t>
      </w:r>
      <w:r w:rsidRPr="00FC789B">
        <w:rPr>
          <w:rFonts w:ascii="Arial" w:eastAsia="Arial" w:hAnsi="Arial" w:cs="Arial"/>
          <w:color w:val="000000"/>
          <w:spacing w:val="-4"/>
          <w:sz w:val="20"/>
        </w:rPr>
        <w:lastRenderedPageBreak/>
        <w:t>Ordinary Share (as calculated in accordance with the Company’s policies existing from time to time), such power to apply until the end of next year’s annual general meeting (or, if earlier, until the close of business on 31 August 2023), but, in each case, during this period the Company may make offers, and enter into agreements, which would, or might, require Ordinary Shares to be allotted (or treasury shares to be sold) after the power ends and the Directors may allot Ordinary Shares (and sell treasury shares) under any such offer or agreement as if the power had not ended.</w:t>
      </w:r>
    </w:p>
    <w:p w14:paraId="15EB6B4A" w14:textId="77777777" w:rsidR="00180A35" w:rsidRPr="00FC789B" w:rsidRDefault="00180A35" w:rsidP="00180A35">
      <w:pPr>
        <w:numPr>
          <w:ilvl w:val="0"/>
          <w:numId w:val="27"/>
        </w:numPr>
        <w:spacing w:before="231" w:line="240" w:lineRule="exact"/>
        <w:ind w:left="432" w:hanging="432"/>
        <w:jc w:val="both"/>
        <w:textAlignment w:val="baseline"/>
        <w:rPr>
          <w:rFonts w:ascii="Arial" w:eastAsia="Arial" w:hAnsi="Arial" w:cs="Arial"/>
          <w:color w:val="000000"/>
          <w:sz w:val="20"/>
        </w:rPr>
      </w:pPr>
      <w:r w:rsidRPr="00FC789B">
        <w:rPr>
          <w:rFonts w:ascii="Arial" w:eastAsia="Arial" w:hAnsi="Arial" w:cs="Arial"/>
          <w:color w:val="000000"/>
          <w:sz w:val="20"/>
        </w:rPr>
        <w:t>THAT the Company be and is hereby generally and unconditionally authorised pursuant to section 701 of the Act to make one or more market purchases (as defined in section 693 of that Act) of Ordinary Shares on such terms and in such manner as the Directors may determine from time to time, provided that:</w:t>
      </w:r>
    </w:p>
    <w:p w14:paraId="037FB7C0" w14:textId="77777777" w:rsidR="00180A35" w:rsidRPr="00FC789B" w:rsidRDefault="00180A35" w:rsidP="00180A35">
      <w:pPr>
        <w:numPr>
          <w:ilvl w:val="0"/>
          <w:numId w:val="28"/>
        </w:numPr>
        <w:tabs>
          <w:tab w:val="clear" w:pos="504"/>
          <w:tab w:val="left" w:pos="936"/>
        </w:tabs>
        <w:spacing w:before="110" w:line="240" w:lineRule="exact"/>
        <w:ind w:left="936" w:hanging="504"/>
        <w:jc w:val="both"/>
        <w:textAlignment w:val="baseline"/>
        <w:rPr>
          <w:rFonts w:ascii="Arial" w:eastAsia="Arial" w:hAnsi="Arial" w:cs="Arial"/>
          <w:color w:val="000000"/>
          <w:sz w:val="20"/>
        </w:rPr>
      </w:pPr>
      <w:r w:rsidRPr="00FC789B">
        <w:rPr>
          <w:rFonts w:ascii="Arial" w:eastAsia="Arial" w:hAnsi="Arial" w:cs="Arial"/>
          <w:color w:val="000000"/>
          <w:sz w:val="20"/>
        </w:rPr>
        <w:t xml:space="preserve">the maximum aggregate number of Ordinary Shares that may be acquired under this authority is </w:t>
      </w:r>
      <w:proofErr w:type="gramStart"/>
      <w:r w:rsidRPr="00FC789B">
        <w:rPr>
          <w:rFonts w:ascii="Arial" w:eastAsia="Arial" w:hAnsi="Arial" w:cs="Arial"/>
          <w:color w:val="000000"/>
          <w:sz w:val="20"/>
        </w:rPr>
        <w:t>5,242,517;</w:t>
      </w:r>
      <w:proofErr w:type="gramEnd"/>
    </w:p>
    <w:p w14:paraId="55B8E743" w14:textId="77777777" w:rsidR="00180A35" w:rsidRPr="00FC789B" w:rsidRDefault="00180A35" w:rsidP="00180A35">
      <w:pPr>
        <w:numPr>
          <w:ilvl w:val="0"/>
          <w:numId w:val="28"/>
        </w:numPr>
        <w:tabs>
          <w:tab w:val="clear" w:pos="504"/>
          <w:tab w:val="left" w:pos="936"/>
        </w:tabs>
        <w:spacing w:before="115" w:line="240" w:lineRule="exact"/>
        <w:ind w:left="936" w:hanging="504"/>
        <w:jc w:val="both"/>
        <w:textAlignment w:val="baseline"/>
        <w:rPr>
          <w:rFonts w:ascii="Arial" w:eastAsia="Arial" w:hAnsi="Arial" w:cs="Arial"/>
          <w:color w:val="000000"/>
          <w:sz w:val="20"/>
        </w:rPr>
      </w:pPr>
      <w:r w:rsidRPr="00FC789B">
        <w:rPr>
          <w:rFonts w:ascii="Arial" w:eastAsia="Arial" w:hAnsi="Arial" w:cs="Arial"/>
          <w:color w:val="000000"/>
          <w:sz w:val="20"/>
        </w:rPr>
        <w:t xml:space="preserve">the minimum price (exclusive of expenses) which may be paid for each Ordinary Share is its nominal </w:t>
      </w:r>
      <w:proofErr w:type="gramStart"/>
      <w:r w:rsidRPr="00FC789B">
        <w:rPr>
          <w:rFonts w:ascii="Arial" w:eastAsia="Arial" w:hAnsi="Arial" w:cs="Arial"/>
          <w:color w:val="000000"/>
          <w:sz w:val="20"/>
        </w:rPr>
        <w:t>value;</w:t>
      </w:r>
      <w:proofErr w:type="gramEnd"/>
    </w:p>
    <w:p w14:paraId="318CDD1E" w14:textId="77777777" w:rsidR="00180A35" w:rsidRPr="00FC789B" w:rsidRDefault="00180A35" w:rsidP="00180A35">
      <w:pPr>
        <w:numPr>
          <w:ilvl w:val="0"/>
          <w:numId w:val="28"/>
        </w:numPr>
        <w:tabs>
          <w:tab w:val="clear" w:pos="504"/>
          <w:tab w:val="left" w:pos="936"/>
        </w:tabs>
        <w:spacing w:before="111" w:line="240" w:lineRule="exact"/>
        <w:ind w:left="936" w:hanging="504"/>
        <w:jc w:val="both"/>
        <w:textAlignment w:val="baseline"/>
        <w:rPr>
          <w:rFonts w:ascii="Arial" w:eastAsia="Arial" w:hAnsi="Arial" w:cs="Arial"/>
          <w:color w:val="000000"/>
          <w:spacing w:val="-5"/>
          <w:sz w:val="20"/>
        </w:rPr>
      </w:pPr>
      <w:r w:rsidRPr="00FC789B">
        <w:rPr>
          <w:rFonts w:ascii="Arial" w:eastAsia="Arial" w:hAnsi="Arial" w:cs="Arial"/>
          <w:color w:val="000000"/>
          <w:spacing w:val="-5"/>
          <w:sz w:val="20"/>
        </w:rPr>
        <w:t>the maximum price (exclusive of expenses) which may be paid for each Ordinary Share is the higher of: (i) an amount equal to 105 per cent. of the average of the mid-market values for the Ordinary Shares for the five business days immediately preceding the day on which the Company contracts to purchase the Ordinary Share; and (ii) an amount equal to the higher of the price of the last independent trade of an Ordinary Share and the highest current independent purchase bid at the time on the trading venue on which the purchase is carried out; and</w:t>
      </w:r>
    </w:p>
    <w:p w14:paraId="040B9155" w14:textId="77777777" w:rsidR="00180A35" w:rsidRPr="00FC789B" w:rsidRDefault="00180A35" w:rsidP="00180A35">
      <w:pPr>
        <w:numPr>
          <w:ilvl w:val="0"/>
          <w:numId w:val="28"/>
        </w:numPr>
        <w:tabs>
          <w:tab w:val="clear" w:pos="504"/>
          <w:tab w:val="left" w:pos="936"/>
        </w:tabs>
        <w:spacing w:before="115" w:line="240" w:lineRule="exact"/>
        <w:ind w:left="936" w:hanging="504"/>
        <w:jc w:val="both"/>
        <w:textAlignment w:val="baseline"/>
        <w:rPr>
          <w:rFonts w:ascii="Arial" w:eastAsia="Arial" w:hAnsi="Arial" w:cs="Arial"/>
          <w:color w:val="000000"/>
          <w:spacing w:val="-4"/>
          <w:sz w:val="20"/>
        </w:rPr>
      </w:pPr>
      <w:r w:rsidRPr="00FC789B">
        <w:rPr>
          <w:rFonts w:ascii="Arial" w:eastAsia="Arial" w:hAnsi="Arial" w:cs="Arial"/>
          <w:color w:val="000000"/>
          <w:spacing w:val="-4"/>
          <w:sz w:val="20"/>
        </w:rPr>
        <w:t xml:space="preserve">Ordinary Shares purchased pursuant to the authority conferred by this resolution shall be either (i) cancelled immediately upon completion of the purchase, or (ii) be held, sold, </w:t>
      </w:r>
      <w:proofErr w:type="gramStart"/>
      <w:r w:rsidRPr="00FC789B">
        <w:rPr>
          <w:rFonts w:ascii="Arial" w:eastAsia="Arial" w:hAnsi="Arial" w:cs="Arial"/>
          <w:color w:val="000000"/>
          <w:spacing w:val="-4"/>
          <w:sz w:val="20"/>
        </w:rPr>
        <w:t>transferred</w:t>
      </w:r>
      <w:proofErr w:type="gramEnd"/>
      <w:r w:rsidRPr="00FC789B">
        <w:rPr>
          <w:rFonts w:ascii="Arial" w:eastAsia="Arial" w:hAnsi="Arial" w:cs="Arial"/>
          <w:color w:val="000000"/>
          <w:spacing w:val="-4"/>
          <w:sz w:val="20"/>
        </w:rPr>
        <w:t xml:space="preserve"> or otherwise dealt with as treasury shares in accordance with the provisions of the Act,</w:t>
      </w:r>
    </w:p>
    <w:p w14:paraId="58707C99" w14:textId="77777777" w:rsidR="00180A35" w:rsidRPr="00FC789B" w:rsidRDefault="00180A35" w:rsidP="00180A35">
      <w:pPr>
        <w:spacing w:line="225" w:lineRule="exact"/>
        <w:textAlignment w:val="baseline"/>
        <w:rPr>
          <w:rFonts w:ascii="Arial" w:eastAsia="Arial" w:hAnsi="Arial" w:cs="Arial"/>
          <w:color w:val="000000"/>
          <w:spacing w:val="-3"/>
          <w:sz w:val="20"/>
        </w:rPr>
      </w:pPr>
    </w:p>
    <w:p w14:paraId="2451B388" w14:textId="77777777" w:rsidR="00180A35" w:rsidRPr="00FC789B" w:rsidRDefault="00180A35" w:rsidP="00180A35">
      <w:pPr>
        <w:spacing w:line="225" w:lineRule="exact"/>
        <w:textAlignment w:val="baseline"/>
        <w:rPr>
          <w:rFonts w:ascii="Arial" w:eastAsia="Arial" w:hAnsi="Arial" w:cs="Arial"/>
          <w:color w:val="000000"/>
          <w:spacing w:val="-3"/>
          <w:sz w:val="20"/>
        </w:rPr>
      </w:pPr>
      <w:r w:rsidRPr="00FC789B">
        <w:rPr>
          <w:rFonts w:ascii="Arial" w:eastAsia="Arial" w:hAnsi="Arial" w:cs="Arial"/>
          <w:color w:val="000000"/>
          <w:spacing w:val="-3"/>
          <w:sz w:val="20"/>
        </w:rPr>
        <w:t xml:space="preserve">such authority to expire at close of business on 31 August 2023 or, if earlier, on the conclusion of the next annual general meeting of the Company but, in each case, during this period the Company may </w:t>
      </w:r>
      <w:proofErr w:type="gramStart"/>
      <w:r w:rsidRPr="00FC789B">
        <w:rPr>
          <w:rFonts w:ascii="Arial" w:eastAsia="Arial" w:hAnsi="Arial" w:cs="Arial"/>
          <w:color w:val="000000"/>
          <w:spacing w:val="-3"/>
          <w:sz w:val="20"/>
        </w:rPr>
        <w:t>enter into</w:t>
      </w:r>
      <w:proofErr w:type="gramEnd"/>
      <w:r w:rsidRPr="00FC789B">
        <w:rPr>
          <w:rFonts w:ascii="Arial" w:eastAsia="Arial" w:hAnsi="Arial" w:cs="Arial"/>
          <w:color w:val="000000"/>
          <w:spacing w:val="-3"/>
          <w:sz w:val="20"/>
        </w:rPr>
        <w:t xml:space="preserve"> a contract to purchase Ordinary Shares which would, or might, be completed or executed wholly or partly after the authority ends and the Company may purchase Ordinary Shares pursuant to any such contract as if the authority had not ended. </w:t>
      </w:r>
    </w:p>
    <w:p w14:paraId="44182083" w14:textId="77777777" w:rsidR="00180A35" w:rsidRPr="00FC789B" w:rsidRDefault="00180A35" w:rsidP="00180A35">
      <w:pPr>
        <w:spacing w:line="225" w:lineRule="exact"/>
        <w:textAlignment w:val="baseline"/>
        <w:rPr>
          <w:rFonts w:ascii="Arial" w:eastAsia="Arial" w:hAnsi="Arial" w:cs="Arial"/>
          <w:color w:val="000000"/>
          <w:spacing w:val="-3"/>
          <w:sz w:val="20"/>
        </w:rPr>
      </w:pPr>
    </w:p>
    <w:p w14:paraId="6DE2A676" w14:textId="77777777" w:rsidR="00180A35" w:rsidRPr="00FC789B" w:rsidRDefault="00180A35" w:rsidP="00180A35">
      <w:pPr>
        <w:spacing w:line="225" w:lineRule="exact"/>
        <w:textAlignment w:val="baseline"/>
        <w:rPr>
          <w:rFonts w:ascii="Arial" w:eastAsia="Arial" w:hAnsi="Arial" w:cs="Arial"/>
          <w:color w:val="000000"/>
          <w:spacing w:val="-3"/>
          <w:sz w:val="20"/>
        </w:rPr>
      </w:pPr>
    </w:p>
    <w:p w14:paraId="083A0201" w14:textId="33717A83" w:rsidR="00180A35" w:rsidRPr="00FC789B" w:rsidRDefault="00180A35" w:rsidP="00180A35">
      <w:pPr>
        <w:spacing w:line="239" w:lineRule="exact"/>
        <w:ind w:left="432" w:hanging="432"/>
        <w:textAlignment w:val="baseline"/>
        <w:rPr>
          <w:rFonts w:ascii="Arial" w:eastAsia="Arial" w:hAnsi="Arial" w:cs="Arial"/>
          <w:color w:val="000000"/>
          <w:sz w:val="20"/>
        </w:rPr>
        <w:sectPr w:rsidR="00180A35" w:rsidRPr="00FC789B" w:rsidSect="00FC789B">
          <w:type w:val="continuous"/>
          <w:pgSz w:w="11909" w:h="16838"/>
          <w:pgMar w:top="1440" w:right="1440" w:bottom="1440" w:left="1440" w:header="720" w:footer="720" w:gutter="0"/>
          <w:cols w:space="720"/>
          <w:docGrid w:linePitch="299"/>
        </w:sectPr>
      </w:pPr>
      <w:r w:rsidRPr="00FC789B">
        <w:rPr>
          <w:rFonts w:ascii="Arial" w:eastAsia="Arial" w:hAnsi="Arial" w:cs="Arial"/>
          <w:color w:val="000000"/>
          <w:sz w:val="20"/>
        </w:rPr>
        <w:t xml:space="preserve">15. THAT any general </w:t>
      </w:r>
      <w:proofErr w:type="gramStart"/>
      <w:r w:rsidRPr="00FC789B">
        <w:rPr>
          <w:rFonts w:ascii="Arial" w:eastAsia="Arial" w:hAnsi="Arial" w:cs="Arial"/>
          <w:color w:val="000000"/>
          <w:sz w:val="20"/>
        </w:rPr>
        <w:t>meeting</w:t>
      </w:r>
      <w:proofErr w:type="gramEnd"/>
      <w:r w:rsidRPr="00FC789B">
        <w:rPr>
          <w:rFonts w:ascii="Arial" w:eastAsia="Arial" w:hAnsi="Arial" w:cs="Arial"/>
          <w:color w:val="000000"/>
          <w:sz w:val="20"/>
        </w:rPr>
        <w:t xml:space="preserve"> of the Company, other than an annual general meeting, may be called on not less than 14 clear days’ notice, such authority to expire at the conclusion of the next annual general meeting of the Company</w:t>
      </w:r>
      <w:r w:rsidR="00FC789B" w:rsidRPr="00FC789B">
        <w:rPr>
          <w:rFonts w:ascii="Arial" w:eastAsia="Arial" w:hAnsi="Arial" w:cs="Arial"/>
          <w:color w:val="000000"/>
          <w:sz w:val="20"/>
        </w:rPr>
        <w:t>.</w:t>
      </w:r>
    </w:p>
    <w:p w14:paraId="5EB248DC" w14:textId="533224AC" w:rsidR="00E60B6D" w:rsidRPr="00830316" w:rsidRDefault="00FC789B" w:rsidP="00830316">
      <w:pPr>
        <w:tabs>
          <w:tab w:val="left" w:pos="432"/>
        </w:tabs>
        <w:spacing w:before="130" w:line="264" w:lineRule="auto"/>
        <w:jc w:val="both"/>
        <w:textAlignment w:val="baseline"/>
        <w:rPr>
          <w:rFonts w:ascii="Arial" w:eastAsia="Arial" w:hAnsi="Arial"/>
          <w:bCs/>
          <w:color w:val="090707"/>
          <w:spacing w:val="-4"/>
          <w:sz w:val="20"/>
          <w:szCs w:val="20"/>
        </w:rPr>
      </w:pPr>
    </w:p>
    <w:sectPr w:rsidR="00E60B6D" w:rsidRPr="00830316" w:rsidSect="00FC789B">
      <w:pgSz w:w="11904" w:h="16843"/>
      <w:pgMar w:top="1200" w:right="1337" w:bottom="231" w:left="13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Light">
    <w:altName w:val="Arial"/>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EE9"/>
    <w:multiLevelType w:val="hybridMultilevel"/>
    <w:tmpl w:val="B47459B0"/>
    <w:lvl w:ilvl="0" w:tplc="EE00166C">
      <w:start w:val="10"/>
      <w:numFmt w:val="decimal"/>
      <w:lvlText w:val="%1."/>
      <w:lvlJc w:val="left"/>
      <w:pPr>
        <w:ind w:left="786"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09814794"/>
    <w:multiLevelType w:val="hybridMultilevel"/>
    <w:tmpl w:val="501C9A02"/>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B3AF4"/>
    <w:multiLevelType w:val="multilevel"/>
    <w:tmpl w:val="CD6ADD6A"/>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DF39A6"/>
    <w:multiLevelType w:val="multilevel"/>
    <w:tmpl w:val="939C6176"/>
    <w:lvl w:ilvl="0">
      <w:start w:val="12"/>
      <w:numFmt w:val="decimal"/>
      <w:lvlText w:val="%1."/>
      <w:lvlJc w:val="left"/>
      <w:pPr>
        <w:tabs>
          <w:tab w:val="left" w:pos="432"/>
        </w:tabs>
        <w:ind w:left="720"/>
      </w:pPr>
      <w:rPr>
        <w:rFonts w:ascii="Arial" w:eastAsia="Arial" w:hAnsi="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5531E2"/>
    <w:multiLevelType w:val="hybridMultilevel"/>
    <w:tmpl w:val="E8AA722A"/>
    <w:lvl w:ilvl="0" w:tplc="4EC66C1C">
      <w:start w:val="1"/>
      <w:numFmt w:val="decimal"/>
      <w:lvlText w:val="%1."/>
      <w:lvlJc w:val="left"/>
      <w:pPr>
        <w:ind w:left="720" w:hanging="360"/>
      </w:pPr>
    </w:lvl>
    <w:lvl w:ilvl="1" w:tplc="01C09452" w:tentative="1">
      <w:start w:val="1"/>
      <w:numFmt w:val="lowerLetter"/>
      <w:lvlText w:val="%2."/>
      <w:lvlJc w:val="left"/>
      <w:pPr>
        <w:ind w:left="1440" w:hanging="360"/>
      </w:pPr>
    </w:lvl>
    <w:lvl w:ilvl="2" w:tplc="99828C2C" w:tentative="1">
      <w:start w:val="1"/>
      <w:numFmt w:val="lowerRoman"/>
      <w:lvlText w:val="%3."/>
      <w:lvlJc w:val="right"/>
      <w:pPr>
        <w:ind w:left="2160" w:hanging="180"/>
      </w:pPr>
    </w:lvl>
    <w:lvl w:ilvl="3" w:tplc="F900231E" w:tentative="1">
      <w:start w:val="1"/>
      <w:numFmt w:val="decimal"/>
      <w:lvlText w:val="%4."/>
      <w:lvlJc w:val="left"/>
      <w:pPr>
        <w:ind w:left="2880" w:hanging="360"/>
      </w:pPr>
    </w:lvl>
    <w:lvl w:ilvl="4" w:tplc="AFD63892" w:tentative="1">
      <w:start w:val="1"/>
      <w:numFmt w:val="lowerLetter"/>
      <w:lvlText w:val="%5."/>
      <w:lvlJc w:val="left"/>
      <w:pPr>
        <w:ind w:left="3600" w:hanging="360"/>
      </w:pPr>
    </w:lvl>
    <w:lvl w:ilvl="5" w:tplc="A3D82E42" w:tentative="1">
      <w:start w:val="1"/>
      <w:numFmt w:val="lowerRoman"/>
      <w:lvlText w:val="%6."/>
      <w:lvlJc w:val="right"/>
      <w:pPr>
        <w:ind w:left="4320" w:hanging="180"/>
      </w:pPr>
    </w:lvl>
    <w:lvl w:ilvl="6" w:tplc="FC7234DE" w:tentative="1">
      <w:start w:val="1"/>
      <w:numFmt w:val="decimal"/>
      <w:lvlText w:val="%7."/>
      <w:lvlJc w:val="left"/>
      <w:pPr>
        <w:ind w:left="5040" w:hanging="360"/>
      </w:pPr>
    </w:lvl>
    <w:lvl w:ilvl="7" w:tplc="B204C22C" w:tentative="1">
      <w:start w:val="1"/>
      <w:numFmt w:val="lowerLetter"/>
      <w:lvlText w:val="%8."/>
      <w:lvlJc w:val="left"/>
      <w:pPr>
        <w:ind w:left="5760" w:hanging="360"/>
      </w:pPr>
    </w:lvl>
    <w:lvl w:ilvl="8" w:tplc="C09CD55C" w:tentative="1">
      <w:start w:val="1"/>
      <w:numFmt w:val="lowerRoman"/>
      <w:lvlText w:val="%9."/>
      <w:lvlJc w:val="right"/>
      <w:pPr>
        <w:ind w:left="6480" w:hanging="180"/>
      </w:pPr>
    </w:lvl>
  </w:abstractNum>
  <w:abstractNum w:abstractNumId="5" w15:restartNumberingAfterBreak="0">
    <w:nsid w:val="1C801964"/>
    <w:multiLevelType w:val="multilevel"/>
    <w:tmpl w:val="A70CEE40"/>
    <w:lvl w:ilvl="0">
      <w:start w:val="1"/>
      <w:numFmt w:val="decimal"/>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0308DD"/>
    <w:multiLevelType w:val="hybridMultilevel"/>
    <w:tmpl w:val="2196E7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710999"/>
    <w:multiLevelType w:val="hybridMultilevel"/>
    <w:tmpl w:val="E51A9AA4"/>
    <w:lvl w:ilvl="0" w:tplc="398E8A5C">
      <w:start w:val="1"/>
      <w:numFmt w:val="bullet"/>
      <w:lvlText w:val=""/>
      <w:lvlJc w:val="left"/>
      <w:pPr>
        <w:ind w:left="720" w:hanging="360"/>
      </w:pPr>
      <w:rPr>
        <w:rFonts w:ascii="Symbol" w:hAnsi="Symbol" w:hint="default"/>
      </w:rPr>
    </w:lvl>
    <w:lvl w:ilvl="1" w:tplc="6DB40DE6" w:tentative="1">
      <w:start w:val="1"/>
      <w:numFmt w:val="bullet"/>
      <w:lvlText w:val="o"/>
      <w:lvlJc w:val="left"/>
      <w:pPr>
        <w:ind w:left="1440" w:hanging="360"/>
      </w:pPr>
      <w:rPr>
        <w:rFonts w:ascii="Courier New" w:hAnsi="Courier New" w:cs="Courier New" w:hint="default"/>
      </w:rPr>
    </w:lvl>
    <w:lvl w:ilvl="2" w:tplc="6FF442E2" w:tentative="1">
      <w:start w:val="1"/>
      <w:numFmt w:val="bullet"/>
      <w:lvlText w:val=""/>
      <w:lvlJc w:val="left"/>
      <w:pPr>
        <w:ind w:left="2160" w:hanging="360"/>
      </w:pPr>
      <w:rPr>
        <w:rFonts w:ascii="Wingdings" w:hAnsi="Wingdings" w:hint="default"/>
      </w:rPr>
    </w:lvl>
    <w:lvl w:ilvl="3" w:tplc="47F61F76" w:tentative="1">
      <w:start w:val="1"/>
      <w:numFmt w:val="bullet"/>
      <w:lvlText w:val=""/>
      <w:lvlJc w:val="left"/>
      <w:pPr>
        <w:ind w:left="2880" w:hanging="360"/>
      </w:pPr>
      <w:rPr>
        <w:rFonts w:ascii="Symbol" w:hAnsi="Symbol" w:hint="default"/>
      </w:rPr>
    </w:lvl>
    <w:lvl w:ilvl="4" w:tplc="5756D082" w:tentative="1">
      <w:start w:val="1"/>
      <w:numFmt w:val="bullet"/>
      <w:lvlText w:val="o"/>
      <w:lvlJc w:val="left"/>
      <w:pPr>
        <w:ind w:left="3600" w:hanging="360"/>
      </w:pPr>
      <w:rPr>
        <w:rFonts w:ascii="Courier New" w:hAnsi="Courier New" w:cs="Courier New" w:hint="default"/>
      </w:rPr>
    </w:lvl>
    <w:lvl w:ilvl="5" w:tplc="C914AB34" w:tentative="1">
      <w:start w:val="1"/>
      <w:numFmt w:val="bullet"/>
      <w:lvlText w:val=""/>
      <w:lvlJc w:val="left"/>
      <w:pPr>
        <w:ind w:left="4320" w:hanging="360"/>
      </w:pPr>
      <w:rPr>
        <w:rFonts w:ascii="Wingdings" w:hAnsi="Wingdings" w:hint="default"/>
      </w:rPr>
    </w:lvl>
    <w:lvl w:ilvl="6" w:tplc="8DAEF314" w:tentative="1">
      <w:start w:val="1"/>
      <w:numFmt w:val="bullet"/>
      <w:lvlText w:val=""/>
      <w:lvlJc w:val="left"/>
      <w:pPr>
        <w:ind w:left="5040" w:hanging="360"/>
      </w:pPr>
      <w:rPr>
        <w:rFonts w:ascii="Symbol" w:hAnsi="Symbol" w:hint="default"/>
      </w:rPr>
    </w:lvl>
    <w:lvl w:ilvl="7" w:tplc="D0E45632" w:tentative="1">
      <w:start w:val="1"/>
      <w:numFmt w:val="bullet"/>
      <w:lvlText w:val="o"/>
      <w:lvlJc w:val="left"/>
      <w:pPr>
        <w:ind w:left="5760" w:hanging="360"/>
      </w:pPr>
      <w:rPr>
        <w:rFonts w:ascii="Courier New" w:hAnsi="Courier New" w:cs="Courier New" w:hint="default"/>
      </w:rPr>
    </w:lvl>
    <w:lvl w:ilvl="8" w:tplc="1BD4F658" w:tentative="1">
      <w:start w:val="1"/>
      <w:numFmt w:val="bullet"/>
      <w:lvlText w:val=""/>
      <w:lvlJc w:val="left"/>
      <w:pPr>
        <w:ind w:left="6480" w:hanging="360"/>
      </w:pPr>
      <w:rPr>
        <w:rFonts w:ascii="Wingdings" w:hAnsi="Wingdings" w:hint="default"/>
      </w:rPr>
    </w:lvl>
  </w:abstractNum>
  <w:abstractNum w:abstractNumId="8" w15:restartNumberingAfterBreak="0">
    <w:nsid w:val="3223329D"/>
    <w:multiLevelType w:val="multilevel"/>
    <w:tmpl w:val="CD7EE18A"/>
    <w:lvl w:ilvl="0">
      <w:start w:val="1"/>
      <w:numFmt w:val="decimal"/>
      <w:lvlText w:val="%1."/>
      <w:lvlJc w:val="left"/>
      <w:pPr>
        <w:tabs>
          <w:tab w:val="left" w:pos="432"/>
        </w:tabs>
      </w:pPr>
      <w:rPr>
        <w:rFonts w:ascii="Arial" w:eastAsia="Arial" w:hAnsi="Arial"/>
        <w:color w:val="090707"/>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674D87"/>
    <w:multiLevelType w:val="multilevel"/>
    <w:tmpl w:val="EBCC98E6"/>
    <w:lvl w:ilvl="0">
      <w:start w:val="1"/>
      <w:numFmt w:val="decimal"/>
      <w:lvlText w:val="%1."/>
      <w:lvlJc w:val="left"/>
      <w:pPr>
        <w:tabs>
          <w:tab w:val="left" w:pos="432"/>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C133C5"/>
    <w:multiLevelType w:val="multilevel"/>
    <w:tmpl w:val="A5BA5D2C"/>
    <w:lvl w:ilvl="0">
      <w:start w:val="1"/>
      <w:numFmt w:val="bullet"/>
      <w:lvlText w:val="l"/>
      <w:lvlJc w:val="left"/>
      <w:pPr>
        <w:tabs>
          <w:tab w:val="left" w:pos="504"/>
        </w:tabs>
        <w:ind w:left="720"/>
      </w:pPr>
      <w:rPr>
        <w:rFonts w:ascii="Wingdings" w:eastAsia="Wingdings" w:hAnsi="Wingdings"/>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AF4D33"/>
    <w:multiLevelType w:val="multilevel"/>
    <w:tmpl w:val="C562C6F0"/>
    <w:lvl w:ilvl="0">
      <w:start w:val="1"/>
      <w:numFmt w:val="decimal"/>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502663"/>
    <w:multiLevelType w:val="multilevel"/>
    <w:tmpl w:val="A60EECE6"/>
    <w:lvl w:ilvl="0">
      <w:start w:val="1"/>
      <w:numFmt w:val="lowerLetter"/>
      <w:lvlText w:val="(%1)"/>
      <w:lvlJc w:val="left"/>
      <w:pPr>
        <w:tabs>
          <w:tab w:val="left" w:pos="432"/>
        </w:tabs>
        <w:ind w:left="720"/>
      </w:pPr>
      <w:rPr>
        <w:rFonts w:ascii="Arial" w:eastAsia="Arial" w:hAnsi="Aria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193900"/>
    <w:multiLevelType w:val="multilevel"/>
    <w:tmpl w:val="0AACD172"/>
    <w:lvl w:ilvl="0">
      <w:start w:val="1"/>
      <w:numFmt w:val="decimal"/>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5F2FE0"/>
    <w:multiLevelType w:val="multilevel"/>
    <w:tmpl w:val="DA068FD6"/>
    <w:lvl w:ilvl="0">
      <w:start w:val="1"/>
      <w:numFmt w:val="decimal"/>
      <w:lvlText w:val="%1."/>
      <w:lvlJc w:val="left"/>
      <w:pPr>
        <w:tabs>
          <w:tab w:val="left" w:pos="432"/>
        </w:tabs>
        <w:ind w:left="0" w:firstLine="0"/>
      </w:pPr>
      <w:rPr>
        <w:rFonts w:ascii="Arial" w:eastAsia="Arial" w:hAnsi="Arial"/>
        <w:color w:val="090707"/>
        <w:spacing w:val="0"/>
        <w:w w:val="100"/>
        <w:sz w:val="20"/>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513B7B27"/>
    <w:multiLevelType w:val="hybridMultilevel"/>
    <w:tmpl w:val="DF5A1892"/>
    <w:lvl w:ilvl="0" w:tplc="E8385C56">
      <w:start w:val="1"/>
      <w:numFmt w:val="decimal"/>
      <w:lvlText w:val="%1."/>
      <w:lvlJc w:val="left"/>
      <w:pPr>
        <w:ind w:left="480" w:hanging="120"/>
      </w:pPr>
      <w:rPr>
        <w:rFonts w:hint="default"/>
      </w:rPr>
    </w:lvl>
    <w:lvl w:ilvl="1" w:tplc="E432D502" w:tentative="1">
      <w:start w:val="1"/>
      <w:numFmt w:val="lowerLetter"/>
      <w:lvlText w:val="%2."/>
      <w:lvlJc w:val="left"/>
      <w:pPr>
        <w:ind w:left="1440" w:hanging="360"/>
      </w:pPr>
    </w:lvl>
    <w:lvl w:ilvl="2" w:tplc="5CD4B8BA" w:tentative="1">
      <w:start w:val="1"/>
      <w:numFmt w:val="lowerRoman"/>
      <w:lvlText w:val="%3."/>
      <w:lvlJc w:val="right"/>
      <w:pPr>
        <w:ind w:left="2160" w:hanging="180"/>
      </w:pPr>
    </w:lvl>
    <w:lvl w:ilvl="3" w:tplc="5248153E" w:tentative="1">
      <w:start w:val="1"/>
      <w:numFmt w:val="decimal"/>
      <w:lvlText w:val="%4."/>
      <w:lvlJc w:val="left"/>
      <w:pPr>
        <w:ind w:left="2880" w:hanging="360"/>
      </w:pPr>
    </w:lvl>
    <w:lvl w:ilvl="4" w:tplc="72D009AE" w:tentative="1">
      <w:start w:val="1"/>
      <w:numFmt w:val="lowerLetter"/>
      <w:lvlText w:val="%5."/>
      <w:lvlJc w:val="left"/>
      <w:pPr>
        <w:ind w:left="3600" w:hanging="360"/>
      </w:pPr>
    </w:lvl>
    <w:lvl w:ilvl="5" w:tplc="D53A906A" w:tentative="1">
      <w:start w:val="1"/>
      <w:numFmt w:val="lowerRoman"/>
      <w:lvlText w:val="%6."/>
      <w:lvlJc w:val="right"/>
      <w:pPr>
        <w:ind w:left="4320" w:hanging="180"/>
      </w:pPr>
    </w:lvl>
    <w:lvl w:ilvl="6" w:tplc="BF28E548" w:tentative="1">
      <w:start w:val="1"/>
      <w:numFmt w:val="decimal"/>
      <w:lvlText w:val="%7."/>
      <w:lvlJc w:val="left"/>
      <w:pPr>
        <w:ind w:left="5040" w:hanging="360"/>
      </w:pPr>
    </w:lvl>
    <w:lvl w:ilvl="7" w:tplc="810ABB0E" w:tentative="1">
      <w:start w:val="1"/>
      <w:numFmt w:val="lowerLetter"/>
      <w:lvlText w:val="%8."/>
      <w:lvlJc w:val="left"/>
      <w:pPr>
        <w:ind w:left="5760" w:hanging="360"/>
      </w:pPr>
    </w:lvl>
    <w:lvl w:ilvl="8" w:tplc="A52060D6" w:tentative="1">
      <w:start w:val="1"/>
      <w:numFmt w:val="lowerRoman"/>
      <w:lvlText w:val="%9."/>
      <w:lvlJc w:val="right"/>
      <w:pPr>
        <w:ind w:left="6480" w:hanging="180"/>
      </w:pPr>
    </w:lvl>
  </w:abstractNum>
  <w:abstractNum w:abstractNumId="16" w15:restartNumberingAfterBreak="0">
    <w:nsid w:val="53094672"/>
    <w:multiLevelType w:val="multilevel"/>
    <w:tmpl w:val="CAE07698"/>
    <w:lvl w:ilvl="0">
      <w:start w:val="1"/>
      <w:numFmt w:val="lowerLetter"/>
      <w:lvlText w:val="%1)"/>
      <w:lvlJc w:val="left"/>
      <w:pPr>
        <w:tabs>
          <w:tab w:val="left" w:pos="720"/>
        </w:tabs>
        <w:ind w:left="0" w:firstLine="0"/>
      </w:pPr>
      <w:rPr>
        <w:rFonts w:ascii="Arial" w:eastAsia="Arial" w:hAnsi="Arial"/>
        <w:b w:val="0"/>
        <w:bCs w:val="0"/>
        <w:color w:val="090707"/>
        <w:spacing w:val="0"/>
        <w:w w:val="100"/>
        <w:sz w:val="19"/>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3D902C9"/>
    <w:multiLevelType w:val="hybridMultilevel"/>
    <w:tmpl w:val="D5AEF156"/>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2E2A60"/>
    <w:multiLevelType w:val="multilevel"/>
    <w:tmpl w:val="C1B49B50"/>
    <w:lvl w:ilvl="0">
      <w:start w:val="12"/>
      <w:numFmt w:val="decimal"/>
      <w:lvlText w:val="%1."/>
      <w:lvlJc w:val="left"/>
      <w:pPr>
        <w:tabs>
          <w:tab w:val="left" w:pos="432"/>
        </w:tabs>
      </w:pPr>
      <w:rPr>
        <w:rFonts w:ascii="Arial" w:eastAsia="Arial" w:hAnsi="Arial"/>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547C30"/>
    <w:multiLevelType w:val="multilevel"/>
    <w:tmpl w:val="3BE6589E"/>
    <w:lvl w:ilvl="0">
      <w:start w:val="12"/>
      <w:numFmt w:val="decimal"/>
      <w:lvlText w:val="%1."/>
      <w:lvlJc w:val="left"/>
      <w:pPr>
        <w:tabs>
          <w:tab w:val="left" w:pos="432"/>
        </w:tabs>
      </w:pPr>
      <w:rPr>
        <w:rFonts w:ascii="Arial" w:eastAsia="Arial" w:hAnsi="Arial"/>
        <w:color w:val="000000"/>
        <w:spacing w:val="-5"/>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AA1D97"/>
    <w:multiLevelType w:val="hybridMultilevel"/>
    <w:tmpl w:val="CA70A54A"/>
    <w:lvl w:ilvl="0" w:tplc="DDD4C2E4">
      <w:start w:val="1"/>
      <w:numFmt w:val="lowerLetter"/>
      <w:lvlText w:val="(%1)"/>
      <w:lvlJc w:val="left"/>
      <w:pPr>
        <w:ind w:left="720" w:hanging="360"/>
      </w:pPr>
      <w:rPr>
        <w:rFonts w:hint="default"/>
      </w:rPr>
    </w:lvl>
    <w:lvl w:ilvl="1" w:tplc="2392FB98" w:tentative="1">
      <w:start w:val="1"/>
      <w:numFmt w:val="lowerLetter"/>
      <w:lvlText w:val="%2."/>
      <w:lvlJc w:val="left"/>
      <w:pPr>
        <w:ind w:left="1440" w:hanging="360"/>
      </w:pPr>
    </w:lvl>
    <w:lvl w:ilvl="2" w:tplc="B5527F6C" w:tentative="1">
      <w:start w:val="1"/>
      <w:numFmt w:val="lowerRoman"/>
      <w:lvlText w:val="%3."/>
      <w:lvlJc w:val="right"/>
      <w:pPr>
        <w:ind w:left="2160" w:hanging="180"/>
      </w:pPr>
    </w:lvl>
    <w:lvl w:ilvl="3" w:tplc="F3EE7A1A" w:tentative="1">
      <w:start w:val="1"/>
      <w:numFmt w:val="decimal"/>
      <w:lvlText w:val="%4."/>
      <w:lvlJc w:val="left"/>
      <w:pPr>
        <w:ind w:left="2880" w:hanging="360"/>
      </w:pPr>
    </w:lvl>
    <w:lvl w:ilvl="4" w:tplc="A50E77B8" w:tentative="1">
      <w:start w:val="1"/>
      <w:numFmt w:val="lowerLetter"/>
      <w:lvlText w:val="%5."/>
      <w:lvlJc w:val="left"/>
      <w:pPr>
        <w:ind w:left="3600" w:hanging="360"/>
      </w:pPr>
    </w:lvl>
    <w:lvl w:ilvl="5" w:tplc="5D76EF20" w:tentative="1">
      <w:start w:val="1"/>
      <w:numFmt w:val="lowerRoman"/>
      <w:lvlText w:val="%6."/>
      <w:lvlJc w:val="right"/>
      <w:pPr>
        <w:ind w:left="4320" w:hanging="180"/>
      </w:pPr>
    </w:lvl>
    <w:lvl w:ilvl="6" w:tplc="4368585C" w:tentative="1">
      <w:start w:val="1"/>
      <w:numFmt w:val="decimal"/>
      <w:lvlText w:val="%7."/>
      <w:lvlJc w:val="left"/>
      <w:pPr>
        <w:ind w:left="5040" w:hanging="360"/>
      </w:pPr>
    </w:lvl>
    <w:lvl w:ilvl="7" w:tplc="2FDED35A" w:tentative="1">
      <w:start w:val="1"/>
      <w:numFmt w:val="lowerLetter"/>
      <w:lvlText w:val="%8."/>
      <w:lvlJc w:val="left"/>
      <w:pPr>
        <w:ind w:left="5760" w:hanging="360"/>
      </w:pPr>
    </w:lvl>
    <w:lvl w:ilvl="8" w:tplc="E368AC5C" w:tentative="1">
      <w:start w:val="1"/>
      <w:numFmt w:val="lowerRoman"/>
      <w:lvlText w:val="%9."/>
      <w:lvlJc w:val="right"/>
      <w:pPr>
        <w:ind w:left="6480" w:hanging="180"/>
      </w:pPr>
    </w:lvl>
  </w:abstractNum>
  <w:abstractNum w:abstractNumId="21" w15:restartNumberingAfterBreak="0">
    <w:nsid w:val="73514512"/>
    <w:multiLevelType w:val="hybridMultilevel"/>
    <w:tmpl w:val="0B4E0446"/>
    <w:lvl w:ilvl="0" w:tplc="BE78B5DA">
      <w:start w:val="1"/>
      <w:numFmt w:val="decimal"/>
      <w:lvlText w:val="%1."/>
      <w:lvlJc w:val="left"/>
      <w:pPr>
        <w:ind w:left="720" w:hanging="360"/>
      </w:pPr>
    </w:lvl>
    <w:lvl w:ilvl="1" w:tplc="E0D60490" w:tentative="1">
      <w:start w:val="1"/>
      <w:numFmt w:val="lowerLetter"/>
      <w:lvlText w:val="%2."/>
      <w:lvlJc w:val="left"/>
      <w:pPr>
        <w:ind w:left="1440" w:hanging="360"/>
      </w:pPr>
    </w:lvl>
    <w:lvl w:ilvl="2" w:tplc="5FC0C202" w:tentative="1">
      <w:start w:val="1"/>
      <w:numFmt w:val="lowerRoman"/>
      <w:lvlText w:val="%3."/>
      <w:lvlJc w:val="right"/>
      <w:pPr>
        <w:ind w:left="2160" w:hanging="180"/>
      </w:pPr>
    </w:lvl>
    <w:lvl w:ilvl="3" w:tplc="7234CD4C" w:tentative="1">
      <w:start w:val="1"/>
      <w:numFmt w:val="decimal"/>
      <w:lvlText w:val="%4."/>
      <w:lvlJc w:val="left"/>
      <w:pPr>
        <w:ind w:left="2880" w:hanging="360"/>
      </w:pPr>
    </w:lvl>
    <w:lvl w:ilvl="4" w:tplc="930831FC" w:tentative="1">
      <w:start w:val="1"/>
      <w:numFmt w:val="lowerLetter"/>
      <w:lvlText w:val="%5."/>
      <w:lvlJc w:val="left"/>
      <w:pPr>
        <w:ind w:left="3600" w:hanging="360"/>
      </w:pPr>
    </w:lvl>
    <w:lvl w:ilvl="5" w:tplc="DE7CB3D6" w:tentative="1">
      <w:start w:val="1"/>
      <w:numFmt w:val="lowerRoman"/>
      <w:lvlText w:val="%6."/>
      <w:lvlJc w:val="right"/>
      <w:pPr>
        <w:ind w:left="4320" w:hanging="180"/>
      </w:pPr>
    </w:lvl>
    <w:lvl w:ilvl="6" w:tplc="ACE20EE8" w:tentative="1">
      <w:start w:val="1"/>
      <w:numFmt w:val="decimal"/>
      <w:lvlText w:val="%7."/>
      <w:lvlJc w:val="left"/>
      <w:pPr>
        <w:ind w:left="5040" w:hanging="360"/>
      </w:pPr>
    </w:lvl>
    <w:lvl w:ilvl="7" w:tplc="469E7DAA" w:tentative="1">
      <w:start w:val="1"/>
      <w:numFmt w:val="lowerLetter"/>
      <w:lvlText w:val="%8."/>
      <w:lvlJc w:val="left"/>
      <w:pPr>
        <w:ind w:left="5760" w:hanging="360"/>
      </w:pPr>
    </w:lvl>
    <w:lvl w:ilvl="8" w:tplc="7982CD9C" w:tentative="1">
      <w:start w:val="1"/>
      <w:numFmt w:val="lowerRoman"/>
      <w:lvlText w:val="%9."/>
      <w:lvlJc w:val="right"/>
      <w:pPr>
        <w:ind w:left="6480" w:hanging="180"/>
      </w:pPr>
    </w:lvl>
  </w:abstractNum>
  <w:abstractNum w:abstractNumId="22" w15:restartNumberingAfterBreak="0">
    <w:nsid w:val="74E8429B"/>
    <w:multiLevelType w:val="multilevel"/>
    <w:tmpl w:val="0B308CF6"/>
    <w:lvl w:ilvl="0">
      <w:start w:val="1"/>
      <w:numFmt w:val="lowerRoman"/>
      <w:lvlText w:val="(%1)"/>
      <w:lvlJc w:val="left"/>
      <w:pPr>
        <w:tabs>
          <w:tab w:val="left" w:pos="432"/>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2C1D15"/>
    <w:multiLevelType w:val="multilevel"/>
    <w:tmpl w:val="A2EE34AE"/>
    <w:lvl w:ilvl="0">
      <w:start w:val="1"/>
      <w:numFmt w:val="lowerLetter"/>
      <w:lvlText w:val="%1)"/>
      <w:lvlJc w:val="left"/>
      <w:pPr>
        <w:tabs>
          <w:tab w:val="left" w:pos="648"/>
        </w:tabs>
      </w:pPr>
      <w:rPr>
        <w:rFonts w:ascii="Arial" w:eastAsia="Arial" w:hAnsi="Arial"/>
        <w:b w:val="0"/>
        <w:color w:val="090707"/>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BF23EA"/>
    <w:multiLevelType w:val="multilevel"/>
    <w:tmpl w:val="FB4C5A68"/>
    <w:lvl w:ilvl="0">
      <w:start w:val="1"/>
      <w:numFmt w:val="lowerLetter"/>
      <w:lvlText w:val="%1)"/>
      <w:lvlJc w:val="left"/>
      <w:pPr>
        <w:tabs>
          <w:tab w:val="left" w:pos="50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BC7A95"/>
    <w:multiLevelType w:val="hybridMultilevel"/>
    <w:tmpl w:val="3406510C"/>
    <w:lvl w:ilvl="0" w:tplc="221021E2">
      <w:start w:val="8"/>
      <w:numFmt w:val="decimal"/>
      <w:lvlText w:val="%1."/>
      <w:lvlJc w:val="left"/>
      <w:pPr>
        <w:ind w:left="720" w:hanging="360"/>
      </w:pPr>
      <w:rPr>
        <w:rFonts w:cs="Arial"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781B72"/>
    <w:multiLevelType w:val="hybridMultilevel"/>
    <w:tmpl w:val="60AE73B2"/>
    <w:lvl w:ilvl="0" w:tplc="D076E232">
      <w:start w:val="1"/>
      <w:numFmt w:val="decimal"/>
      <w:lvlText w:val="%1."/>
      <w:lvlJc w:val="left"/>
      <w:pPr>
        <w:ind w:left="720" w:hanging="360"/>
      </w:pPr>
      <w:rPr>
        <w:rFonts w:ascii="HelveticaNeueLT-Light" w:hAnsi="HelveticaNeueLT-Light" w:cs="HelveticaNeueLT-Light" w:hint="default"/>
      </w:rPr>
    </w:lvl>
    <w:lvl w:ilvl="1" w:tplc="2E34D8AE" w:tentative="1">
      <w:start w:val="1"/>
      <w:numFmt w:val="lowerLetter"/>
      <w:lvlText w:val="%2."/>
      <w:lvlJc w:val="left"/>
      <w:pPr>
        <w:ind w:left="1440" w:hanging="360"/>
      </w:pPr>
    </w:lvl>
    <w:lvl w:ilvl="2" w:tplc="050AA164" w:tentative="1">
      <w:start w:val="1"/>
      <w:numFmt w:val="lowerRoman"/>
      <w:lvlText w:val="%3."/>
      <w:lvlJc w:val="right"/>
      <w:pPr>
        <w:ind w:left="2160" w:hanging="180"/>
      </w:pPr>
    </w:lvl>
    <w:lvl w:ilvl="3" w:tplc="E7CAECA6" w:tentative="1">
      <w:start w:val="1"/>
      <w:numFmt w:val="decimal"/>
      <w:lvlText w:val="%4."/>
      <w:lvlJc w:val="left"/>
      <w:pPr>
        <w:ind w:left="2880" w:hanging="360"/>
      </w:pPr>
    </w:lvl>
    <w:lvl w:ilvl="4" w:tplc="43E624AA" w:tentative="1">
      <w:start w:val="1"/>
      <w:numFmt w:val="lowerLetter"/>
      <w:lvlText w:val="%5."/>
      <w:lvlJc w:val="left"/>
      <w:pPr>
        <w:ind w:left="3600" w:hanging="360"/>
      </w:pPr>
    </w:lvl>
    <w:lvl w:ilvl="5" w:tplc="DF682286" w:tentative="1">
      <w:start w:val="1"/>
      <w:numFmt w:val="lowerRoman"/>
      <w:lvlText w:val="%6."/>
      <w:lvlJc w:val="right"/>
      <w:pPr>
        <w:ind w:left="4320" w:hanging="180"/>
      </w:pPr>
    </w:lvl>
    <w:lvl w:ilvl="6" w:tplc="F13E8B38" w:tentative="1">
      <w:start w:val="1"/>
      <w:numFmt w:val="decimal"/>
      <w:lvlText w:val="%7."/>
      <w:lvlJc w:val="left"/>
      <w:pPr>
        <w:ind w:left="5040" w:hanging="360"/>
      </w:pPr>
    </w:lvl>
    <w:lvl w:ilvl="7" w:tplc="772411F8" w:tentative="1">
      <w:start w:val="1"/>
      <w:numFmt w:val="lowerLetter"/>
      <w:lvlText w:val="%8."/>
      <w:lvlJc w:val="left"/>
      <w:pPr>
        <w:ind w:left="5760" w:hanging="360"/>
      </w:pPr>
    </w:lvl>
    <w:lvl w:ilvl="8" w:tplc="D2B2839E" w:tentative="1">
      <w:start w:val="1"/>
      <w:numFmt w:val="lowerRoman"/>
      <w:lvlText w:val="%9."/>
      <w:lvlJc w:val="right"/>
      <w:pPr>
        <w:ind w:left="6480" w:hanging="180"/>
      </w:pPr>
    </w:lvl>
  </w:abstractNum>
  <w:num w:numId="1">
    <w:abstractNumId w:val="11"/>
  </w:num>
  <w:num w:numId="2">
    <w:abstractNumId w:val="12"/>
  </w:num>
  <w:num w:numId="3">
    <w:abstractNumId w:val="22"/>
  </w:num>
  <w:num w:numId="4">
    <w:abstractNumId w:val="9"/>
  </w:num>
  <w:num w:numId="5">
    <w:abstractNumId w:val="3"/>
  </w:num>
  <w:num w:numId="6">
    <w:abstractNumId w:val="10"/>
  </w:num>
  <w:num w:numId="7">
    <w:abstractNumId w:val="7"/>
  </w:num>
  <w:num w:numId="8">
    <w:abstractNumId w:val="26"/>
  </w:num>
  <w:num w:numId="9">
    <w:abstractNumId w:val="20"/>
  </w:num>
  <w:num w:numId="10">
    <w:abstractNumId w:val="4"/>
  </w:num>
  <w:num w:numId="11">
    <w:abstractNumId w:val="21"/>
  </w:num>
  <w:num w:numId="12">
    <w:abstractNumId w:val="15"/>
  </w:num>
  <w:num w:numId="13">
    <w:abstractNumId w:val="8"/>
  </w:num>
  <w:num w:numId="14">
    <w:abstractNumId w:val="25"/>
  </w:num>
  <w:num w:numId="15">
    <w:abstractNumId w:val="6"/>
  </w:num>
  <w:num w:numId="16">
    <w:abstractNumId w:val="23"/>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14"/>
  </w:num>
  <w:num w:numId="21">
    <w:abstractNumId w:val="16"/>
  </w:num>
  <w:num w:numId="22">
    <w:abstractNumId w:val="5"/>
  </w:num>
  <w:num w:numId="23">
    <w:abstractNumId w:val="19"/>
  </w:num>
  <w:num w:numId="24">
    <w:abstractNumId w:val="2"/>
  </w:num>
  <w:num w:numId="25">
    <w:abstractNumId w:val="17"/>
  </w:num>
  <w:num w:numId="26">
    <w:abstractNumId w:val="13"/>
  </w:num>
  <w:num w:numId="27">
    <w:abstractNumId w:val="18"/>
  </w:num>
  <w:num w:numId="28">
    <w:abstractNumId w:val="2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D7D46"/>
    <w:rsid w:val="00100A6D"/>
    <w:rsid w:val="00133C95"/>
    <w:rsid w:val="00180A35"/>
    <w:rsid w:val="001A33F2"/>
    <w:rsid w:val="001D7D46"/>
    <w:rsid w:val="00213108"/>
    <w:rsid w:val="003024B4"/>
    <w:rsid w:val="003A1E45"/>
    <w:rsid w:val="004500C9"/>
    <w:rsid w:val="00464683"/>
    <w:rsid w:val="006009D2"/>
    <w:rsid w:val="0067722F"/>
    <w:rsid w:val="00721D15"/>
    <w:rsid w:val="00802C43"/>
    <w:rsid w:val="00830316"/>
    <w:rsid w:val="008C275E"/>
    <w:rsid w:val="008E5DD8"/>
    <w:rsid w:val="008F689A"/>
    <w:rsid w:val="00981064"/>
    <w:rsid w:val="00A32F4C"/>
    <w:rsid w:val="00A36051"/>
    <w:rsid w:val="00B17070"/>
    <w:rsid w:val="00BD2E2B"/>
    <w:rsid w:val="00C23129"/>
    <w:rsid w:val="00D33D1B"/>
    <w:rsid w:val="00E5087D"/>
    <w:rsid w:val="00ED0816"/>
    <w:rsid w:val="00F8525B"/>
    <w:rsid w:val="00FC7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E944"/>
  <w15:docId w15:val="{5C638B6F-0085-4457-BEBB-B615C50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58FD"/>
    <w:rPr>
      <w:rFonts w:ascii="Tahoma" w:hAnsi="Tahoma" w:cs="Tahoma"/>
      <w:sz w:val="16"/>
      <w:szCs w:val="16"/>
    </w:rPr>
  </w:style>
  <w:style w:type="character" w:customStyle="1" w:styleId="BalloonTextChar">
    <w:name w:val="Balloon Text Char"/>
    <w:basedOn w:val="DefaultParagraphFont"/>
    <w:link w:val="BalloonText"/>
    <w:uiPriority w:val="99"/>
    <w:semiHidden/>
    <w:rsid w:val="002558FD"/>
    <w:rPr>
      <w:rFonts w:ascii="Tahoma" w:hAnsi="Tahoma" w:cs="Tahoma"/>
      <w:sz w:val="16"/>
      <w:szCs w:val="16"/>
    </w:rPr>
  </w:style>
  <w:style w:type="character" w:styleId="Hyperlink">
    <w:name w:val="Hyperlink"/>
    <w:basedOn w:val="DefaultParagraphFont"/>
    <w:uiPriority w:val="99"/>
    <w:unhideWhenUsed/>
    <w:rsid w:val="00E5291D"/>
    <w:rPr>
      <w:color w:val="0000FF" w:themeColor="hyperlink"/>
      <w:u w:val="single"/>
    </w:rPr>
  </w:style>
  <w:style w:type="character" w:styleId="CommentReference">
    <w:name w:val="annotation reference"/>
    <w:basedOn w:val="DefaultParagraphFont"/>
    <w:uiPriority w:val="99"/>
    <w:semiHidden/>
    <w:unhideWhenUsed/>
    <w:rsid w:val="00535EBD"/>
    <w:rPr>
      <w:sz w:val="16"/>
      <w:szCs w:val="16"/>
    </w:rPr>
  </w:style>
  <w:style w:type="paragraph" w:styleId="CommentText">
    <w:name w:val="annotation text"/>
    <w:basedOn w:val="Normal"/>
    <w:link w:val="CommentTextChar"/>
    <w:uiPriority w:val="99"/>
    <w:semiHidden/>
    <w:unhideWhenUsed/>
    <w:rsid w:val="00535EBD"/>
    <w:rPr>
      <w:sz w:val="20"/>
      <w:szCs w:val="20"/>
    </w:rPr>
  </w:style>
  <w:style w:type="character" w:customStyle="1" w:styleId="CommentTextChar">
    <w:name w:val="Comment Text Char"/>
    <w:basedOn w:val="DefaultParagraphFont"/>
    <w:link w:val="CommentText"/>
    <w:uiPriority w:val="99"/>
    <w:semiHidden/>
    <w:rsid w:val="00535EBD"/>
    <w:rPr>
      <w:sz w:val="20"/>
      <w:szCs w:val="20"/>
    </w:rPr>
  </w:style>
  <w:style w:type="paragraph" w:styleId="CommentSubject">
    <w:name w:val="annotation subject"/>
    <w:basedOn w:val="CommentText"/>
    <w:next w:val="CommentText"/>
    <w:link w:val="CommentSubjectChar"/>
    <w:uiPriority w:val="99"/>
    <w:semiHidden/>
    <w:unhideWhenUsed/>
    <w:rsid w:val="00535EBD"/>
    <w:rPr>
      <w:b/>
      <w:bCs/>
    </w:rPr>
  </w:style>
  <w:style w:type="character" w:customStyle="1" w:styleId="CommentSubjectChar">
    <w:name w:val="Comment Subject Char"/>
    <w:basedOn w:val="CommentTextChar"/>
    <w:link w:val="CommentSubject"/>
    <w:uiPriority w:val="99"/>
    <w:semiHidden/>
    <w:rsid w:val="00535EBD"/>
    <w:rPr>
      <w:b/>
      <w:bCs/>
      <w:sz w:val="20"/>
      <w:szCs w:val="20"/>
    </w:rPr>
  </w:style>
  <w:style w:type="character" w:styleId="Strong">
    <w:name w:val="Strong"/>
    <w:basedOn w:val="DefaultParagraphFont"/>
    <w:uiPriority w:val="22"/>
    <w:qFormat/>
    <w:rsid w:val="00C75754"/>
    <w:rPr>
      <w:b/>
      <w:bCs/>
    </w:rPr>
  </w:style>
  <w:style w:type="paragraph" w:styleId="ListParagraph">
    <w:name w:val="List Paragraph"/>
    <w:basedOn w:val="Normal"/>
    <w:uiPriority w:val="34"/>
    <w:qFormat/>
    <w:rsid w:val="00C757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5779">
      <w:bodyDiv w:val="1"/>
      <w:marLeft w:val="0"/>
      <w:marRight w:val="0"/>
      <w:marTop w:val="0"/>
      <w:marBottom w:val="0"/>
      <w:divBdr>
        <w:top w:val="none" w:sz="0" w:space="0" w:color="auto"/>
        <w:left w:val="none" w:sz="0" w:space="0" w:color="auto"/>
        <w:bottom w:val="none" w:sz="0" w:space="0" w:color="auto"/>
        <w:right w:val="none" w:sz="0" w:space="0" w:color="auto"/>
      </w:divBdr>
    </w:div>
    <w:div w:id="1875537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965</Words>
  <Characters>5655</Characters>
  <Application>Microsoft Office Word</Application>
  <DocSecurity>0</DocSecurity>
  <Lines>514</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Marco (Link Asset Services)</dc:creator>
  <cp:lastModifiedBy>Emma</cp:lastModifiedBy>
  <cp:revision>7</cp:revision>
  <cp:lastPrinted>2018-06-13T13:36:00Z</cp:lastPrinted>
  <dcterms:created xsi:type="dcterms:W3CDTF">2021-06-09T10:36:00Z</dcterms:created>
  <dcterms:modified xsi:type="dcterms:W3CDTF">2022-06-22T15:32:00Z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JXZL</vt:lpwstr>
  </property>
  <property fmtid="{D5CDD505-2E9C-101B-9397-08002B2CF9AE}" pid="3" name="udp_CMNumber">
    <vt:lpwstr>224712/10017</vt:lpwstr>
  </property>
  <property fmtid="{D5CDD505-2E9C-101B-9397-08002B2CF9AE}" pid="4" name="udp_DeptCode">
    <vt:lpwstr/>
  </property>
  <property fmtid="{D5CDD505-2E9C-101B-9397-08002B2CF9AE}" pid="5" name="udp_DocID">
    <vt:lpwstr>551973916</vt:lpwstr>
  </property>
  <property fmtid="{D5CDD505-2E9C-101B-9397-08002B2CF9AE}" pid="6" name="udp_DocVersion">
    <vt:lpwstr>13</vt:lpwstr>
  </property>
</Properties>
</file>