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6B83" w14:textId="77777777" w:rsidR="00C44869" w:rsidRPr="002F353A" w:rsidRDefault="00C44869" w:rsidP="00C44869">
      <w:pPr>
        <w:pBdr>
          <w:bottom w:val="single" w:sz="6" w:space="1" w:color="auto"/>
        </w:pBdr>
      </w:pPr>
    </w:p>
    <w:p w14:paraId="3C616E83" w14:textId="77777777" w:rsidR="00C44869" w:rsidRPr="0096322A" w:rsidRDefault="00C44869" w:rsidP="00C44869">
      <w:pPr>
        <w:spacing w:before="240" w:after="240"/>
        <w:jc w:val="center"/>
        <w:rPr>
          <w:b/>
          <w:bCs/>
        </w:rPr>
      </w:pPr>
      <w:r w:rsidRPr="002F353A">
        <w:rPr>
          <w:b/>
          <w:bCs/>
        </w:rPr>
        <w:t>CHILL BRANDS GROUP PLC</w:t>
      </w:r>
    </w:p>
    <w:p w14:paraId="00D95CFA" w14:textId="77777777" w:rsidR="00C44869" w:rsidRDefault="00C44869" w:rsidP="00C44869">
      <w:pPr>
        <w:spacing w:before="240" w:after="240"/>
        <w:jc w:val="center"/>
        <w:rPr>
          <w:b/>
          <w:bCs/>
        </w:rPr>
      </w:pPr>
      <w:r w:rsidRPr="002F353A">
        <w:rPr>
          <w:b/>
          <w:bCs/>
        </w:rPr>
        <w:t xml:space="preserve">(“Chill Brands” </w:t>
      </w:r>
      <w:r w:rsidRPr="002F353A">
        <w:t>or the</w:t>
      </w:r>
      <w:r w:rsidRPr="002F353A">
        <w:rPr>
          <w:b/>
          <w:bCs/>
        </w:rPr>
        <w:t xml:space="preserve"> “Company” </w:t>
      </w:r>
      <w:r w:rsidRPr="002F353A">
        <w:t>or the</w:t>
      </w:r>
      <w:r w:rsidRPr="002F353A">
        <w:rPr>
          <w:b/>
          <w:bCs/>
        </w:rPr>
        <w:t xml:space="preserve"> “Group”)</w:t>
      </w:r>
    </w:p>
    <w:p w14:paraId="2DD09DF1" w14:textId="77777777" w:rsidR="00C44869" w:rsidRPr="002F353A" w:rsidRDefault="00C44869" w:rsidP="00C44869">
      <w:pPr>
        <w:spacing w:before="240" w:after="240"/>
        <w:jc w:val="center"/>
        <w:rPr>
          <w:b/>
          <w:bCs/>
        </w:rPr>
      </w:pPr>
      <w:r>
        <w:rPr>
          <w:b/>
          <w:bCs/>
        </w:rPr>
        <w:t>Registered Company Number 09309241</w:t>
      </w:r>
    </w:p>
    <w:p w14:paraId="3747E618" w14:textId="77777777" w:rsidR="00C44869" w:rsidRPr="002F353A" w:rsidRDefault="00C44869" w:rsidP="00C44869">
      <w:pPr>
        <w:pBdr>
          <w:bottom w:val="single" w:sz="6" w:space="1" w:color="auto"/>
        </w:pBdr>
        <w:spacing w:before="240" w:after="240"/>
        <w:jc w:val="center"/>
        <w:rPr>
          <w:b/>
          <w:bCs/>
        </w:rPr>
      </w:pPr>
      <w:r>
        <w:rPr>
          <w:b/>
          <w:bCs/>
        </w:rPr>
        <w:t>Half Year</w:t>
      </w:r>
      <w:r w:rsidRPr="002F353A">
        <w:rPr>
          <w:b/>
          <w:bCs/>
        </w:rPr>
        <w:t xml:space="preserve"> Results for the Six Months Ended 30 September 202</w:t>
      </w:r>
      <w:r>
        <w:rPr>
          <w:b/>
          <w:bCs/>
        </w:rPr>
        <w:t>4</w:t>
      </w:r>
      <w:r w:rsidRPr="002F353A">
        <w:rPr>
          <w:b/>
          <w:bCs/>
        </w:rPr>
        <w:br/>
      </w:r>
    </w:p>
    <w:p w14:paraId="5C52E6E5" w14:textId="77777777" w:rsidR="00C44869" w:rsidRPr="002F353A" w:rsidRDefault="00C44869" w:rsidP="00C44869">
      <w:pPr>
        <w:spacing w:before="240" w:after="240"/>
        <w:jc w:val="both"/>
      </w:pPr>
      <w:r w:rsidRPr="002F353A">
        <w:t xml:space="preserve">Chill Brands Group, the consumer packaged-goods distribution company, announces its </w:t>
      </w:r>
      <w:r>
        <w:t>unaudited half year</w:t>
      </w:r>
      <w:r w:rsidRPr="002F353A">
        <w:t xml:space="preserve"> results for the six months ending 30 September 202</w:t>
      </w:r>
      <w:r>
        <w:t>4</w:t>
      </w:r>
      <w:r w:rsidRPr="002F353A">
        <w:t xml:space="preserve"> (the “</w:t>
      </w:r>
      <w:r w:rsidRPr="002F353A">
        <w:rPr>
          <w:b/>
          <w:bCs/>
        </w:rPr>
        <w:t>Period</w:t>
      </w:r>
      <w:r w:rsidRPr="002F353A">
        <w:t>”).</w:t>
      </w:r>
    </w:p>
    <w:p w14:paraId="7370BBF3" w14:textId="77777777" w:rsidR="00C44869" w:rsidRDefault="00C44869" w:rsidP="00C44869">
      <w:pPr>
        <w:jc w:val="both"/>
        <w:rPr>
          <w:b/>
          <w:bCs/>
        </w:rPr>
      </w:pPr>
      <w:r>
        <w:rPr>
          <w:b/>
          <w:bCs/>
        </w:rPr>
        <w:t>Summary</w:t>
      </w:r>
    </w:p>
    <w:p w14:paraId="46E75489" w14:textId="77777777" w:rsidR="00C44869" w:rsidRDefault="00C44869" w:rsidP="00C44869">
      <w:pPr>
        <w:spacing w:before="240"/>
        <w:jc w:val="both"/>
      </w:pPr>
      <w:r w:rsidRPr="00771DE6">
        <w:t xml:space="preserve">During the Period, the Company’s operations were significantly impacted by a series of corporate challenges that culminated </w:t>
      </w:r>
      <w:r>
        <w:t xml:space="preserve">in the removal of two former directors from the Company’s Board and the commencement of legal action against them. </w:t>
      </w:r>
      <w:r w:rsidRPr="00771DE6">
        <w:t xml:space="preserve">These events disrupted the development of the Company’s products and </w:t>
      </w:r>
      <w:r>
        <w:t>business</w:t>
      </w:r>
      <w:r w:rsidRPr="00771DE6">
        <w:t xml:space="preserve"> divisions and resulted in a </w:t>
      </w:r>
      <w:r>
        <w:t>significant</w:t>
      </w:r>
      <w:r w:rsidRPr="00771DE6">
        <w:t xml:space="preserve"> decline in commercial activity</w:t>
      </w:r>
      <w:r>
        <w:t xml:space="preserve"> while these issues were addressed</w:t>
      </w:r>
      <w:r w:rsidRPr="00771DE6">
        <w:t xml:space="preserve">. </w:t>
      </w:r>
    </w:p>
    <w:p w14:paraId="33A2DDF8" w14:textId="77777777" w:rsidR="00C44869" w:rsidRDefault="00C44869" w:rsidP="00C44869">
      <w:pPr>
        <w:spacing w:before="240"/>
        <w:jc w:val="both"/>
      </w:pPr>
      <w:r>
        <w:t>It was discovered during the Period that certain assets and funds were removed from the business, necessitating the engagement of professional advisers and the commencement of legal action to secure the Company’s position. This disruption to operations, coupled with numerous exceptional one-off costs, limited the Company’s ability to materially advance its strategic initiatives.</w:t>
      </w:r>
    </w:p>
    <w:p w14:paraId="0A2A308A" w14:textId="77777777" w:rsidR="00C44869" w:rsidRDefault="00C44869" w:rsidP="00C44869">
      <w:pPr>
        <w:spacing w:before="240"/>
        <w:jc w:val="both"/>
      </w:pPr>
      <w:r w:rsidRPr="00C21FED">
        <w:t xml:space="preserve">The Company was sustained during </w:t>
      </w:r>
      <w:r>
        <w:t>this time</w:t>
      </w:r>
      <w:r w:rsidRPr="00C21FED">
        <w:t xml:space="preserve"> by funds raised in January 2024, amounting to approximately £2.4 million</w:t>
      </w:r>
      <w:r>
        <w:t xml:space="preserve"> comprising £1.2 million of new funds raised through a subscription for new ordinary shares and the capitalisation of £1.2 </w:t>
      </w:r>
      <w:proofErr w:type="spellStart"/>
      <w:r>
        <w:t>million</w:t>
      </w:r>
      <w:proofErr w:type="spellEnd"/>
      <w:r>
        <w:t xml:space="preserve"> of inventory debt financing owed to the Company’s significant shareholder, Mr Jonathan Swann</w:t>
      </w:r>
      <w:r w:rsidRPr="00C21FED">
        <w:t>. This funding supported essential operations during a time of reduced commercial output and ongoing legal proceedings.</w:t>
      </w:r>
      <w:r>
        <w:t xml:space="preserve"> During the Period the Company also received payments from major customers relating to the sale of its products into UK distribution channels during the financial year ending 31 March 2024.</w:t>
      </w:r>
    </w:p>
    <w:p w14:paraId="0F94CF84" w14:textId="77777777" w:rsidR="00C44869" w:rsidRDefault="00C44869" w:rsidP="00C44869">
      <w:pPr>
        <w:spacing w:before="240"/>
        <w:jc w:val="both"/>
      </w:pPr>
      <w:r>
        <w:t>Revenues recorded during the Period represent a material decline compared to prior full financial year ending 31 March 2024, reflecting volatility in the domestic market for disposable vape products, the absence of alternative product launches, the disruption to trading activities, and the strategic pause imposed by unresolved issues arising out of the corporate events that took place in April and May 2024.  These challenges are addressed in greater detail elsewhere in this report.</w:t>
      </w:r>
    </w:p>
    <w:p w14:paraId="5AE9A2F7" w14:textId="77777777" w:rsidR="00C44869" w:rsidRPr="00161713" w:rsidRDefault="00C44869" w:rsidP="00C44869">
      <w:pPr>
        <w:spacing w:before="240"/>
        <w:jc w:val="both"/>
      </w:pPr>
      <w:r>
        <w:t xml:space="preserve">The Company has made meaningful progress since the end of the Period. In December 2024, the Company reached a settlement with its former directors resulting in </w:t>
      </w:r>
      <w:r w:rsidRPr="007B565B">
        <w:t xml:space="preserve">the </w:t>
      </w:r>
      <w:r>
        <w:t>c</w:t>
      </w:r>
      <w:r w:rsidRPr="007B565B">
        <w:t xml:space="preserve">hill.com domain and related trademarks </w:t>
      </w:r>
      <w:r>
        <w:t>falling</w:t>
      </w:r>
      <w:r w:rsidRPr="007B565B">
        <w:t xml:space="preserve"> under the Company's ownership and management</w:t>
      </w:r>
      <w:r>
        <w:t xml:space="preserve"> once more. The Company has also refined its business model, most notably by establishing a new distribution division </w:t>
      </w:r>
      <w:r w:rsidRPr="00161713">
        <w:t>through which it provides route-to-market and sales services to third-party consumer brands. This initiative builds upon the retail network and internal sales infrastructure developed during the launch of the Company’s own vaping products in 2023 and early 2024. By leveraging this capability to support other brands, the Company has diversified its revenue streams, generating commission income and recurring retainer fees.</w:t>
      </w:r>
    </w:p>
    <w:p w14:paraId="501DB76B" w14:textId="77777777" w:rsidR="00C44869" w:rsidRDefault="00C44869" w:rsidP="00C44869">
      <w:pPr>
        <w:spacing w:before="240"/>
        <w:jc w:val="both"/>
      </w:pPr>
      <w:r w:rsidRPr="00161713">
        <w:t>This strategic shift reduc</w:t>
      </w:r>
      <w:r>
        <w:t>es the Company’s</w:t>
      </w:r>
      <w:r w:rsidRPr="00161713">
        <w:t xml:space="preserve"> reliance on a single product or </w:t>
      </w:r>
      <w:r>
        <w:t xml:space="preserve">the success of its own </w:t>
      </w:r>
      <w:r w:rsidRPr="00161713">
        <w:t xml:space="preserve">brand in the highly competitive and regulated fast-moving consumer goods (FMCG) sector. </w:t>
      </w:r>
      <w:r>
        <w:t>In acting as</w:t>
      </w:r>
      <w:r w:rsidRPr="00161713">
        <w:t xml:space="preserve"> a service provider rather than</w:t>
      </w:r>
      <w:r>
        <w:t xml:space="preserve"> exclusively as</w:t>
      </w:r>
      <w:r w:rsidRPr="00161713">
        <w:t xml:space="preserve"> a</w:t>
      </w:r>
      <w:r>
        <w:t xml:space="preserve"> </w:t>
      </w:r>
      <w:r w:rsidRPr="00161713">
        <w:t xml:space="preserve">standalone product company, Chill Brands is better positioned to benefit from macro trends across multiple categories </w:t>
      </w:r>
      <w:r>
        <w:t xml:space="preserve">- </w:t>
      </w:r>
      <w:r w:rsidRPr="00161713">
        <w:t xml:space="preserve">including vaping, nicotine pouches, energy drinks and wellness products </w:t>
      </w:r>
      <w:r>
        <w:t>-</w:t>
      </w:r>
      <w:r w:rsidRPr="00161713">
        <w:t xml:space="preserve"> while avoiding many of the burdens that challenge emerging CPG brands. This refined business model provides a platform for sustainable, scalable growth, and </w:t>
      </w:r>
      <w:r>
        <w:t>has been</w:t>
      </w:r>
      <w:r w:rsidRPr="00161713">
        <w:t xml:space="preserve"> a key focus for the Company during the remainder of the financial year.</w:t>
      </w:r>
    </w:p>
    <w:p w14:paraId="1F126DF9" w14:textId="77777777" w:rsidR="00C44869" w:rsidRDefault="00C44869" w:rsidP="00C44869">
      <w:pPr>
        <w:spacing w:before="240"/>
        <w:jc w:val="both"/>
      </w:pPr>
    </w:p>
    <w:p w14:paraId="2111A4BA" w14:textId="77777777" w:rsidR="00C44869" w:rsidRDefault="00C44869" w:rsidP="00C44869">
      <w:pPr>
        <w:spacing w:before="240"/>
        <w:jc w:val="both"/>
        <w:rPr>
          <w:b/>
        </w:rPr>
      </w:pPr>
      <w:r>
        <w:rPr>
          <w:b/>
        </w:rPr>
        <w:t xml:space="preserve">Overview of the Period </w:t>
      </w:r>
    </w:p>
    <w:p w14:paraId="3CE9410C" w14:textId="77777777" w:rsidR="00C44869" w:rsidRPr="00480208" w:rsidRDefault="00C44869" w:rsidP="00C44869">
      <w:pPr>
        <w:spacing w:before="240"/>
        <w:jc w:val="both"/>
        <w:rPr>
          <w:bCs/>
        </w:rPr>
      </w:pPr>
      <w:r w:rsidRPr="00480208">
        <w:rPr>
          <w:bCs/>
        </w:rPr>
        <w:t xml:space="preserve">The Period began with the receipt of a shareholder requisition from the Company’s largest shareholder, seeking the removal of </w:t>
      </w:r>
      <w:r>
        <w:rPr>
          <w:bCs/>
        </w:rPr>
        <w:t>two</w:t>
      </w:r>
      <w:r w:rsidRPr="00480208">
        <w:rPr>
          <w:bCs/>
        </w:rPr>
        <w:t xml:space="preserve"> directors and the appointment of new board members. Shortly thereafter, the Company’s Chief Executive Officer, Callum Sommerton, was suspended pending an investigation into allegations of insider dealing</w:t>
      </w:r>
      <w:r>
        <w:rPr>
          <w:bCs/>
        </w:rPr>
        <w:t xml:space="preserve"> made by other directors</w:t>
      </w:r>
      <w:r w:rsidRPr="00480208">
        <w:rPr>
          <w:bCs/>
        </w:rPr>
        <w:t xml:space="preserve">. These allegations were later found to be </w:t>
      </w:r>
      <w:r>
        <w:rPr>
          <w:bCs/>
        </w:rPr>
        <w:t xml:space="preserve">wholly </w:t>
      </w:r>
      <w:r w:rsidRPr="00480208">
        <w:rPr>
          <w:bCs/>
        </w:rPr>
        <w:t xml:space="preserve">without merit. </w:t>
      </w:r>
      <w:proofErr w:type="gramStart"/>
      <w:r>
        <w:rPr>
          <w:bCs/>
        </w:rPr>
        <w:t>During</w:t>
      </w:r>
      <w:r w:rsidRPr="00480208">
        <w:rPr>
          <w:bCs/>
        </w:rPr>
        <w:t xml:space="preserve"> the course of</w:t>
      </w:r>
      <w:proofErr w:type="gramEnd"/>
      <w:r w:rsidRPr="00480208">
        <w:rPr>
          <w:bCs/>
        </w:rPr>
        <w:t xml:space="preserve"> the investigation</w:t>
      </w:r>
      <w:r>
        <w:rPr>
          <w:bCs/>
        </w:rPr>
        <w:t xml:space="preserve"> </w:t>
      </w:r>
      <w:r w:rsidRPr="00480208">
        <w:rPr>
          <w:bCs/>
        </w:rPr>
        <w:t>the Company</w:t>
      </w:r>
      <w:r>
        <w:rPr>
          <w:bCs/>
        </w:rPr>
        <w:t>, acting through its former directors,</w:t>
      </w:r>
      <w:r w:rsidRPr="00480208">
        <w:rPr>
          <w:bCs/>
        </w:rPr>
        <w:t xml:space="preserve"> engage</w:t>
      </w:r>
      <w:r>
        <w:rPr>
          <w:bCs/>
        </w:rPr>
        <w:t xml:space="preserve">d </w:t>
      </w:r>
      <w:r w:rsidRPr="00480208">
        <w:rPr>
          <w:bCs/>
        </w:rPr>
        <w:t>new legal counsel, PR and communications advisers, and other professional services firms at significant and unanticipated cost to the business.</w:t>
      </w:r>
      <w:r>
        <w:rPr>
          <w:bCs/>
        </w:rPr>
        <w:t xml:space="preserve"> </w:t>
      </w:r>
      <w:proofErr w:type="gramStart"/>
      <w:r>
        <w:rPr>
          <w:bCs/>
        </w:rPr>
        <w:t>The majority of</w:t>
      </w:r>
      <w:proofErr w:type="gramEnd"/>
      <w:r>
        <w:rPr>
          <w:bCs/>
        </w:rPr>
        <w:t xml:space="preserve"> these appointments and engagements were terminated by the new Board and legal action has commenced against certain former advisers whom the Company believes to have acted improperly during their engagement. </w:t>
      </w:r>
    </w:p>
    <w:p w14:paraId="5B713C27" w14:textId="77777777" w:rsidR="00C44869" w:rsidRDefault="00C44869" w:rsidP="00C44869">
      <w:pPr>
        <w:spacing w:before="240"/>
        <w:jc w:val="both"/>
        <w:rPr>
          <w:bCs/>
        </w:rPr>
      </w:pPr>
      <w:r w:rsidRPr="00480208">
        <w:rPr>
          <w:bCs/>
        </w:rPr>
        <w:t>The shareholder-led requisition ultimately resulted in the removal of certain former board members. Following the reconstitution of the Board of Directors, Mr Sommerton was reinstated as Chief Executive Officer and resumed operational leadership of the business.</w:t>
      </w:r>
    </w:p>
    <w:p w14:paraId="221D995C" w14:textId="77777777" w:rsidR="00C44869" w:rsidRPr="00DF4AB8" w:rsidRDefault="00C44869" w:rsidP="00C44869">
      <w:pPr>
        <w:spacing w:before="240"/>
        <w:jc w:val="both"/>
        <w:rPr>
          <w:bCs/>
        </w:rPr>
      </w:pPr>
      <w:r w:rsidRPr="00DF4AB8">
        <w:rPr>
          <w:bCs/>
        </w:rPr>
        <w:t xml:space="preserve">The Company’s shares were suspended from trading on 3 June 2024 following a request made by the former management team to the Financial Conduct Authority (FCA). This request was submitted </w:t>
      </w:r>
      <w:r>
        <w:rPr>
          <w:bCs/>
        </w:rPr>
        <w:t xml:space="preserve">the day before they were removed from office and was made </w:t>
      </w:r>
      <w:r w:rsidRPr="00DF4AB8">
        <w:rPr>
          <w:bCs/>
        </w:rPr>
        <w:t xml:space="preserve">on the basis that the Company was unable to provide the market with an accurate trading update at that time. Since then, the suspension has remained in place due to delays in completing the audit for the financial year ended 31 March 2024, which in turn led to the postponement of the publication of the Company’s annual accounts. These accounts were subsequently published on 23 June 2025. </w:t>
      </w:r>
      <w:r w:rsidRPr="007A17D2">
        <w:rPr>
          <w:bCs/>
        </w:rPr>
        <w:t>The Company now intends to request the lifting of the share suspension by the FCA following the publication of its interim results for the six months ended 30 September 2024.</w:t>
      </w:r>
    </w:p>
    <w:p w14:paraId="64911531" w14:textId="77777777" w:rsidR="00C44869" w:rsidRDefault="00C44869" w:rsidP="00C44869">
      <w:pPr>
        <w:spacing w:before="240"/>
        <w:jc w:val="both"/>
        <w:rPr>
          <w:bCs/>
        </w:rPr>
      </w:pPr>
      <w:r w:rsidRPr="00480208">
        <w:rPr>
          <w:bCs/>
        </w:rPr>
        <w:t xml:space="preserve">Upon taking control, </w:t>
      </w:r>
      <w:r w:rsidRPr="00B45935">
        <w:rPr>
          <w:bCs/>
        </w:rPr>
        <w:t xml:space="preserve">the new Board identified that certain key assets, including the Company’s </w:t>
      </w:r>
      <w:r>
        <w:rPr>
          <w:bCs/>
        </w:rPr>
        <w:t>c</w:t>
      </w:r>
      <w:r w:rsidRPr="00B45935">
        <w:rPr>
          <w:bCs/>
        </w:rPr>
        <w:t>hill.com domain and approximately $400,000 in cash,</w:t>
      </w:r>
      <w:r w:rsidRPr="00480208">
        <w:rPr>
          <w:bCs/>
        </w:rPr>
        <w:t xml:space="preserve"> had been removed from the Company through transactions effected under the prior management. The Company engaged leading U.S. legal counsel to initiate proceedings to recover the domain and related assets. This combination of legal and professional fees</w:t>
      </w:r>
      <w:r>
        <w:rPr>
          <w:bCs/>
        </w:rPr>
        <w:t xml:space="preserve"> </w:t>
      </w:r>
      <w:r w:rsidRPr="00480208">
        <w:rPr>
          <w:bCs/>
        </w:rPr>
        <w:t>and the operational disruption that ensued materially limited the Company’s ability to pursue its strategic and commercial objectives during the Period.</w:t>
      </w:r>
    </w:p>
    <w:p w14:paraId="2CE6F08A" w14:textId="77777777" w:rsidR="00C44869" w:rsidRPr="009E6DE2" w:rsidRDefault="00C44869" w:rsidP="00C44869">
      <w:pPr>
        <w:spacing w:before="240"/>
        <w:jc w:val="both"/>
        <w:rPr>
          <w:bCs/>
        </w:rPr>
      </w:pPr>
      <w:r w:rsidRPr="009E6DE2">
        <w:rPr>
          <w:bCs/>
        </w:rPr>
        <w:t xml:space="preserve">The Company </w:t>
      </w:r>
      <w:r>
        <w:rPr>
          <w:bCs/>
        </w:rPr>
        <w:t>is able only to</w:t>
      </w:r>
      <w:r w:rsidRPr="009E6DE2">
        <w:rPr>
          <w:bCs/>
        </w:rPr>
        <w:t xml:space="preserve"> provide only limited commentary on the actions and decisions of the former directors during the April and May 2024 period</w:t>
      </w:r>
      <w:r>
        <w:rPr>
          <w:bCs/>
        </w:rPr>
        <w:t xml:space="preserve"> </w:t>
      </w:r>
      <w:r w:rsidRPr="009E6DE2">
        <w:rPr>
          <w:bCs/>
        </w:rPr>
        <w:t>as a settlement has since been reached</w:t>
      </w:r>
      <w:r>
        <w:rPr>
          <w:bCs/>
        </w:rPr>
        <w:t xml:space="preserve">, the </w:t>
      </w:r>
      <w:r w:rsidRPr="009E6DE2">
        <w:rPr>
          <w:bCs/>
        </w:rPr>
        <w:t>details of which are set out elsewhere in this report</w:t>
      </w:r>
      <w:r>
        <w:rPr>
          <w:bCs/>
        </w:rPr>
        <w:t>. Many</w:t>
      </w:r>
      <w:r w:rsidRPr="009E6DE2">
        <w:rPr>
          <w:bCs/>
        </w:rPr>
        <w:t xml:space="preserve"> of the related issues have now been resolved.</w:t>
      </w:r>
    </w:p>
    <w:p w14:paraId="32A69BA6" w14:textId="77777777" w:rsidR="00C44869" w:rsidRPr="000D51E5" w:rsidRDefault="00C44869" w:rsidP="00C44869">
      <w:pPr>
        <w:spacing w:before="240"/>
        <w:jc w:val="both"/>
        <w:rPr>
          <w:bCs/>
        </w:rPr>
      </w:pPr>
      <w:r w:rsidRPr="000D51E5">
        <w:rPr>
          <w:bCs/>
        </w:rPr>
        <w:t xml:space="preserve">Following the General Meeting on 4 June 2024 and the reconstitution of the Board, the Company encountered significant operational disruption due to the freezing of its bank accounts. During the period of his suspension, the Company’s CEO had been removed from the banking </w:t>
      </w:r>
      <w:proofErr w:type="gramStart"/>
      <w:r w:rsidRPr="000D51E5">
        <w:rPr>
          <w:bCs/>
        </w:rPr>
        <w:t>mandate, and</w:t>
      </w:r>
      <w:proofErr w:type="gramEnd"/>
      <w:r w:rsidRPr="000D51E5">
        <w:rPr>
          <w:bCs/>
        </w:rPr>
        <w:t xml:space="preserve"> following the governance changes and public disclosure of internal disputes, the Company’s banking providers placed restrictions on the accounts while reviewing its status.</w:t>
      </w:r>
      <w:r>
        <w:rPr>
          <w:bCs/>
        </w:rPr>
        <w:t xml:space="preserve"> </w:t>
      </w:r>
      <w:r w:rsidRPr="000D51E5">
        <w:rPr>
          <w:bCs/>
        </w:rPr>
        <w:t>As a result, the Company experienced a protracted period without access to its own funds and was unable to make or receive payments. This situation seriously hampered the Company’s ability to trade, fulfil obligations, and progress key commercial initiatives during a critical time. The process of securing alternative banking provision proved especially difficult due to a combination of the Company’s unique governance circumstances and its involvement in regulated product categories such as vape and CBD. Despite these challenges, the Company has now successfully secured new banking facilities and restored access to essential financial infrastructure.</w:t>
      </w:r>
    </w:p>
    <w:p w14:paraId="3CAE0E04" w14:textId="77777777" w:rsidR="00C44869" w:rsidRPr="00461372" w:rsidRDefault="00C44869" w:rsidP="00C44869">
      <w:pPr>
        <w:spacing w:before="240"/>
        <w:jc w:val="both"/>
        <w:rPr>
          <w:bCs/>
        </w:rPr>
      </w:pPr>
      <w:r w:rsidRPr="00461372">
        <w:rPr>
          <w:bCs/>
        </w:rPr>
        <w:t xml:space="preserve">Throughout this period, the Company continued to generate sales of its nicotine-free disposable vape products, </w:t>
      </w:r>
      <w:r>
        <w:rPr>
          <w:bCs/>
        </w:rPr>
        <w:t>particularly in</w:t>
      </w:r>
      <w:r w:rsidRPr="00461372">
        <w:rPr>
          <w:bCs/>
        </w:rPr>
        <w:t xml:space="preserve"> the UK independent convenience store channel. </w:t>
      </w:r>
      <w:r>
        <w:rPr>
          <w:bCs/>
        </w:rPr>
        <w:t>During this time, the</w:t>
      </w:r>
      <w:r w:rsidRPr="00461372">
        <w:rPr>
          <w:bCs/>
        </w:rPr>
        <w:t xml:space="preserve"> market for disposable vape products experienced increasing volatility, driven largely by regulatory uncertainty surrounding the UK Government’s proposed ban on disposable vapes</w:t>
      </w:r>
      <w:r>
        <w:rPr>
          <w:bCs/>
        </w:rPr>
        <w:t xml:space="preserve"> - </w:t>
      </w:r>
      <w:r w:rsidRPr="00461372">
        <w:rPr>
          <w:bCs/>
        </w:rPr>
        <w:t xml:space="preserve">legislation which was ultimately implemented on 1 June 2025. This looming regulatory change led to a marked decline in consumer demand and created intense pricing </w:t>
      </w:r>
      <w:r w:rsidRPr="00461372">
        <w:rPr>
          <w:bCs/>
        </w:rPr>
        <w:lastRenderedPageBreak/>
        <w:t>pressure across the category, as retailers sought to clear stock and many competitors engaged in aggressive discounting. These conditions adversely affected the performance of the Company’s disposable product range during the Period, despite the continuation of underlying sales activity.</w:t>
      </w:r>
    </w:p>
    <w:p w14:paraId="7C5C79B4" w14:textId="77777777" w:rsidR="00C44869" w:rsidRPr="00075D56" w:rsidRDefault="00C44869" w:rsidP="00C44869">
      <w:pPr>
        <w:spacing w:before="240"/>
        <w:jc w:val="both"/>
        <w:rPr>
          <w:bCs/>
        </w:rPr>
      </w:pPr>
      <w:r w:rsidRPr="00075D56">
        <w:rPr>
          <w:bCs/>
        </w:rPr>
        <w:t>During the Period, the Company continued to investigate the development and potential launch of new multi-pod, reusable and rechargeable vape devices, despite being significantly constrained by ongoing corporate and financial challenges. These difficulties limited the Company’s ability to allocate resources, progress partnerships, and execute on product development at the pace originally intended.</w:t>
      </w:r>
    </w:p>
    <w:p w14:paraId="02B5EED2" w14:textId="77777777" w:rsidR="00C44869" w:rsidRPr="00075D56" w:rsidRDefault="00C44869" w:rsidP="00C44869">
      <w:pPr>
        <w:spacing w:before="240"/>
        <w:jc w:val="both"/>
        <w:rPr>
          <w:bCs/>
        </w:rPr>
      </w:pPr>
      <w:r w:rsidRPr="00075D56">
        <w:rPr>
          <w:bCs/>
        </w:rPr>
        <w:t xml:space="preserve">The multi-pod concept had initially been conceived by the Company in early </w:t>
      </w:r>
      <w:r>
        <w:rPr>
          <w:bCs/>
        </w:rPr>
        <w:t>2024</w:t>
      </w:r>
      <w:r w:rsidRPr="00075D56">
        <w:rPr>
          <w:bCs/>
        </w:rPr>
        <w:t xml:space="preserve">, at which time it </w:t>
      </w:r>
      <w:r>
        <w:rPr>
          <w:bCs/>
        </w:rPr>
        <w:t xml:space="preserve">still </w:t>
      </w:r>
      <w:r w:rsidRPr="00075D56">
        <w:rPr>
          <w:bCs/>
        </w:rPr>
        <w:t>represented a</w:t>
      </w:r>
      <w:r>
        <w:rPr>
          <w:bCs/>
        </w:rPr>
        <w:t xml:space="preserve">n </w:t>
      </w:r>
      <w:r w:rsidRPr="00075D56">
        <w:rPr>
          <w:bCs/>
        </w:rPr>
        <w:t xml:space="preserve">innovative product with the potential to establish Chill Brands as </w:t>
      </w:r>
      <w:r>
        <w:rPr>
          <w:bCs/>
        </w:rPr>
        <w:t>a relatively</w:t>
      </w:r>
      <w:r w:rsidRPr="00075D56">
        <w:rPr>
          <w:bCs/>
        </w:rPr>
        <w:t xml:space="preserve"> early mover within a nascent sub-category of the vape market. </w:t>
      </w:r>
      <w:r>
        <w:rPr>
          <w:bCs/>
        </w:rPr>
        <w:t>Following</w:t>
      </w:r>
      <w:r w:rsidRPr="00075D56">
        <w:rPr>
          <w:bCs/>
        </w:rPr>
        <w:t xml:space="preserve"> the delays and operational disruption experienced during the intervening period, the competitive landscape evolved rapidly. By the time the Company was </w:t>
      </w:r>
      <w:proofErr w:type="gramStart"/>
      <w:r w:rsidRPr="00075D56">
        <w:rPr>
          <w:bCs/>
        </w:rPr>
        <w:t>in a position</w:t>
      </w:r>
      <w:proofErr w:type="gramEnd"/>
      <w:r w:rsidRPr="00075D56">
        <w:rPr>
          <w:bCs/>
        </w:rPr>
        <w:t xml:space="preserve"> to revisit the project, several well-established brands had already entered the multi-pod space and secured meaningful market share. </w:t>
      </w:r>
      <w:proofErr w:type="gramStart"/>
      <w:r w:rsidRPr="00075D56">
        <w:rPr>
          <w:bCs/>
        </w:rPr>
        <w:t>In light of</w:t>
      </w:r>
      <w:proofErr w:type="gramEnd"/>
      <w:r w:rsidRPr="00075D56">
        <w:rPr>
          <w:bCs/>
        </w:rPr>
        <w:t xml:space="preserve"> these developments</w:t>
      </w:r>
      <w:r>
        <w:rPr>
          <w:bCs/>
        </w:rPr>
        <w:t xml:space="preserve"> </w:t>
      </w:r>
      <w:r w:rsidRPr="00075D56">
        <w:rPr>
          <w:bCs/>
        </w:rPr>
        <w:t>the Company determined that the commercial viability of launching its own multi-pod device had diminished under current circumstances and that it would be prudent to review and reprioritise its strategy accordingly.</w:t>
      </w:r>
    </w:p>
    <w:p w14:paraId="1897AE81" w14:textId="77777777" w:rsidR="00C44869" w:rsidRPr="00A051DC" w:rsidRDefault="00C44869" w:rsidP="00C44869">
      <w:pPr>
        <w:spacing w:before="240"/>
        <w:jc w:val="both"/>
        <w:rPr>
          <w:bCs/>
        </w:rPr>
      </w:pPr>
      <w:r w:rsidRPr="00A051DC">
        <w:rPr>
          <w:bCs/>
        </w:rPr>
        <w:t xml:space="preserve">Following the removal of the Company’s </w:t>
      </w:r>
      <w:r>
        <w:rPr>
          <w:bCs/>
        </w:rPr>
        <w:t xml:space="preserve">two </w:t>
      </w:r>
      <w:r w:rsidRPr="00A051DC">
        <w:rPr>
          <w:bCs/>
        </w:rPr>
        <w:t xml:space="preserve">US-based executive </w:t>
      </w:r>
      <w:r>
        <w:rPr>
          <w:bCs/>
        </w:rPr>
        <w:t>directors</w:t>
      </w:r>
      <w:r w:rsidRPr="00A051DC">
        <w:rPr>
          <w:bCs/>
        </w:rPr>
        <w:t xml:space="preserve"> by shareholder vote at the General Meeting on 4 June 2024, and the subsequent resignation of the Company’s US sales lead and non-executive director, the Company’s US subsidiary was left without an operational management structure. Compounding this situation, the Company’s primary US distribution partner</w:t>
      </w:r>
      <w:r>
        <w:rPr>
          <w:bCs/>
        </w:rPr>
        <w:t xml:space="preserve"> - </w:t>
      </w:r>
      <w:r w:rsidRPr="00A051DC">
        <w:rPr>
          <w:bCs/>
        </w:rPr>
        <w:t>previously engaged to provide a route to market for its nicotine-free vape products</w:t>
      </w:r>
      <w:r>
        <w:rPr>
          <w:bCs/>
        </w:rPr>
        <w:t xml:space="preserve"> - </w:t>
      </w:r>
      <w:r w:rsidRPr="00A051DC">
        <w:rPr>
          <w:bCs/>
        </w:rPr>
        <w:t xml:space="preserve">began winding down its business due to financial difficulties. The Company continues to pursue recovery of outstanding funds owed by this distributor to its US subsidiary. </w:t>
      </w:r>
      <w:proofErr w:type="gramStart"/>
      <w:r w:rsidRPr="00A051DC">
        <w:rPr>
          <w:bCs/>
        </w:rPr>
        <w:t>In light of</w:t>
      </w:r>
      <w:proofErr w:type="gramEnd"/>
      <w:r w:rsidRPr="00A051DC">
        <w:rPr>
          <w:bCs/>
        </w:rPr>
        <w:t xml:space="preserve"> these developments</w:t>
      </w:r>
      <w:r>
        <w:rPr>
          <w:bCs/>
        </w:rPr>
        <w:t xml:space="preserve"> and the fact that the US subsidiary was not making a material contribution to revenue,</w:t>
      </w:r>
      <w:r w:rsidRPr="00A051DC">
        <w:rPr>
          <w:bCs/>
        </w:rPr>
        <w:t xml:space="preserve"> the Board concluded that it was no longer viable to continue progressing commercial operations in the United States. Accordingly, the decision was taken to reduce exposure to all US-related costs and commitments, and to concentrate the Company’s resources on the UK market, where it has greater operational control, stronger infrastructure, and more immediate commercial opportunities.</w:t>
      </w:r>
    </w:p>
    <w:p w14:paraId="0E0E57E5" w14:textId="77777777" w:rsidR="00C44869" w:rsidRPr="006D39DF" w:rsidRDefault="00C44869" w:rsidP="00C44869">
      <w:pPr>
        <w:spacing w:before="240"/>
        <w:jc w:val="both"/>
        <w:rPr>
          <w:bCs/>
        </w:rPr>
      </w:pPr>
      <w:r>
        <w:rPr>
          <w:bCs/>
        </w:rPr>
        <w:t>The decision to</w:t>
      </w:r>
      <w:r w:rsidRPr="00285B30">
        <w:rPr>
          <w:bCs/>
        </w:rPr>
        <w:t xml:space="preserve"> </w:t>
      </w:r>
      <w:r>
        <w:rPr>
          <w:bCs/>
        </w:rPr>
        <w:t>scale</w:t>
      </w:r>
      <w:r w:rsidRPr="00285B30">
        <w:rPr>
          <w:bCs/>
        </w:rPr>
        <w:t xml:space="preserve"> back the Company’s US operations </w:t>
      </w:r>
      <w:r>
        <w:rPr>
          <w:bCs/>
        </w:rPr>
        <w:t xml:space="preserve">was not taken lightly. </w:t>
      </w:r>
      <w:r w:rsidRPr="00F35234">
        <w:rPr>
          <w:bCs/>
        </w:rPr>
        <w:t xml:space="preserve">The US vaping market is notoriously complex and highly fragmented, with oversight shared between the Food and Drug Administration (FDA), state regulators, and, in many cases, local authorities. The regulatory burden for companies operating in this space is significant, with stringent requirements including the costly and time-consuming Premarket Tobacco Product Application (PMTA) process for any product containing, or even capable of containing, nicotine. In addition, flavour restrictions vary widely from state to state, further complicating product strategy and distribution planning. Compounding these regulatory hurdles, escalating tariffs on imports from China </w:t>
      </w:r>
      <w:r>
        <w:rPr>
          <w:bCs/>
        </w:rPr>
        <w:t>(</w:t>
      </w:r>
      <w:r w:rsidRPr="00F35234">
        <w:rPr>
          <w:bCs/>
        </w:rPr>
        <w:t xml:space="preserve">where the Company’s Chill ZERO products </w:t>
      </w:r>
      <w:r>
        <w:rPr>
          <w:bCs/>
        </w:rPr>
        <w:t>were</w:t>
      </w:r>
      <w:r w:rsidRPr="00F35234">
        <w:rPr>
          <w:bCs/>
        </w:rPr>
        <w:t xml:space="preserve"> manufactured</w:t>
      </w:r>
      <w:r>
        <w:rPr>
          <w:bCs/>
        </w:rPr>
        <w:t xml:space="preserve">) </w:t>
      </w:r>
      <w:r w:rsidRPr="00F35234">
        <w:rPr>
          <w:bCs/>
        </w:rPr>
        <w:t>would have significantly increased the cost base of any large-scale US expansion. These combined factors would have made it extremely difficult for the Company to scale its operations sustainably in the US</w:t>
      </w:r>
      <w:r>
        <w:rPr>
          <w:bCs/>
        </w:rPr>
        <w:t xml:space="preserve"> without very significant capital investment</w:t>
      </w:r>
      <w:r w:rsidRPr="00F35234">
        <w:rPr>
          <w:bCs/>
        </w:rPr>
        <w:t>. As such, a strategic decision to pause active operations in the market allows the Company to focus on more accessible and controllable growth opportunities in the UK and Europe.</w:t>
      </w:r>
    </w:p>
    <w:p w14:paraId="574EAC2E" w14:textId="77777777" w:rsidR="00C44869" w:rsidRDefault="00C44869" w:rsidP="00C44869">
      <w:pPr>
        <w:spacing w:before="240"/>
        <w:jc w:val="both"/>
        <w:rPr>
          <w:b/>
        </w:rPr>
      </w:pPr>
      <w:r>
        <w:rPr>
          <w:b/>
        </w:rPr>
        <w:t>Financial Overview</w:t>
      </w:r>
    </w:p>
    <w:p w14:paraId="00303F33" w14:textId="77777777" w:rsidR="00C44869" w:rsidRPr="007133A8" w:rsidRDefault="00C44869" w:rsidP="00C44869">
      <w:pPr>
        <w:spacing w:before="240"/>
        <w:jc w:val="both"/>
      </w:pPr>
      <w:r w:rsidRPr="00357B01">
        <w:t xml:space="preserve">During the half </w:t>
      </w:r>
      <w:r w:rsidRPr="007133A8">
        <w:t xml:space="preserve">year Period the Company recorded revenues of £164,001 (prior interim period: £143,938, full year to 31 March 2024: £1,908,020), a </w:t>
      </w:r>
      <w:r>
        <w:t>significant</w:t>
      </w:r>
      <w:r w:rsidRPr="007133A8">
        <w:t xml:space="preserve"> decrease on the prior full financial year</w:t>
      </w:r>
      <w:r>
        <w:t>’s</w:t>
      </w:r>
      <w:r w:rsidRPr="007133A8">
        <w:t xml:space="preserve"> </w:t>
      </w:r>
      <w:r>
        <w:t>run rate for the reasons explained above</w:t>
      </w:r>
      <w:r w:rsidRPr="007133A8">
        <w:t xml:space="preserve">. </w:t>
      </w:r>
    </w:p>
    <w:p w14:paraId="55F53CE0" w14:textId="77777777" w:rsidR="00C44869" w:rsidRPr="00291B8E" w:rsidRDefault="00C44869" w:rsidP="00C44869">
      <w:pPr>
        <w:spacing w:before="240"/>
        <w:jc w:val="both"/>
      </w:pPr>
      <w:r w:rsidRPr="007133A8">
        <w:t>Sales of the Company’s products resulted in a gross loss of £376,186 (prior interim period: gross profit of £61,699, full year to 31 March 2024: gross profit of £472,810)</w:t>
      </w:r>
      <w:r>
        <w:t>.</w:t>
      </w:r>
      <w:r w:rsidRPr="007133A8">
        <w:t xml:space="preserve"> </w:t>
      </w:r>
      <w:r w:rsidRPr="00291B8E">
        <w:t xml:space="preserve">The Company’s gross margin was impacted by a reduction in sales activity during a period of corporate disruption, as well as by shifting market dynamics driven by growing regulatory pressure and consumer transition away from disposable vape formats. Throughout late 2023 and early 2024, the Company had made strategic progress in securing listings for its </w:t>
      </w:r>
      <w:r w:rsidRPr="00291B8E">
        <w:lastRenderedPageBreak/>
        <w:t>Chill ZERO products across major UK retail accounts and had anticipated a subsequent uplift in sales volumes that would have enabled it to benefit from economies of scale and improved contribution margins.</w:t>
      </w:r>
    </w:p>
    <w:p w14:paraId="3C2D43CE" w14:textId="77777777" w:rsidR="00C44869" w:rsidRPr="00291B8E" w:rsidRDefault="00C44869" w:rsidP="00C44869">
      <w:pPr>
        <w:spacing w:before="240"/>
        <w:jc w:val="both"/>
      </w:pPr>
      <w:r w:rsidRPr="00291B8E">
        <w:t>In preparation for this expected phase of commercial expansion, the Company</w:t>
      </w:r>
      <w:r>
        <w:t xml:space="preserve"> had</w:t>
      </w:r>
      <w:r w:rsidRPr="00291B8E">
        <w:t xml:space="preserve"> invested heavily in its sales and marketing functions, including the implementation of new promotional campaigns and field activation programmes. However, the disruption caused by the governance events of April and May 2024, along with the suspension of key commercial operations and the freezing of banking facilities, prevented the business from capitalising on this momentum. As a result, a significant portion of the costs incurred during the Period</w:t>
      </w:r>
      <w:r>
        <w:t xml:space="preserve"> - </w:t>
      </w:r>
      <w:r w:rsidRPr="00291B8E">
        <w:t>while strategically aligned with the Company’s prior growth trajectory</w:t>
      </w:r>
      <w:r>
        <w:t xml:space="preserve"> - </w:t>
      </w:r>
      <w:r w:rsidRPr="00291B8E">
        <w:t>did not yield the anticipated returns, contributing to the erosion of gross margin during the reporting period.</w:t>
      </w:r>
    </w:p>
    <w:p w14:paraId="2F8F0350" w14:textId="77777777" w:rsidR="00C44869" w:rsidRPr="00635AB3" w:rsidRDefault="00C44869" w:rsidP="00C44869">
      <w:pPr>
        <w:spacing w:before="240"/>
        <w:jc w:val="both"/>
        <w:rPr>
          <w:highlight w:val="yellow"/>
        </w:rPr>
      </w:pPr>
      <w:r w:rsidRPr="00DF7502">
        <w:t>The Company recorded an operating loss of £2,448,408 (prior interim period: operating loss of £1,457,8092,</w:t>
      </w:r>
      <w:r>
        <w:t xml:space="preserve"> </w:t>
      </w:r>
      <w:r w:rsidRPr="00DF7502">
        <w:t xml:space="preserve">full year to 31 March 2024: </w:t>
      </w:r>
      <w:r>
        <w:t xml:space="preserve">operating loss of </w:t>
      </w:r>
      <w:r w:rsidRPr="00DF7502">
        <w:t xml:space="preserve">£2,903,529). </w:t>
      </w:r>
      <w:r w:rsidRPr="00635AB3">
        <w:t xml:space="preserve">This elevated loss reflects, in large part, a significant increase in spending on professional advisors during a period of corporate turbulence. Between 22 April and 3 May 2024 alone, more than £300,000 in cash was expended on newly appointed legal counsel, corporate communications specialists, and other advisory professionals, as the </w:t>
      </w:r>
      <w:r>
        <w:t xml:space="preserve">former directors of the </w:t>
      </w:r>
      <w:r w:rsidRPr="00635AB3">
        <w:t xml:space="preserve">Company sought to manage the fallout from the shareholder-led governance intervention and stabilise </w:t>
      </w:r>
      <w:r>
        <w:t xml:space="preserve">the </w:t>
      </w:r>
      <w:r w:rsidRPr="00635AB3">
        <w:t>Company</w:t>
      </w:r>
      <w:r>
        <w:t>’s</w:t>
      </w:r>
      <w:r w:rsidRPr="00635AB3">
        <w:t xml:space="preserve"> position.</w:t>
      </w:r>
    </w:p>
    <w:p w14:paraId="1C7EE6DC" w14:textId="77777777" w:rsidR="00C44869" w:rsidRPr="00635AB3" w:rsidRDefault="00C44869" w:rsidP="00C44869">
      <w:pPr>
        <w:spacing w:before="240"/>
        <w:jc w:val="both"/>
      </w:pPr>
      <w:r w:rsidRPr="00635AB3">
        <w:t>During the same period, a further $400,000 was trans</w:t>
      </w:r>
      <w:r>
        <w:t>ferr</w:t>
      </w:r>
      <w:r w:rsidRPr="00635AB3">
        <w:t xml:space="preserve">ed to </w:t>
      </w:r>
      <w:r>
        <w:t xml:space="preserve">the two </w:t>
      </w:r>
      <w:r w:rsidRPr="00635AB3">
        <w:t>former US executive directors. Following this, the Company incurred several hundred thousand dollars in additional legal and professional fees as it pursued recovery of assets through proceedings in the United States federal courts. These expenses were necessary to protect the Company’s interests and secure the return of critical assets. While these costs were exceptional in nature and non-recurring, they had a material adverse impact on the Company’s financial performance during the Period and contributed significantly to the increase in operating loss.</w:t>
      </w:r>
    </w:p>
    <w:p w14:paraId="4B6B54BF" w14:textId="77777777" w:rsidR="00C44869" w:rsidRDefault="00C44869" w:rsidP="00C44869">
      <w:pPr>
        <w:spacing w:before="240"/>
        <w:jc w:val="both"/>
      </w:pPr>
      <w:r w:rsidRPr="00635AB3">
        <w:t xml:space="preserve">There is a reduced cash position at 30 September 2024 of £326,666, compared to £1,315,289 at 31 March 2024. This decline primarily reflects the exceptional costs incurred during the corporate disruption earlier in the year, including substantial spending on professional advisors and legal actions, as well as sums transacted to former US executives. These events placed significant pressure on the Company’s liquidity during the Period. </w:t>
      </w:r>
      <w:r>
        <w:t>The</w:t>
      </w:r>
      <w:r w:rsidRPr="00635AB3">
        <w:t xml:space="preserve"> Company</w:t>
      </w:r>
      <w:r>
        <w:t xml:space="preserve"> has</w:t>
      </w:r>
      <w:r w:rsidRPr="00635AB3">
        <w:t xml:space="preserve"> subsequently raised £1 million through the issuance of convertible loan notes in </w:t>
      </w:r>
      <w:r>
        <w:t>May</w:t>
      </w:r>
      <w:r w:rsidRPr="00635AB3">
        <w:t xml:space="preserve"> 2025. </w:t>
      </w:r>
    </w:p>
    <w:p w14:paraId="6F9F0085" w14:textId="77777777" w:rsidR="00C44869" w:rsidRDefault="00C44869" w:rsidP="00C44869">
      <w:pPr>
        <w:spacing w:before="240"/>
        <w:jc w:val="both"/>
        <w:rPr>
          <w:b/>
        </w:rPr>
      </w:pPr>
      <w:r>
        <w:rPr>
          <w:b/>
        </w:rPr>
        <w:t>Subsequent Events</w:t>
      </w:r>
    </w:p>
    <w:p w14:paraId="41E3E60D" w14:textId="77777777" w:rsidR="00C44869" w:rsidRPr="003C7B86" w:rsidRDefault="00C44869" w:rsidP="00C44869">
      <w:pPr>
        <w:spacing w:before="240"/>
        <w:jc w:val="both"/>
        <w:rPr>
          <w:bCs/>
        </w:rPr>
      </w:pPr>
      <w:r>
        <w:rPr>
          <w:bCs/>
        </w:rPr>
        <w:t>In December 2024</w:t>
      </w:r>
      <w:r w:rsidRPr="003C7B86">
        <w:rPr>
          <w:bCs/>
        </w:rPr>
        <w:t xml:space="preserve">, the Company reached a settlement with its former directors in relation to certain corporate assets, including the chill.com domain. This followed legal proceedings initiated by the Company in the United States District Court for the District of Colorado in July 2024. As part of the settlement, ownership of the chill.com domain and related trademarks </w:t>
      </w:r>
      <w:r>
        <w:rPr>
          <w:bCs/>
        </w:rPr>
        <w:t>now sits with the</w:t>
      </w:r>
      <w:r w:rsidRPr="003C7B86">
        <w:rPr>
          <w:bCs/>
        </w:rPr>
        <w:t xml:space="preserve"> Company. The resolution of this dispute has enabled the Company to </w:t>
      </w:r>
      <w:r>
        <w:rPr>
          <w:bCs/>
        </w:rPr>
        <w:t>exercise</w:t>
      </w:r>
      <w:r w:rsidRPr="003C7B86">
        <w:rPr>
          <w:bCs/>
        </w:rPr>
        <w:t xml:space="preserve"> full control over its core digital asset and focus on the development of its e-commerce and brand platforms without further legal encumbrance.</w:t>
      </w:r>
    </w:p>
    <w:p w14:paraId="5EFD649A" w14:textId="77777777" w:rsidR="00C44869" w:rsidRPr="003C7B86" w:rsidRDefault="00C44869" w:rsidP="00C44869">
      <w:pPr>
        <w:spacing w:before="240"/>
        <w:jc w:val="both"/>
        <w:rPr>
          <w:bCs/>
        </w:rPr>
      </w:pPr>
      <w:r w:rsidRPr="003C7B86">
        <w:rPr>
          <w:bCs/>
        </w:rPr>
        <w:t xml:space="preserve">In the months following the Period end, the Company formally launched its new sales and distribution division, Chill Connect. This division was created to leverage the Company’s established network of retail and wholesale relationships to support third-party brands in the fast-moving consumer goods (FMCG) sector. Since its inception, Chill Connect has secured its first retained clients, including brands in the vape, nicotine pouch, and </w:t>
      </w:r>
      <w:r>
        <w:rPr>
          <w:bCs/>
        </w:rPr>
        <w:t>beverage</w:t>
      </w:r>
      <w:r w:rsidRPr="003C7B86">
        <w:rPr>
          <w:bCs/>
        </w:rPr>
        <w:t xml:space="preserve"> categories. The division offers route-to-market, sales representation, and merchandising services, generating retainer fees and sales commissions, and marking a strategic shift toward a more service-led, diversified revenue model.</w:t>
      </w:r>
      <w:r>
        <w:rPr>
          <w:bCs/>
        </w:rPr>
        <w:t xml:space="preserve"> Through this division, the Company deploys the infrastructure and experience generated through its efforts in delivering its own brand to the mass market, supporting clients seeking to expand and manage their UK distribution footprint.</w:t>
      </w:r>
    </w:p>
    <w:p w14:paraId="3A0946A8" w14:textId="77777777" w:rsidR="00C44869" w:rsidRPr="003C7B86" w:rsidRDefault="00C44869" w:rsidP="00C44869">
      <w:pPr>
        <w:spacing w:before="240"/>
        <w:jc w:val="both"/>
        <w:rPr>
          <w:bCs/>
        </w:rPr>
      </w:pPr>
      <w:r w:rsidRPr="003C7B86">
        <w:rPr>
          <w:bCs/>
        </w:rPr>
        <w:t>On 1 June 2025, legislation prohibiting the sale of disposable vape products came into effect in the United Kingdom. While the Company had already begun to phase out its Chill ZERO disposable products, the implementation of the ban has formalised this transition and reinforced the importance of the Company’s strategic pivot toward service provision and category diversification.</w:t>
      </w:r>
    </w:p>
    <w:p w14:paraId="10E8654A" w14:textId="77777777" w:rsidR="00C44869" w:rsidRPr="003C7B86" w:rsidRDefault="00C44869" w:rsidP="00C44869">
      <w:pPr>
        <w:spacing w:before="240"/>
        <w:jc w:val="both"/>
        <w:rPr>
          <w:bCs/>
        </w:rPr>
      </w:pPr>
      <w:r w:rsidRPr="003C7B86">
        <w:rPr>
          <w:bCs/>
        </w:rPr>
        <w:lastRenderedPageBreak/>
        <w:t xml:space="preserve">To support its operations and strategic initiatives, the Company successfully completed a £1 million fundraising through the issue of convertible loan notes, announced on 24 April 2025. The convertible loan notes carry a 10% annual interest rate, a three-year maturity term, and are convertible at a price of 1.5 pence per share. The fundraising was underwritten by the Company’s largest shareholder, with participation from other investors. These funds have provided critical working capital to support the </w:t>
      </w:r>
      <w:r>
        <w:rPr>
          <w:bCs/>
        </w:rPr>
        <w:t>Company’s commercial objectives</w:t>
      </w:r>
      <w:r w:rsidRPr="003C7B86">
        <w:rPr>
          <w:bCs/>
        </w:rPr>
        <w:t>, cover operational expenses, and position the business for continued recovery and expansion.</w:t>
      </w:r>
    </w:p>
    <w:p w14:paraId="3E827B95" w14:textId="77777777" w:rsidR="00C44869" w:rsidRPr="003C7B86" w:rsidRDefault="00C44869" w:rsidP="00C44869">
      <w:pPr>
        <w:spacing w:before="240"/>
        <w:jc w:val="both"/>
        <w:rPr>
          <w:bCs/>
        </w:rPr>
      </w:pPr>
      <w:r w:rsidRPr="003C7B86">
        <w:rPr>
          <w:bCs/>
        </w:rPr>
        <w:t xml:space="preserve">The Company published its audited accounts for the financial year ended 31 March 2024 on 23 June 2025, following a prolonged delay caused by the disruption and governance changes experienced during the Period. The audit was impacted by changes in management, restricted access to banking and financial records, and the need to re-establish core finance functions. </w:t>
      </w:r>
    </w:p>
    <w:p w14:paraId="2ECBE9B5" w14:textId="77777777" w:rsidR="00C44869" w:rsidRDefault="00C44869" w:rsidP="00C44869">
      <w:pPr>
        <w:spacing w:before="240"/>
        <w:jc w:val="both"/>
        <w:rPr>
          <w:b/>
        </w:rPr>
      </w:pPr>
      <w:r>
        <w:rPr>
          <w:b/>
        </w:rPr>
        <w:t>Outlook and Future Prospects</w:t>
      </w:r>
    </w:p>
    <w:p w14:paraId="5FD191C7" w14:textId="77777777" w:rsidR="00C44869" w:rsidRPr="004A5ACC" w:rsidRDefault="00C44869" w:rsidP="00C44869">
      <w:pPr>
        <w:spacing w:before="240"/>
        <w:jc w:val="both"/>
        <w:rPr>
          <w:bCs/>
        </w:rPr>
      </w:pPr>
      <w:r w:rsidRPr="004A5ACC">
        <w:rPr>
          <w:bCs/>
        </w:rPr>
        <w:t>The past year has been an exceptionally challenging period for the Company</w:t>
      </w:r>
      <w:r>
        <w:rPr>
          <w:bCs/>
        </w:rPr>
        <w:t>. The</w:t>
      </w:r>
      <w:r w:rsidRPr="004A5ACC">
        <w:rPr>
          <w:bCs/>
        </w:rPr>
        <w:t xml:space="preserve"> business was forced to navigate a prolonged period of instability during which many of its commercial activities were necessarily scaled back or paused altogether. For a business of Chill Brands’ size and stage of development, the cumulative impact of these events would have proven insurmountable in many cases. That the Company remains in operation, with meaningful commercial relationships</w:t>
      </w:r>
      <w:r>
        <w:rPr>
          <w:bCs/>
        </w:rPr>
        <w:t xml:space="preserve">, fresh capital, and a renewed position withing the fast moving consumer goods market, is a testament to the support of its shareholders and the underlying value of its network and infrastructure. </w:t>
      </w:r>
    </w:p>
    <w:p w14:paraId="05D27502" w14:textId="77777777" w:rsidR="00C44869" w:rsidRDefault="00C44869" w:rsidP="00C44869">
      <w:pPr>
        <w:spacing w:before="240"/>
        <w:jc w:val="both"/>
        <w:rPr>
          <w:bCs/>
        </w:rPr>
      </w:pPr>
      <w:r w:rsidRPr="004A5ACC">
        <w:rPr>
          <w:bCs/>
        </w:rPr>
        <w:t xml:space="preserve">Although commercial momentum slowed during the Period, the Company was able to use this time to critically assess its market position and identify new opportunities for growth. Drawing on the experience, retail partnerships, and operational know-how gained through the launch of its own products, the Company </w:t>
      </w:r>
      <w:r>
        <w:rPr>
          <w:bCs/>
        </w:rPr>
        <w:t>has</w:t>
      </w:r>
      <w:r w:rsidRPr="004A5ACC">
        <w:rPr>
          <w:bCs/>
        </w:rPr>
        <w:t xml:space="preserve"> </w:t>
      </w:r>
      <w:r>
        <w:rPr>
          <w:bCs/>
        </w:rPr>
        <w:t>positioned</w:t>
      </w:r>
      <w:r w:rsidRPr="004A5ACC">
        <w:rPr>
          <w:bCs/>
        </w:rPr>
        <w:t xml:space="preserve"> itself as a route-to-market and distribution partner for third-party brands. This strategic pivot has laid the foundations for a more sustainable, service-led business model that is better aligned with current market realities and capital availability.</w:t>
      </w:r>
    </w:p>
    <w:p w14:paraId="75DF8EE9" w14:textId="77777777" w:rsidR="00C44869" w:rsidRDefault="00C44869" w:rsidP="00C44869">
      <w:pPr>
        <w:spacing w:before="240"/>
        <w:jc w:val="both"/>
        <w:rPr>
          <w:bCs/>
        </w:rPr>
      </w:pPr>
      <w:r w:rsidRPr="004A5ACC">
        <w:rPr>
          <w:bCs/>
        </w:rPr>
        <w:t>The transition to this new model has already begun to yield results. Through its Chill Connect division, the Company has secured early client wins across key product categories, demonstrating both demand for its services and confidence in its ability to execute. While the challenges of the past year have inevitably delayed some of the Company’s longer-term ambitions, they have also sharpened its focus and led to the creation of a</w:t>
      </w:r>
      <w:r>
        <w:rPr>
          <w:bCs/>
        </w:rPr>
        <w:t>n</w:t>
      </w:r>
      <w:r w:rsidRPr="004A5ACC">
        <w:rPr>
          <w:bCs/>
        </w:rPr>
        <w:t xml:space="preserve"> organisation</w:t>
      </w:r>
      <w:r>
        <w:rPr>
          <w:bCs/>
        </w:rPr>
        <w:t xml:space="preserve"> </w:t>
      </w:r>
      <w:r w:rsidRPr="004A5ACC">
        <w:rPr>
          <w:bCs/>
        </w:rPr>
        <w:t>that is now well positioned to pursue growth in a more disciplined manner.</w:t>
      </w:r>
    </w:p>
    <w:p w14:paraId="1C7A81E6" w14:textId="77777777" w:rsidR="00C44869" w:rsidRDefault="00C44869" w:rsidP="00C44869">
      <w:pPr>
        <w:spacing w:before="240"/>
        <w:jc w:val="both"/>
        <w:rPr>
          <w:bCs/>
        </w:rPr>
      </w:pPr>
      <w:r w:rsidRPr="00B60025">
        <w:rPr>
          <w:bCs/>
        </w:rPr>
        <w:t xml:space="preserve">At the time of writing, the Company is actively expanding its sales team to meet growing demand for its distribution services. The Chill Connect division is onboarding an increasing number of brands and products, including several </w:t>
      </w:r>
      <w:r>
        <w:rPr>
          <w:bCs/>
        </w:rPr>
        <w:t>well-</w:t>
      </w:r>
      <w:r w:rsidRPr="00B60025">
        <w:rPr>
          <w:bCs/>
        </w:rPr>
        <w:t xml:space="preserve">recognised and category-leading names </w:t>
      </w:r>
      <w:r>
        <w:rPr>
          <w:bCs/>
        </w:rPr>
        <w:t>in</w:t>
      </w:r>
      <w:r w:rsidRPr="00B60025">
        <w:rPr>
          <w:bCs/>
        </w:rPr>
        <w:t xml:space="preserve"> the vape</w:t>
      </w:r>
      <w:r>
        <w:rPr>
          <w:bCs/>
        </w:rPr>
        <w:t xml:space="preserve"> and </w:t>
      </w:r>
      <w:r w:rsidRPr="00B60025">
        <w:rPr>
          <w:bCs/>
        </w:rPr>
        <w:t>nicotine pouch</w:t>
      </w:r>
      <w:r>
        <w:rPr>
          <w:bCs/>
        </w:rPr>
        <w:t xml:space="preserve"> </w:t>
      </w:r>
      <w:r w:rsidRPr="00B60025">
        <w:rPr>
          <w:bCs/>
        </w:rPr>
        <w:t>sector</w:t>
      </w:r>
      <w:r>
        <w:rPr>
          <w:bCs/>
        </w:rPr>
        <w:t>.</w:t>
      </w:r>
      <w:r w:rsidRPr="00B60025">
        <w:rPr>
          <w:bCs/>
        </w:rPr>
        <w:t xml:space="preserve"> Alongside this, the Company is broadening its sales network by opening new doors with independent retailers, national store groups, distributors, and specialist wholesalers. This growth reflects both the strength of the Company’s market </w:t>
      </w:r>
      <w:proofErr w:type="gramStart"/>
      <w:r w:rsidRPr="00B60025">
        <w:rPr>
          <w:bCs/>
        </w:rPr>
        <w:t>positioning</w:t>
      </w:r>
      <w:proofErr w:type="gramEnd"/>
      <w:r w:rsidRPr="00B60025">
        <w:rPr>
          <w:bCs/>
        </w:rPr>
        <w:t xml:space="preserve"> and the trust placed in its team by respected brand partners. As the division builds out its infrastructure</w:t>
      </w:r>
      <w:r>
        <w:rPr>
          <w:bCs/>
        </w:rPr>
        <w:t xml:space="preserve"> - </w:t>
      </w:r>
      <w:r w:rsidRPr="00B60025">
        <w:rPr>
          <w:bCs/>
        </w:rPr>
        <w:t>including improved systems, reporting capabilities, and account management resources</w:t>
      </w:r>
      <w:r>
        <w:rPr>
          <w:bCs/>
        </w:rPr>
        <w:t xml:space="preserve"> - </w:t>
      </w:r>
      <w:r w:rsidRPr="00B60025">
        <w:rPr>
          <w:bCs/>
        </w:rPr>
        <w:t>the Company is establishing a credible presence within the FMCG distribution landscape. Despite its size, Chill Brands is consistently delivering results and securing clients typically serviced by much larger organisations, demonstrating that it is already punching above its weight in this space.</w:t>
      </w:r>
    </w:p>
    <w:p w14:paraId="22D614C5" w14:textId="77777777" w:rsidR="00C44869" w:rsidRPr="00C424D1" w:rsidRDefault="00C44869" w:rsidP="00C44869">
      <w:pPr>
        <w:spacing w:before="240"/>
        <w:jc w:val="both"/>
        <w:rPr>
          <w:bCs/>
        </w:rPr>
      </w:pPr>
      <w:r w:rsidRPr="00C424D1">
        <w:rPr>
          <w:bCs/>
        </w:rPr>
        <w:t>The Company continues to maintain confidence in the long-term potential of its own Chill-branded product range</w:t>
      </w:r>
      <w:r>
        <w:rPr>
          <w:bCs/>
        </w:rPr>
        <w:t>, but</w:t>
      </w:r>
      <w:r w:rsidRPr="00C424D1">
        <w:rPr>
          <w:bCs/>
        </w:rPr>
        <w:t xml:space="preserve"> </w:t>
      </w:r>
      <w:r>
        <w:rPr>
          <w:bCs/>
        </w:rPr>
        <w:t>the</w:t>
      </w:r>
      <w:r w:rsidRPr="00C424D1">
        <w:rPr>
          <w:bCs/>
        </w:rPr>
        <w:t xml:space="preserve"> development, launch and commercialisation of new vape products is highly capital intensive and operationally complex. This is due to a combination of factors, including the upfront costs of manufacturing inventory at scale, the need to meet evolving regulatory compliance standards, and the requirement to fund listing fees, in-store merchandising, and promotional activities to secure and retain shelf space in national retail chains. These costs are</w:t>
      </w:r>
      <w:r>
        <w:rPr>
          <w:bCs/>
        </w:rPr>
        <w:t xml:space="preserve"> </w:t>
      </w:r>
      <w:r w:rsidRPr="00C424D1">
        <w:rPr>
          <w:bCs/>
        </w:rPr>
        <w:t>further compounded by long cash collection cycles, with payment terms from major retailers and distributors often extending beyond 60 or even 90 days. The sector is also characterised by intense competition from large, well-capitalised incumbents</w:t>
      </w:r>
      <w:r>
        <w:rPr>
          <w:bCs/>
        </w:rPr>
        <w:t>,</w:t>
      </w:r>
      <w:r w:rsidRPr="00C424D1">
        <w:rPr>
          <w:bCs/>
        </w:rPr>
        <w:t xml:space="preserve"> including multinational </w:t>
      </w:r>
      <w:r w:rsidRPr="00C424D1">
        <w:rPr>
          <w:bCs/>
        </w:rPr>
        <w:lastRenderedPageBreak/>
        <w:t>tobacco companies</w:t>
      </w:r>
      <w:r>
        <w:rPr>
          <w:bCs/>
        </w:rPr>
        <w:t xml:space="preserve"> and industry leaders that dominate the market with </w:t>
      </w:r>
      <w:r w:rsidRPr="00C424D1">
        <w:rPr>
          <w:bCs/>
        </w:rPr>
        <w:t>established distribution networks, and the ability to outspend smaller operators on marketing and trade incentives.</w:t>
      </w:r>
    </w:p>
    <w:p w14:paraId="09E79699" w14:textId="77777777" w:rsidR="00C44869" w:rsidRPr="0007512E" w:rsidRDefault="00C44869" w:rsidP="00C44869">
      <w:pPr>
        <w:spacing w:before="240"/>
        <w:jc w:val="both"/>
        <w:rPr>
          <w:bCs/>
        </w:rPr>
      </w:pPr>
      <w:r w:rsidRPr="0007512E">
        <w:rPr>
          <w:bCs/>
        </w:rPr>
        <w:t>The market remains volatile following the ban on disposables, as retailers reassess category plans and consumers adjust to the transition toward reusable formats. This has resulted in a period of heightened uncertainty and consolidation, with many smaller or undercapitalised brands withdrawing from the category or shifting their commercial strategies. Against this backdrop, the cost of launching a new brand or device is elevated further by the need for sustained consumer education, particularly in relation to zero-nicotine formats that may be unfamiliar to large segments of the market.</w:t>
      </w:r>
    </w:p>
    <w:p w14:paraId="14891492" w14:textId="77777777" w:rsidR="00C44869" w:rsidRPr="00AD0531" w:rsidRDefault="00C44869" w:rsidP="00C44869">
      <w:pPr>
        <w:spacing w:before="240"/>
        <w:jc w:val="both"/>
        <w:rPr>
          <w:bCs/>
        </w:rPr>
      </w:pPr>
      <w:r w:rsidRPr="00AD0531">
        <w:rPr>
          <w:bCs/>
        </w:rPr>
        <w:t>While the Company continues to support and sell certain own-brand products</w:t>
      </w:r>
      <w:r>
        <w:rPr>
          <w:bCs/>
        </w:rPr>
        <w:t xml:space="preserve"> - i</w:t>
      </w:r>
      <w:r w:rsidRPr="00AD0531">
        <w:rPr>
          <w:bCs/>
        </w:rPr>
        <w:t xml:space="preserve">ncluding its range of nicotine-free e-liquids designed for use in refillable vape devices </w:t>
      </w:r>
      <w:r>
        <w:rPr>
          <w:bCs/>
        </w:rPr>
        <w:t xml:space="preserve">- </w:t>
      </w:r>
      <w:r w:rsidRPr="00AD0531">
        <w:rPr>
          <w:bCs/>
        </w:rPr>
        <w:t>its immediate commercial focus is on building out its new distribution division. This business model leverages the retail relationships and internal sales capabilities developed during the launch of Chill ZERO and offers a lower-risk</w:t>
      </w:r>
      <w:r>
        <w:rPr>
          <w:bCs/>
        </w:rPr>
        <w:t xml:space="preserve"> </w:t>
      </w:r>
      <w:r w:rsidRPr="00AD0531">
        <w:rPr>
          <w:bCs/>
        </w:rPr>
        <w:t xml:space="preserve">route to revenue generation. </w:t>
      </w:r>
      <w:r>
        <w:rPr>
          <w:bCs/>
        </w:rPr>
        <w:t>Through</w:t>
      </w:r>
      <w:r w:rsidRPr="00AD0531">
        <w:rPr>
          <w:bCs/>
        </w:rPr>
        <w:t xml:space="preserve"> supporting other brands seeking entry into the UK retail and wholesale market, the Company generates retainer fees and sales commissions while avoiding the inventory risk, marketing </w:t>
      </w:r>
      <w:proofErr w:type="gramStart"/>
      <w:r w:rsidRPr="00AD0531">
        <w:rPr>
          <w:bCs/>
        </w:rPr>
        <w:t>spend</w:t>
      </w:r>
      <w:proofErr w:type="gramEnd"/>
      <w:r w:rsidRPr="00AD0531">
        <w:rPr>
          <w:bCs/>
        </w:rPr>
        <w:t>, and regulatory burden associated with launching its own products. In this way, the distribution division provides a more stable and diversified revenue base in the short term.</w:t>
      </w:r>
    </w:p>
    <w:p w14:paraId="69E6E639" w14:textId="77777777" w:rsidR="00C44869" w:rsidRPr="0015151C" w:rsidRDefault="00C44869" w:rsidP="00C44869">
      <w:pPr>
        <w:spacing w:before="240"/>
        <w:jc w:val="both"/>
        <w:rPr>
          <w:bCs/>
        </w:rPr>
      </w:pPr>
      <w:r w:rsidRPr="0015151C">
        <w:rPr>
          <w:bCs/>
        </w:rPr>
        <w:t xml:space="preserve">The Board believes that this focus on services over </w:t>
      </w:r>
      <w:r>
        <w:rPr>
          <w:bCs/>
        </w:rPr>
        <w:t>own brand sales</w:t>
      </w:r>
      <w:r w:rsidRPr="0015151C">
        <w:rPr>
          <w:bCs/>
        </w:rPr>
        <w:t xml:space="preserve"> is the most prudent strategy for the current stage of the Company’s development. Own-brand product launches will be approached more seriously when the Company has access to sufficient capital to do so in a commercially effective manner, and without jeopardising financial stability. When this time comes, new product development will be undertaken selectively and at scale, ensuring that any investment is supported by market insight, distribution readiness, and appropriate working capital buffers.</w:t>
      </w:r>
    </w:p>
    <w:p w14:paraId="5A1B19F5" w14:textId="77777777" w:rsidR="00C44869" w:rsidRDefault="00C44869" w:rsidP="00C44869">
      <w:pPr>
        <w:spacing w:before="240"/>
        <w:jc w:val="both"/>
        <w:rPr>
          <w:bCs/>
        </w:rPr>
      </w:pPr>
      <w:r w:rsidRPr="00293824">
        <w:rPr>
          <w:bCs/>
        </w:rPr>
        <w:t>In the meantime, the Company’s distribution division enables it to work with a broad range of leading brands, providing sales, route-to-market, and retail support services. This model allows Chill Brands to participate in multiple product categories without the capital intensity of launching its own products, while building valuable relationships across the consumer goods sector. Through these partnerships, the Company is establishing itself as an effective operator in the distribution space, expanding its commercial horizons and opening the door to new revenue opportunities.</w:t>
      </w:r>
    </w:p>
    <w:p w14:paraId="5CBFB281" w14:textId="77777777" w:rsidR="00C44869" w:rsidRPr="009451BD" w:rsidRDefault="00C44869" w:rsidP="00C44869">
      <w:pPr>
        <w:spacing w:before="240"/>
        <w:jc w:val="both"/>
        <w:rPr>
          <w:bCs/>
        </w:rPr>
      </w:pPr>
      <w:r w:rsidRPr="009451BD">
        <w:rPr>
          <w:bCs/>
        </w:rPr>
        <w:t xml:space="preserve">As outlined in the Company’s annual report for the financial year ended 31 March 2024, Chill Brands has continued to invest time and resources into the development of its online marketplace at chill.com. While progress has been made, the platform has not yet delivered the commercial results </w:t>
      </w:r>
      <w:r>
        <w:rPr>
          <w:bCs/>
        </w:rPr>
        <w:t>that the management</w:t>
      </w:r>
      <w:r w:rsidRPr="009451BD">
        <w:rPr>
          <w:bCs/>
        </w:rPr>
        <w:t xml:space="preserve"> aspire</w:t>
      </w:r>
      <w:r>
        <w:rPr>
          <w:bCs/>
        </w:rPr>
        <w:t>s</w:t>
      </w:r>
      <w:r w:rsidRPr="009451BD">
        <w:rPr>
          <w:bCs/>
        </w:rPr>
        <w:t xml:space="preserve"> to and believe</w:t>
      </w:r>
      <w:r>
        <w:rPr>
          <w:bCs/>
        </w:rPr>
        <w:t>s</w:t>
      </w:r>
      <w:r w:rsidRPr="009451BD">
        <w:rPr>
          <w:bCs/>
        </w:rPr>
        <w:t xml:space="preserve"> are ultimately achievable. </w:t>
      </w:r>
      <w:r>
        <w:rPr>
          <w:bCs/>
        </w:rPr>
        <w:t xml:space="preserve">However, </w:t>
      </w:r>
      <w:proofErr w:type="gramStart"/>
      <w:r>
        <w:rPr>
          <w:bCs/>
        </w:rPr>
        <w:t>d</w:t>
      </w:r>
      <w:r w:rsidRPr="009451BD">
        <w:rPr>
          <w:bCs/>
        </w:rPr>
        <w:t>uring the course of</w:t>
      </w:r>
      <w:proofErr w:type="gramEnd"/>
      <w:r w:rsidRPr="009451BD">
        <w:rPr>
          <w:bCs/>
        </w:rPr>
        <w:t xml:space="preserve"> 2025, the Company has taken concrete steps to improve the platform’s performance and commercial viability. Notably for the first time</w:t>
      </w:r>
      <w:r>
        <w:rPr>
          <w:bCs/>
        </w:rPr>
        <w:t>, and de</w:t>
      </w:r>
      <w:r w:rsidRPr="009451BD">
        <w:rPr>
          <w:bCs/>
        </w:rPr>
        <w:t>spite regulatory and advertising restrictions on many of the wellness products and ingredients listed on the sit</w:t>
      </w:r>
      <w:r>
        <w:rPr>
          <w:bCs/>
        </w:rPr>
        <w:t xml:space="preserve">e, </w:t>
      </w:r>
      <w:r w:rsidRPr="009451BD">
        <w:rPr>
          <w:bCs/>
        </w:rPr>
        <w:t>the Company has been able to run paid advertising campaigns on Meta platforms,</w:t>
      </w:r>
      <w:r>
        <w:rPr>
          <w:bCs/>
        </w:rPr>
        <w:t xml:space="preserve"> marking</w:t>
      </w:r>
      <w:r w:rsidRPr="009451BD">
        <w:rPr>
          <w:bCs/>
        </w:rPr>
        <w:t xml:space="preserve"> a significant milestone in our ability to drive targeted traffic. </w:t>
      </w:r>
      <w:r>
        <w:rPr>
          <w:bCs/>
        </w:rPr>
        <w:t>Management</w:t>
      </w:r>
      <w:r w:rsidRPr="009451BD">
        <w:rPr>
          <w:bCs/>
        </w:rPr>
        <w:t xml:space="preserve"> </w:t>
      </w:r>
      <w:proofErr w:type="gramStart"/>
      <w:r w:rsidRPr="009451BD">
        <w:rPr>
          <w:bCs/>
        </w:rPr>
        <w:t>are</w:t>
      </w:r>
      <w:proofErr w:type="gramEnd"/>
      <w:r>
        <w:rPr>
          <w:bCs/>
        </w:rPr>
        <w:t xml:space="preserve"> also</w:t>
      </w:r>
      <w:r w:rsidRPr="009451BD">
        <w:rPr>
          <w:bCs/>
        </w:rPr>
        <w:t xml:space="preserve"> implementing changes to improve conversion rates and actively consulting with e-commerce specialists on a range of optimisation strategies aimed at enhancing the </w:t>
      </w:r>
      <w:r>
        <w:rPr>
          <w:bCs/>
        </w:rPr>
        <w:t xml:space="preserve">site’s </w:t>
      </w:r>
      <w:r w:rsidRPr="009451BD">
        <w:rPr>
          <w:bCs/>
        </w:rPr>
        <w:t>user experience and commercial performance.</w:t>
      </w:r>
    </w:p>
    <w:p w14:paraId="412FEB49" w14:textId="77777777" w:rsidR="00C44869" w:rsidRPr="009451BD" w:rsidRDefault="00C44869" w:rsidP="00C44869">
      <w:pPr>
        <w:spacing w:before="240"/>
        <w:jc w:val="both"/>
        <w:rPr>
          <w:bCs/>
        </w:rPr>
      </w:pPr>
      <w:r w:rsidRPr="009451BD">
        <w:rPr>
          <w:bCs/>
        </w:rPr>
        <w:t xml:space="preserve">From the outset, the development of an e-commerce marketplace focused on wellness and functional consumer goods was conceived as a long-term initiative, and that view has not changed. </w:t>
      </w:r>
      <w:r>
        <w:rPr>
          <w:bCs/>
        </w:rPr>
        <w:t>Chill Brands</w:t>
      </w:r>
      <w:r w:rsidRPr="009451BD">
        <w:rPr>
          <w:bCs/>
        </w:rPr>
        <w:t xml:space="preserve"> remain</w:t>
      </w:r>
      <w:r>
        <w:rPr>
          <w:bCs/>
        </w:rPr>
        <w:t>s</w:t>
      </w:r>
      <w:r w:rsidRPr="009451BD">
        <w:rPr>
          <w:bCs/>
        </w:rPr>
        <w:t xml:space="preserve"> focused on incremental improvement, and while revenue contributions to date have not been material, we are committed to the long-term vision for the platform. In a market that increasingly favours online discovery and direct-to-consumer sales, </w:t>
      </w:r>
      <w:r>
        <w:rPr>
          <w:bCs/>
        </w:rPr>
        <w:t>management</w:t>
      </w:r>
      <w:r w:rsidRPr="009451BD">
        <w:rPr>
          <w:bCs/>
        </w:rPr>
        <w:t xml:space="preserve"> believe</w:t>
      </w:r>
      <w:r>
        <w:rPr>
          <w:bCs/>
        </w:rPr>
        <w:t>s</w:t>
      </w:r>
      <w:r w:rsidRPr="009451BD">
        <w:rPr>
          <w:bCs/>
        </w:rPr>
        <w:t xml:space="preserve"> there is a compelling rationale for a dedicated platform that brings together high-quality wellness brands and allows them to reach engaged audiences through a central, trusted retail environment.</w:t>
      </w:r>
    </w:p>
    <w:p w14:paraId="666222FD" w14:textId="77777777" w:rsidR="00C44869" w:rsidRDefault="00C44869" w:rsidP="00C44869">
      <w:pPr>
        <w:spacing w:before="240"/>
        <w:jc w:val="both"/>
        <w:rPr>
          <w:bCs/>
        </w:rPr>
      </w:pPr>
      <w:r w:rsidRPr="009451BD">
        <w:rPr>
          <w:bCs/>
        </w:rPr>
        <w:t xml:space="preserve">Moreover, </w:t>
      </w:r>
      <w:r>
        <w:rPr>
          <w:bCs/>
        </w:rPr>
        <w:t>the Board of directors</w:t>
      </w:r>
      <w:r w:rsidRPr="009451BD">
        <w:rPr>
          <w:bCs/>
        </w:rPr>
        <w:t xml:space="preserve"> remain</w:t>
      </w:r>
      <w:r>
        <w:rPr>
          <w:bCs/>
        </w:rPr>
        <w:t>s</w:t>
      </w:r>
      <w:r w:rsidRPr="009451BD">
        <w:rPr>
          <w:bCs/>
        </w:rPr>
        <w:t xml:space="preserve"> firmly of the belief that chill.com</w:t>
      </w:r>
      <w:r>
        <w:rPr>
          <w:bCs/>
        </w:rPr>
        <w:t xml:space="preserve"> </w:t>
      </w:r>
      <w:r w:rsidRPr="009451BD">
        <w:rPr>
          <w:bCs/>
        </w:rPr>
        <w:t>holds significant inherent value</w:t>
      </w:r>
      <w:r>
        <w:rPr>
          <w:bCs/>
        </w:rPr>
        <w:t xml:space="preserve"> </w:t>
      </w:r>
      <w:r w:rsidRPr="009451BD">
        <w:rPr>
          <w:bCs/>
        </w:rPr>
        <w:t xml:space="preserve">as a standalone domain asset. Its simplicity, global relevance, and branding potential make it a unique digital property with substantial appeal to potential acquirers across a range of industries. Regardless of what </w:t>
      </w:r>
      <w:r>
        <w:rPr>
          <w:bCs/>
        </w:rPr>
        <w:t xml:space="preserve">Chill </w:t>
      </w:r>
      <w:r>
        <w:rPr>
          <w:bCs/>
        </w:rPr>
        <w:lastRenderedPageBreak/>
        <w:t>Brands</w:t>
      </w:r>
      <w:r w:rsidRPr="009451BD">
        <w:rPr>
          <w:bCs/>
        </w:rPr>
        <w:t xml:space="preserve"> </w:t>
      </w:r>
      <w:r>
        <w:rPr>
          <w:bCs/>
        </w:rPr>
        <w:t>is</w:t>
      </w:r>
      <w:r w:rsidRPr="009451BD">
        <w:rPr>
          <w:bCs/>
        </w:rPr>
        <w:t xml:space="preserve"> or </w:t>
      </w:r>
      <w:proofErr w:type="gramStart"/>
      <w:r>
        <w:rPr>
          <w:bCs/>
        </w:rPr>
        <w:t>is</w:t>
      </w:r>
      <w:r w:rsidRPr="009451BD">
        <w:rPr>
          <w:bCs/>
        </w:rPr>
        <w:t xml:space="preserve"> not able to</w:t>
      </w:r>
      <w:proofErr w:type="gramEnd"/>
      <w:r w:rsidRPr="009451BD">
        <w:rPr>
          <w:bCs/>
        </w:rPr>
        <w:t xml:space="preserve"> achieve with the site in its current form, the domain itself remains a valuable and strategic asset on the Company’s balance sheet.</w:t>
      </w:r>
    </w:p>
    <w:p w14:paraId="5DE52B16" w14:textId="77777777" w:rsidR="00C44869" w:rsidRPr="00212A1C" w:rsidRDefault="00C44869" w:rsidP="00C44869">
      <w:pPr>
        <w:spacing w:before="240"/>
        <w:jc w:val="both"/>
        <w:rPr>
          <w:bCs/>
        </w:rPr>
      </w:pPr>
      <w:r w:rsidRPr="00212A1C">
        <w:rPr>
          <w:bCs/>
        </w:rPr>
        <w:t xml:space="preserve">While the Company does not expect a material increase in revenue during the six months following the Interim Period, this reflects a </w:t>
      </w:r>
      <w:r>
        <w:rPr>
          <w:bCs/>
        </w:rPr>
        <w:t>time of</w:t>
      </w:r>
      <w:r w:rsidRPr="00212A1C">
        <w:rPr>
          <w:bCs/>
        </w:rPr>
        <w:t xml:space="preserve"> focus on operational stabilisation and the execution of its new strategy. As Chill Brands builds momentum within its distribution division and continues to establish credibility with brand partners, the Board believes this measured approach will support more durable and sustainable revenue growth in subsequent periods.</w:t>
      </w:r>
    </w:p>
    <w:p w14:paraId="3BB2C967" w14:textId="77777777" w:rsidR="00C44869" w:rsidRPr="009D199A" w:rsidRDefault="00C44869" w:rsidP="00C44869">
      <w:pPr>
        <w:spacing w:before="240"/>
        <w:jc w:val="both"/>
        <w:rPr>
          <w:bCs/>
        </w:rPr>
      </w:pPr>
      <w:r w:rsidRPr="009D199A">
        <w:rPr>
          <w:bCs/>
        </w:rPr>
        <w:t>Looking forward, the Company is cautiously optimistic about its direction of travel. Having emerged from a period of considerable adversity, Chill Brands now operates with greater clarity of purpose</w:t>
      </w:r>
      <w:r>
        <w:rPr>
          <w:bCs/>
        </w:rPr>
        <w:t xml:space="preserve"> </w:t>
      </w:r>
      <w:r w:rsidRPr="009D199A">
        <w:rPr>
          <w:bCs/>
        </w:rPr>
        <w:t>and a commercial strategy that better reflects both market dynamics and internal capabilities. The business is evolving</w:t>
      </w:r>
      <w:r>
        <w:rPr>
          <w:bCs/>
        </w:rPr>
        <w:t xml:space="preserve"> - </w:t>
      </w:r>
      <w:r w:rsidRPr="009D199A">
        <w:rPr>
          <w:bCs/>
        </w:rPr>
        <w:t>shifting from a brand-centric model to a service-led distribution platform that offers scalable, lower-risk growth potential. At the same time, the Company continues to invest selectively in longer-term opportunities, including the chill.com marketplace. These dual tracks</w:t>
      </w:r>
      <w:r>
        <w:rPr>
          <w:bCs/>
        </w:rPr>
        <w:t xml:space="preserve"> - </w:t>
      </w:r>
      <w:r w:rsidRPr="009D199A">
        <w:rPr>
          <w:bCs/>
        </w:rPr>
        <w:t>short-term commercial execution and long-term value creation</w:t>
      </w:r>
      <w:r>
        <w:rPr>
          <w:bCs/>
        </w:rPr>
        <w:t xml:space="preserve"> - are</w:t>
      </w:r>
      <w:r w:rsidRPr="009D199A">
        <w:rPr>
          <w:bCs/>
        </w:rPr>
        <w:t xml:space="preserve"> the foundation of the Company’s current approach.</w:t>
      </w:r>
    </w:p>
    <w:p w14:paraId="54E54929" w14:textId="77777777" w:rsidR="00C44869" w:rsidRPr="00293824" w:rsidRDefault="00C44869" w:rsidP="00C44869">
      <w:pPr>
        <w:spacing w:before="240"/>
        <w:jc w:val="both"/>
        <w:rPr>
          <w:bCs/>
        </w:rPr>
      </w:pPr>
      <w:r w:rsidRPr="009D199A">
        <w:rPr>
          <w:bCs/>
        </w:rPr>
        <w:t xml:space="preserve">The months ahead will </w:t>
      </w:r>
      <w:r>
        <w:rPr>
          <w:bCs/>
        </w:rPr>
        <w:t>be</w:t>
      </w:r>
      <w:r w:rsidRPr="009D199A">
        <w:rPr>
          <w:bCs/>
        </w:rPr>
        <w:t xml:space="preserve"> critical as the Company works to scale its distribution operations</w:t>
      </w:r>
      <w:r>
        <w:rPr>
          <w:bCs/>
        </w:rPr>
        <w:t xml:space="preserve"> </w:t>
      </w:r>
      <w:r w:rsidRPr="009D199A">
        <w:rPr>
          <w:bCs/>
        </w:rPr>
        <w:t>and demonstrate consistent traction across its service lines.</w:t>
      </w:r>
      <w:r>
        <w:rPr>
          <w:bCs/>
        </w:rPr>
        <w:t xml:space="preserve"> </w:t>
      </w:r>
      <w:r w:rsidRPr="009D199A">
        <w:rPr>
          <w:bCs/>
        </w:rPr>
        <w:t>While the path to recovery is still ongoing, Chill Brands is now better equipped to meet the challenges ahead and to take advantage of the many opportunities that exist within the evolving consumer goods and wellness landscape</w:t>
      </w:r>
      <w:r>
        <w:rPr>
          <w:bCs/>
        </w:rPr>
        <w:t>.</w:t>
      </w:r>
    </w:p>
    <w:p w14:paraId="7B349470" w14:textId="77777777" w:rsidR="00C44869" w:rsidRDefault="00C44869" w:rsidP="00C44869">
      <w:pPr>
        <w:spacing w:before="240"/>
        <w:jc w:val="both"/>
      </w:pPr>
      <w:r w:rsidRPr="00664D4D">
        <w:t xml:space="preserve">This interim financial report was approved by the Board of Directors on </w:t>
      </w:r>
      <w:r w:rsidRPr="00246FA6">
        <w:t xml:space="preserve">10 July 2025 </w:t>
      </w:r>
      <w:r w:rsidRPr="00664D4D">
        <w:t>and signed on its behalf by:</w:t>
      </w:r>
      <w:r>
        <w:t xml:space="preserve"> </w:t>
      </w:r>
    </w:p>
    <w:p w14:paraId="2B2F9821" w14:textId="77777777" w:rsidR="00C44869" w:rsidRDefault="00C44869" w:rsidP="00C44869">
      <w:pPr>
        <w:spacing w:before="240"/>
      </w:pPr>
      <w:r>
        <w:rPr>
          <w:noProof/>
        </w:rPr>
        <w:drawing>
          <wp:anchor distT="0" distB="0" distL="114300" distR="114300" simplePos="0" relativeHeight="251659264" behindDoc="0" locked="0" layoutInCell="1" allowOverlap="1" wp14:anchorId="014D5CC0" wp14:editId="0FEBE4B4">
            <wp:simplePos x="0" y="0"/>
            <wp:positionH relativeFrom="column">
              <wp:posOffset>-14605</wp:posOffset>
            </wp:positionH>
            <wp:positionV relativeFrom="paragraph">
              <wp:posOffset>31750</wp:posOffset>
            </wp:positionV>
            <wp:extent cx="1565910" cy="456565"/>
            <wp:effectExtent l="0" t="0" r="0" b="0"/>
            <wp:wrapNone/>
            <wp:docPr id="1134971566" name="Picture 1" descr="A black and white image of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1566" name="Picture 1" descr="A black and white image of a black backgroun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565910" cy="456565"/>
                    </a:xfrm>
                    <a:prstGeom prst="rect">
                      <a:avLst/>
                    </a:prstGeom>
                  </pic:spPr>
                </pic:pic>
              </a:graphicData>
            </a:graphic>
            <wp14:sizeRelH relativeFrom="page">
              <wp14:pctWidth>0</wp14:pctWidth>
            </wp14:sizeRelH>
            <wp14:sizeRelV relativeFrom="page">
              <wp14:pctHeight>0</wp14:pctHeight>
            </wp14:sizeRelV>
          </wp:anchor>
        </w:drawing>
      </w:r>
    </w:p>
    <w:p w14:paraId="5BEC052D" w14:textId="77777777" w:rsidR="00C44869" w:rsidRDefault="00C44869" w:rsidP="00C44869">
      <w:pPr>
        <w:spacing w:before="240"/>
        <w:rPr>
          <w:b/>
          <w:bCs/>
        </w:rPr>
      </w:pPr>
      <w:bookmarkStart w:id="0" w:name="_Hlk203033700"/>
      <w:r>
        <w:rPr>
          <w:b/>
          <w:bCs/>
        </w:rPr>
        <w:t>Callum Sommerton</w:t>
      </w:r>
      <w:r>
        <w:rPr>
          <w:b/>
          <w:bCs/>
        </w:rPr>
        <w:br/>
        <w:t>Chief Executive Officer, Chill Brands Group plc</w:t>
      </w:r>
    </w:p>
    <w:bookmarkEnd w:id="0"/>
    <w:p w14:paraId="4EF3F00D" w14:textId="77777777" w:rsidR="00C44869" w:rsidRDefault="00C44869" w:rsidP="00C44869">
      <w:pPr>
        <w:spacing w:before="240"/>
        <w:rPr>
          <w:b/>
          <w:bCs/>
        </w:rPr>
      </w:pPr>
    </w:p>
    <w:p w14:paraId="7F4CF6F0" w14:textId="77777777" w:rsidR="00C44869" w:rsidRPr="00FF6779" w:rsidRDefault="00C44869" w:rsidP="00C44869">
      <w:pPr>
        <w:spacing w:before="240"/>
        <w:rPr>
          <w:b/>
          <w:bCs/>
        </w:rPr>
      </w:pPr>
      <w:r w:rsidRPr="00FF6779">
        <w:rPr>
          <w:b/>
          <w:bCs/>
        </w:rPr>
        <w:t xml:space="preserve">Statement of Directors’ Responsibilities in respect of the Condensed Interim Report and Condensed Financial Statements </w:t>
      </w:r>
    </w:p>
    <w:p w14:paraId="46AA5BAF" w14:textId="77777777" w:rsidR="00C44869" w:rsidRPr="00FF6779" w:rsidRDefault="00C44869" w:rsidP="00C44869">
      <w:pPr>
        <w:spacing w:before="240"/>
        <w:jc w:val="both"/>
      </w:pPr>
      <w:r w:rsidRPr="00FF6779">
        <w:t>The directors confirm that the condensed consolidated interim financial information has been prepared in accordance with International Accounting Standard 34, ‘Interim Financial Reporting’, and that the Interim Report includes a fair review of the information required by DTR 4.2.7R and DTR 4.2.8R, namely:</w:t>
      </w:r>
    </w:p>
    <w:p w14:paraId="108C2437" w14:textId="77777777" w:rsidR="00C44869" w:rsidRPr="00FF6779" w:rsidRDefault="00C44869" w:rsidP="00C44869">
      <w:pPr>
        <w:spacing w:before="240"/>
        <w:jc w:val="both"/>
      </w:pPr>
      <w:r w:rsidRPr="00FF6779">
        <w:t>•</w:t>
      </w:r>
      <w:r w:rsidRPr="00FF6779">
        <w:tab/>
        <w:t>an indication of important events that have occurred during the first six months and their impact on the condensed consolidated interim financial information; and</w:t>
      </w:r>
    </w:p>
    <w:p w14:paraId="6B560B13" w14:textId="77777777" w:rsidR="00C44869" w:rsidRPr="00FF6779" w:rsidRDefault="00C44869" w:rsidP="00C44869">
      <w:pPr>
        <w:spacing w:before="240"/>
        <w:jc w:val="both"/>
      </w:pPr>
      <w:r w:rsidRPr="00FF6779">
        <w:t>•</w:t>
      </w:r>
      <w:r w:rsidRPr="00FF6779">
        <w:tab/>
        <w:t xml:space="preserve">material related-party transactions in the first six months and any material changes in the related-party transactions described in the last Annual Report. </w:t>
      </w:r>
    </w:p>
    <w:p w14:paraId="5EF3C17A" w14:textId="77777777" w:rsidR="00C44869" w:rsidRDefault="00C44869" w:rsidP="00C44869">
      <w:pPr>
        <w:spacing w:before="240"/>
        <w:jc w:val="both"/>
      </w:pPr>
      <w:r w:rsidRPr="00FF6779">
        <w:t xml:space="preserve">A list of current directors is maintained on the Company’s web site: </w:t>
      </w:r>
      <w:hyperlink r:id="rId8" w:history="1">
        <w:r w:rsidRPr="002E7B94">
          <w:rPr>
            <w:color w:val="0000FF"/>
            <w:u w:val="single"/>
          </w:rPr>
          <w:t>Board of Directors and Management</w:t>
        </w:r>
      </w:hyperlink>
    </w:p>
    <w:p w14:paraId="48523C9D" w14:textId="77777777" w:rsidR="00C44869" w:rsidRDefault="00C44869" w:rsidP="00C44869">
      <w:pPr>
        <w:spacing w:before="240"/>
        <w:jc w:val="both"/>
      </w:pPr>
      <w:r w:rsidRPr="006D703C">
        <w:t>The Interim Financial Statements were approved by the Board of Directors and the above responsibility statement was signed on its behalf by:</w:t>
      </w:r>
    </w:p>
    <w:p w14:paraId="15EC1DF7" w14:textId="77777777" w:rsidR="00C44869" w:rsidRPr="006D703C" w:rsidRDefault="00C44869" w:rsidP="00C44869">
      <w:pPr>
        <w:spacing w:before="240"/>
        <w:jc w:val="both"/>
      </w:pPr>
      <w:r>
        <w:rPr>
          <w:noProof/>
        </w:rPr>
        <w:drawing>
          <wp:anchor distT="0" distB="0" distL="114300" distR="114300" simplePos="0" relativeHeight="251660288" behindDoc="0" locked="0" layoutInCell="1" allowOverlap="1" wp14:anchorId="67B194A6" wp14:editId="22A07FAF">
            <wp:simplePos x="0" y="0"/>
            <wp:positionH relativeFrom="column">
              <wp:posOffset>0</wp:posOffset>
            </wp:positionH>
            <wp:positionV relativeFrom="paragraph">
              <wp:posOffset>0</wp:posOffset>
            </wp:positionV>
            <wp:extent cx="1565910" cy="456565"/>
            <wp:effectExtent l="0" t="0" r="0" b="0"/>
            <wp:wrapNone/>
            <wp:docPr id="1689009456" name="Picture 1" descr="A black and white image of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1566" name="Picture 1" descr="A black and white image of a black backgroun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565910" cy="456565"/>
                    </a:xfrm>
                    <a:prstGeom prst="rect">
                      <a:avLst/>
                    </a:prstGeom>
                  </pic:spPr>
                </pic:pic>
              </a:graphicData>
            </a:graphic>
            <wp14:sizeRelH relativeFrom="page">
              <wp14:pctWidth>0</wp14:pctWidth>
            </wp14:sizeRelH>
            <wp14:sizeRelV relativeFrom="page">
              <wp14:pctHeight>0</wp14:pctHeight>
            </wp14:sizeRelV>
          </wp:anchor>
        </w:drawing>
      </w:r>
    </w:p>
    <w:p w14:paraId="1E4658C9" w14:textId="77777777" w:rsidR="00C44869" w:rsidRDefault="00C44869" w:rsidP="00C44869">
      <w:pPr>
        <w:spacing w:before="240"/>
        <w:rPr>
          <w:b/>
          <w:bCs/>
        </w:rPr>
      </w:pPr>
      <w:r>
        <w:rPr>
          <w:b/>
          <w:bCs/>
        </w:rPr>
        <w:t>Callum Sommerton</w:t>
      </w:r>
      <w:r>
        <w:rPr>
          <w:b/>
          <w:bCs/>
        </w:rPr>
        <w:br/>
        <w:t>Chief Executive Officer, Chill Brands Group plc</w:t>
      </w:r>
    </w:p>
    <w:p w14:paraId="0BC8D883" w14:textId="77777777" w:rsidR="00C44869" w:rsidRDefault="00C44869" w:rsidP="00C44869">
      <w:pPr>
        <w:spacing w:before="240"/>
      </w:pPr>
      <w:r>
        <w:t>10 July 2025</w:t>
      </w:r>
    </w:p>
    <w:p w14:paraId="3326C3A0" w14:textId="77777777" w:rsidR="00C44869" w:rsidRPr="00DF17C0" w:rsidRDefault="00C44869" w:rsidP="00C44869">
      <w:pPr>
        <w:spacing w:before="240"/>
      </w:pPr>
    </w:p>
    <w:tbl>
      <w:tblPr>
        <w:tblW w:w="5000" w:type="pct"/>
        <w:tblLook w:val="04A0" w:firstRow="1" w:lastRow="0" w:firstColumn="1" w:lastColumn="0" w:noHBand="0" w:noVBand="1"/>
      </w:tblPr>
      <w:tblGrid>
        <w:gridCol w:w="4633"/>
        <w:gridCol w:w="276"/>
        <w:gridCol w:w="276"/>
        <w:gridCol w:w="1451"/>
        <w:gridCol w:w="276"/>
        <w:gridCol w:w="1451"/>
        <w:gridCol w:w="276"/>
        <w:gridCol w:w="1551"/>
        <w:gridCol w:w="276"/>
      </w:tblGrid>
      <w:tr w:rsidR="00C44869" w:rsidRPr="006C7979" w14:paraId="32B7FE00" w14:textId="77777777" w:rsidTr="007B3453">
        <w:trPr>
          <w:trHeight w:val="300"/>
        </w:trPr>
        <w:tc>
          <w:tcPr>
            <w:tcW w:w="5000" w:type="pct"/>
            <w:gridSpan w:val="9"/>
            <w:tcBorders>
              <w:top w:val="nil"/>
              <w:left w:val="nil"/>
              <w:bottom w:val="nil"/>
              <w:right w:val="nil"/>
            </w:tcBorders>
            <w:noWrap/>
            <w:vAlign w:val="bottom"/>
            <w:hideMark/>
          </w:tcPr>
          <w:p w14:paraId="712BA724" w14:textId="77777777" w:rsidR="00C44869" w:rsidRPr="006C7979" w:rsidRDefault="00C44869" w:rsidP="007B3453">
            <w:pPr>
              <w:jc w:val="center"/>
              <w:rPr>
                <w:b/>
                <w:bCs/>
              </w:rPr>
            </w:pPr>
            <w:bookmarkStart w:id="1" w:name="RANGE!A1:I31"/>
            <w:r w:rsidRPr="006C7979">
              <w:rPr>
                <w:b/>
                <w:bCs/>
              </w:rPr>
              <w:t xml:space="preserve">Chill Brands Group PLC </w:t>
            </w:r>
            <w:bookmarkEnd w:id="1"/>
          </w:p>
        </w:tc>
      </w:tr>
      <w:tr w:rsidR="00C44869" w:rsidRPr="006C7979" w14:paraId="7EFC6FF3" w14:textId="77777777" w:rsidTr="007B3453">
        <w:trPr>
          <w:trHeight w:val="420"/>
        </w:trPr>
        <w:tc>
          <w:tcPr>
            <w:tcW w:w="5000" w:type="pct"/>
            <w:gridSpan w:val="9"/>
            <w:tcBorders>
              <w:top w:val="nil"/>
              <w:left w:val="nil"/>
              <w:bottom w:val="nil"/>
              <w:right w:val="nil"/>
            </w:tcBorders>
            <w:noWrap/>
            <w:vAlign w:val="bottom"/>
            <w:hideMark/>
          </w:tcPr>
          <w:p w14:paraId="57980B75" w14:textId="77777777" w:rsidR="00C44869" w:rsidRPr="006C7979" w:rsidRDefault="00C44869" w:rsidP="007B3453">
            <w:pPr>
              <w:jc w:val="center"/>
            </w:pPr>
            <w:r w:rsidRPr="006C7979">
              <w:t>Consolidated Statement of Comprehensive Income (Unaudited)</w:t>
            </w:r>
          </w:p>
        </w:tc>
      </w:tr>
      <w:tr w:rsidR="00C44869" w:rsidRPr="006C7979" w14:paraId="36259BB9" w14:textId="77777777" w:rsidTr="007B3453">
        <w:trPr>
          <w:trHeight w:val="420"/>
        </w:trPr>
        <w:tc>
          <w:tcPr>
            <w:tcW w:w="5000" w:type="pct"/>
            <w:gridSpan w:val="9"/>
            <w:tcBorders>
              <w:top w:val="nil"/>
              <w:left w:val="nil"/>
              <w:bottom w:val="nil"/>
              <w:right w:val="nil"/>
            </w:tcBorders>
            <w:noWrap/>
            <w:vAlign w:val="bottom"/>
            <w:hideMark/>
          </w:tcPr>
          <w:p w14:paraId="355FC56C" w14:textId="77777777" w:rsidR="00C44869" w:rsidRPr="006C7979" w:rsidRDefault="00C44869" w:rsidP="007B3453">
            <w:pPr>
              <w:jc w:val="center"/>
            </w:pPr>
            <w:r w:rsidRPr="006C7979">
              <w:t>For the six months ended 30 September 202</w:t>
            </w:r>
            <w:r>
              <w:t>4</w:t>
            </w:r>
          </w:p>
        </w:tc>
      </w:tr>
      <w:tr w:rsidR="00C44869" w:rsidRPr="006C7979" w14:paraId="7A676EAB" w14:textId="77777777" w:rsidTr="007B3453">
        <w:trPr>
          <w:trHeight w:val="255"/>
        </w:trPr>
        <w:tc>
          <w:tcPr>
            <w:tcW w:w="2213" w:type="pct"/>
            <w:tcBorders>
              <w:top w:val="nil"/>
              <w:left w:val="nil"/>
              <w:bottom w:val="single" w:sz="4" w:space="0" w:color="auto"/>
              <w:right w:val="nil"/>
            </w:tcBorders>
            <w:noWrap/>
            <w:vAlign w:val="bottom"/>
            <w:hideMark/>
          </w:tcPr>
          <w:p w14:paraId="5BD3D9BA" w14:textId="77777777" w:rsidR="00C44869" w:rsidRPr="006C7979" w:rsidRDefault="00C44869" w:rsidP="007B3453">
            <w:pPr>
              <w:jc w:val="center"/>
            </w:pPr>
            <w:r w:rsidRPr="006C7979">
              <w:t> </w:t>
            </w:r>
          </w:p>
        </w:tc>
        <w:tc>
          <w:tcPr>
            <w:tcW w:w="132" w:type="pct"/>
            <w:tcBorders>
              <w:top w:val="nil"/>
              <w:left w:val="nil"/>
              <w:bottom w:val="single" w:sz="4" w:space="0" w:color="auto"/>
              <w:right w:val="nil"/>
            </w:tcBorders>
            <w:noWrap/>
            <w:vAlign w:val="bottom"/>
            <w:hideMark/>
          </w:tcPr>
          <w:p w14:paraId="6954A662" w14:textId="77777777" w:rsidR="00C44869" w:rsidRPr="006C7979" w:rsidRDefault="00C44869" w:rsidP="007B3453">
            <w:pPr>
              <w:jc w:val="center"/>
            </w:pPr>
            <w:r w:rsidRPr="006C7979">
              <w:t> </w:t>
            </w:r>
          </w:p>
        </w:tc>
        <w:tc>
          <w:tcPr>
            <w:tcW w:w="132" w:type="pct"/>
            <w:tcBorders>
              <w:top w:val="nil"/>
              <w:left w:val="nil"/>
              <w:bottom w:val="single" w:sz="4" w:space="0" w:color="auto"/>
              <w:right w:val="nil"/>
            </w:tcBorders>
            <w:noWrap/>
            <w:vAlign w:val="bottom"/>
            <w:hideMark/>
          </w:tcPr>
          <w:p w14:paraId="6F7FFA6E" w14:textId="77777777" w:rsidR="00C44869" w:rsidRPr="006C7979" w:rsidRDefault="00C44869" w:rsidP="007B3453">
            <w:pPr>
              <w:jc w:val="center"/>
            </w:pPr>
            <w:r w:rsidRPr="006C7979">
              <w:t> </w:t>
            </w:r>
          </w:p>
        </w:tc>
        <w:tc>
          <w:tcPr>
            <w:tcW w:w="693" w:type="pct"/>
            <w:tcBorders>
              <w:top w:val="nil"/>
              <w:left w:val="nil"/>
              <w:bottom w:val="single" w:sz="4" w:space="0" w:color="auto"/>
              <w:right w:val="nil"/>
            </w:tcBorders>
            <w:noWrap/>
            <w:vAlign w:val="bottom"/>
            <w:hideMark/>
          </w:tcPr>
          <w:p w14:paraId="1BB73F54" w14:textId="77777777" w:rsidR="00C44869" w:rsidRPr="006C7979" w:rsidRDefault="00C44869" w:rsidP="007B3453">
            <w:pPr>
              <w:jc w:val="center"/>
            </w:pPr>
            <w:r w:rsidRPr="006C7979">
              <w:t> </w:t>
            </w:r>
          </w:p>
        </w:tc>
        <w:tc>
          <w:tcPr>
            <w:tcW w:w="132" w:type="pct"/>
            <w:tcBorders>
              <w:top w:val="nil"/>
              <w:left w:val="nil"/>
              <w:bottom w:val="single" w:sz="4" w:space="0" w:color="auto"/>
              <w:right w:val="nil"/>
            </w:tcBorders>
            <w:noWrap/>
            <w:vAlign w:val="bottom"/>
            <w:hideMark/>
          </w:tcPr>
          <w:p w14:paraId="60054C9C" w14:textId="77777777" w:rsidR="00C44869" w:rsidRPr="006C7979" w:rsidRDefault="00C44869" w:rsidP="007B3453">
            <w:pPr>
              <w:jc w:val="center"/>
            </w:pPr>
            <w:r w:rsidRPr="006C7979">
              <w:t> </w:t>
            </w:r>
          </w:p>
        </w:tc>
        <w:tc>
          <w:tcPr>
            <w:tcW w:w="693" w:type="pct"/>
            <w:tcBorders>
              <w:top w:val="nil"/>
              <w:left w:val="nil"/>
              <w:bottom w:val="single" w:sz="4" w:space="0" w:color="auto"/>
              <w:right w:val="nil"/>
            </w:tcBorders>
            <w:noWrap/>
            <w:vAlign w:val="bottom"/>
            <w:hideMark/>
          </w:tcPr>
          <w:p w14:paraId="4658E75F" w14:textId="77777777" w:rsidR="00C44869" w:rsidRPr="006C7979" w:rsidRDefault="00C44869" w:rsidP="007B3453">
            <w:pPr>
              <w:jc w:val="center"/>
            </w:pPr>
            <w:r w:rsidRPr="006C7979">
              <w:t> </w:t>
            </w:r>
          </w:p>
        </w:tc>
        <w:tc>
          <w:tcPr>
            <w:tcW w:w="132" w:type="pct"/>
            <w:tcBorders>
              <w:top w:val="nil"/>
              <w:left w:val="nil"/>
              <w:bottom w:val="single" w:sz="4" w:space="0" w:color="auto"/>
              <w:right w:val="nil"/>
            </w:tcBorders>
            <w:noWrap/>
            <w:vAlign w:val="bottom"/>
            <w:hideMark/>
          </w:tcPr>
          <w:p w14:paraId="5BB0F429" w14:textId="77777777" w:rsidR="00C44869" w:rsidRPr="006C7979" w:rsidRDefault="00C44869" w:rsidP="007B3453">
            <w:pPr>
              <w:jc w:val="center"/>
            </w:pPr>
            <w:r w:rsidRPr="006C7979">
              <w:t> </w:t>
            </w:r>
          </w:p>
        </w:tc>
        <w:tc>
          <w:tcPr>
            <w:tcW w:w="741" w:type="pct"/>
            <w:tcBorders>
              <w:top w:val="nil"/>
              <w:left w:val="nil"/>
              <w:bottom w:val="single" w:sz="4" w:space="0" w:color="auto"/>
              <w:right w:val="nil"/>
            </w:tcBorders>
            <w:noWrap/>
            <w:vAlign w:val="bottom"/>
            <w:hideMark/>
          </w:tcPr>
          <w:p w14:paraId="2E93C221" w14:textId="77777777" w:rsidR="00C44869" w:rsidRPr="006C7979" w:rsidRDefault="00C44869" w:rsidP="007B3453">
            <w:pPr>
              <w:jc w:val="center"/>
            </w:pPr>
            <w:r w:rsidRPr="006C7979">
              <w:t> </w:t>
            </w:r>
          </w:p>
        </w:tc>
        <w:tc>
          <w:tcPr>
            <w:tcW w:w="132" w:type="pct"/>
            <w:tcBorders>
              <w:top w:val="nil"/>
              <w:left w:val="nil"/>
              <w:bottom w:val="single" w:sz="4" w:space="0" w:color="auto"/>
              <w:right w:val="nil"/>
            </w:tcBorders>
            <w:noWrap/>
            <w:vAlign w:val="bottom"/>
            <w:hideMark/>
          </w:tcPr>
          <w:p w14:paraId="758B41C7" w14:textId="77777777" w:rsidR="00C44869" w:rsidRPr="006C7979" w:rsidRDefault="00C44869" w:rsidP="007B3453">
            <w:pPr>
              <w:jc w:val="center"/>
            </w:pPr>
            <w:r w:rsidRPr="006C7979">
              <w:t> </w:t>
            </w:r>
          </w:p>
        </w:tc>
      </w:tr>
      <w:tr w:rsidR="00C44869" w:rsidRPr="006C7979" w14:paraId="0FBF40BC" w14:textId="77777777" w:rsidTr="007B3453">
        <w:trPr>
          <w:trHeight w:val="255"/>
        </w:trPr>
        <w:tc>
          <w:tcPr>
            <w:tcW w:w="2213" w:type="pct"/>
            <w:tcBorders>
              <w:top w:val="nil"/>
              <w:left w:val="nil"/>
              <w:bottom w:val="nil"/>
              <w:right w:val="nil"/>
            </w:tcBorders>
            <w:noWrap/>
            <w:vAlign w:val="bottom"/>
            <w:hideMark/>
          </w:tcPr>
          <w:p w14:paraId="6D0D8E3B" w14:textId="77777777" w:rsidR="00C44869" w:rsidRPr="006C7979" w:rsidRDefault="00C44869" w:rsidP="007B3453">
            <w:pPr>
              <w:jc w:val="center"/>
            </w:pPr>
          </w:p>
        </w:tc>
        <w:tc>
          <w:tcPr>
            <w:tcW w:w="132" w:type="pct"/>
            <w:tcBorders>
              <w:top w:val="nil"/>
              <w:left w:val="nil"/>
              <w:bottom w:val="nil"/>
              <w:right w:val="nil"/>
            </w:tcBorders>
            <w:noWrap/>
            <w:vAlign w:val="bottom"/>
            <w:hideMark/>
          </w:tcPr>
          <w:p w14:paraId="3C164DDE" w14:textId="77777777" w:rsidR="00C44869" w:rsidRPr="006C7979" w:rsidRDefault="00C44869" w:rsidP="007B3453">
            <w:pPr>
              <w:jc w:val="center"/>
              <w:rPr>
                <w:sz w:val="20"/>
                <w:szCs w:val="20"/>
              </w:rPr>
            </w:pPr>
          </w:p>
        </w:tc>
        <w:tc>
          <w:tcPr>
            <w:tcW w:w="132" w:type="pct"/>
            <w:tcBorders>
              <w:top w:val="nil"/>
              <w:left w:val="nil"/>
              <w:bottom w:val="nil"/>
              <w:right w:val="nil"/>
            </w:tcBorders>
            <w:noWrap/>
            <w:vAlign w:val="bottom"/>
            <w:hideMark/>
          </w:tcPr>
          <w:p w14:paraId="3EB60ECC" w14:textId="77777777" w:rsidR="00C44869" w:rsidRPr="006C7979" w:rsidRDefault="00C44869" w:rsidP="007B3453">
            <w:pPr>
              <w:jc w:val="center"/>
              <w:rPr>
                <w:sz w:val="20"/>
                <w:szCs w:val="20"/>
              </w:rPr>
            </w:pPr>
          </w:p>
        </w:tc>
        <w:tc>
          <w:tcPr>
            <w:tcW w:w="693" w:type="pct"/>
            <w:tcBorders>
              <w:top w:val="nil"/>
              <w:left w:val="nil"/>
              <w:bottom w:val="nil"/>
              <w:right w:val="nil"/>
            </w:tcBorders>
            <w:noWrap/>
            <w:vAlign w:val="bottom"/>
            <w:hideMark/>
          </w:tcPr>
          <w:p w14:paraId="69627715" w14:textId="77777777" w:rsidR="00C44869" w:rsidRPr="006C7979" w:rsidRDefault="00C44869" w:rsidP="007B3453">
            <w:pPr>
              <w:jc w:val="center"/>
              <w:rPr>
                <w:sz w:val="20"/>
                <w:szCs w:val="20"/>
              </w:rPr>
            </w:pPr>
          </w:p>
        </w:tc>
        <w:tc>
          <w:tcPr>
            <w:tcW w:w="132" w:type="pct"/>
            <w:tcBorders>
              <w:top w:val="nil"/>
              <w:left w:val="nil"/>
              <w:bottom w:val="nil"/>
              <w:right w:val="nil"/>
            </w:tcBorders>
            <w:noWrap/>
            <w:vAlign w:val="bottom"/>
            <w:hideMark/>
          </w:tcPr>
          <w:p w14:paraId="017F4BB5" w14:textId="77777777" w:rsidR="00C44869" w:rsidRPr="006C7979" w:rsidRDefault="00C44869" w:rsidP="007B3453">
            <w:pPr>
              <w:jc w:val="center"/>
              <w:rPr>
                <w:sz w:val="20"/>
                <w:szCs w:val="20"/>
              </w:rPr>
            </w:pPr>
          </w:p>
        </w:tc>
        <w:tc>
          <w:tcPr>
            <w:tcW w:w="693" w:type="pct"/>
            <w:tcBorders>
              <w:top w:val="nil"/>
              <w:left w:val="nil"/>
              <w:bottom w:val="nil"/>
              <w:right w:val="nil"/>
            </w:tcBorders>
            <w:noWrap/>
            <w:vAlign w:val="bottom"/>
            <w:hideMark/>
          </w:tcPr>
          <w:p w14:paraId="0B880186" w14:textId="77777777" w:rsidR="00C44869" w:rsidRPr="006C7979" w:rsidRDefault="00C44869" w:rsidP="007B3453">
            <w:pPr>
              <w:jc w:val="center"/>
              <w:rPr>
                <w:sz w:val="20"/>
                <w:szCs w:val="20"/>
              </w:rPr>
            </w:pPr>
          </w:p>
        </w:tc>
        <w:tc>
          <w:tcPr>
            <w:tcW w:w="132" w:type="pct"/>
            <w:tcBorders>
              <w:top w:val="nil"/>
              <w:left w:val="nil"/>
              <w:bottom w:val="nil"/>
              <w:right w:val="nil"/>
            </w:tcBorders>
            <w:noWrap/>
            <w:vAlign w:val="bottom"/>
            <w:hideMark/>
          </w:tcPr>
          <w:p w14:paraId="7BAF2FF1" w14:textId="77777777" w:rsidR="00C44869" w:rsidRPr="006C7979" w:rsidRDefault="00C44869" w:rsidP="007B3453">
            <w:pPr>
              <w:jc w:val="center"/>
              <w:rPr>
                <w:sz w:val="20"/>
                <w:szCs w:val="20"/>
              </w:rPr>
            </w:pPr>
          </w:p>
        </w:tc>
        <w:tc>
          <w:tcPr>
            <w:tcW w:w="741" w:type="pct"/>
            <w:tcBorders>
              <w:top w:val="nil"/>
              <w:left w:val="nil"/>
              <w:bottom w:val="nil"/>
              <w:right w:val="nil"/>
            </w:tcBorders>
            <w:noWrap/>
            <w:vAlign w:val="bottom"/>
            <w:hideMark/>
          </w:tcPr>
          <w:p w14:paraId="0ACF3A16" w14:textId="77777777" w:rsidR="00C44869" w:rsidRPr="006C7979" w:rsidRDefault="00C44869" w:rsidP="007B3453">
            <w:pPr>
              <w:jc w:val="center"/>
              <w:rPr>
                <w:sz w:val="20"/>
                <w:szCs w:val="20"/>
              </w:rPr>
            </w:pPr>
          </w:p>
        </w:tc>
        <w:tc>
          <w:tcPr>
            <w:tcW w:w="132" w:type="pct"/>
            <w:tcBorders>
              <w:top w:val="nil"/>
              <w:left w:val="nil"/>
              <w:bottom w:val="nil"/>
              <w:right w:val="nil"/>
            </w:tcBorders>
            <w:noWrap/>
            <w:vAlign w:val="bottom"/>
            <w:hideMark/>
          </w:tcPr>
          <w:p w14:paraId="4AF40DB9" w14:textId="77777777" w:rsidR="00C44869" w:rsidRPr="006C7979" w:rsidRDefault="00C44869" w:rsidP="007B3453">
            <w:pPr>
              <w:jc w:val="center"/>
              <w:rPr>
                <w:sz w:val="20"/>
                <w:szCs w:val="20"/>
              </w:rPr>
            </w:pPr>
          </w:p>
        </w:tc>
      </w:tr>
      <w:tr w:rsidR="00C44869" w:rsidRPr="006C7979" w14:paraId="031F5FD6" w14:textId="77777777" w:rsidTr="007B3453">
        <w:trPr>
          <w:trHeight w:val="1260"/>
        </w:trPr>
        <w:tc>
          <w:tcPr>
            <w:tcW w:w="2213" w:type="pct"/>
            <w:tcBorders>
              <w:top w:val="nil"/>
              <w:left w:val="nil"/>
              <w:bottom w:val="nil"/>
              <w:right w:val="nil"/>
            </w:tcBorders>
            <w:noWrap/>
            <w:vAlign w:val="bottom"/>
            <w:hideMark/>
          </w:tcPr>
          <w:p w14:paraId="37232D8F" w14:textId="77777777" w:rsidR="00C44869" w:rsidRPr="006C7979" w:rsidRDefault="00C44869" w:rsidP="007B3453">
            <w:pPr>
              <w:jc w:val="center"/>
              <w:rPr>
                <w:sz w:val="20"/>
                <w:szCs w:val="20"/>
              </w:rPr>
            </w:pPr>
          </w:p>
        </w:tc>
        <w:tc>
          <w:tcPr>
            <w:tcW w:w="132" w:type="pct"/>
            <w:tcBorders>
              <w:top w:val="nil"/>
              <w:left w:val="nil"/>
              <w:bottom w:val="nil"/>
              <w:right w:val="nil"/>
            </w:tcBorders>
            <w:noWrap/>
            <w:vAlign w:val="bottom"/>
            <w:hideMark/>
          </w:tcPr>
          <w:p w14:paraId="5B97A8CE"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6433C937" w14:textId="77777777" w:rsidR="00C44869" w:rsidRPr="006C7979" w:rsidRDefault="00C44869" w:rsidP="007B3453">
            <w:pPr>
              <w:rPr>
                <w:sz w:val="20"/>
                <w:szCs w:val="20"/>
              </w:rPr>
            </w:pPr>
          </w:p>
        </w:tc>
        <w:tc>
          <w:tcPr>
            <w:tcW w:w="693" w:type="pct"/>
            <w:tcBorders>
              <w:top w:val="nil"/>
              <w:left w:val="nil"/>
              <w:bottom w:val="single" w:sz="4" w:space="0" w:color="auto"/>
              <w:right w:val="nil"/>
            </w:tcBorders>
            <w:vAlign w:val="bottom"/>
            <w:hideMark/>
          </w:tcPr>
          <w:p w14:paraId="31BB2FC7" w14:textId="77777777" w:rsidR="00C44869" w:rsidRPr="006C7979" w:rsidRDefault="00C44869" w:rsidP="007B3453">
            <w:pPr>
              <w:jc w:val="center"/>
              <w:rPr>
                <w:b/>
                <w:bCs/>
                <w:sz w:val="20"/>
                <w:szCs w:val="20"/>
              </w:rPr>
            </w:pPr>
            <w:r w:rsidRPr="006C7979">
              <w:rPr>
                <w:b/>
                <w:bCs/>
                <w:sz w:val="20"/>
                <w:szCs w:val="20"/>
              </w:rPr>
              <w:t>Unaudited six months ended 30 September 202</w:t>
            </w:r>
            <w:r>
              <w:rPr>
                <w:b/>
                <w:bCs/>
                <w:sz w:val="20"/>
                <w:szCs w:val="20"/>
              </w:rPr>
              <w:t>4</w:t>
            </w:r>
            <w:r w:rsidRPr="006C7979">
              <w:rPr>
                <w:b/>
                <w:bCs/>
                <w:sz w:val="20"/>
                <w:szCs w:val="20"/>
              </w:rPr>
              <w:t xml:space="preserve"> </w:t>
            </w:r>
            <w:r w:rsidRPr="006C7979">
              <w:rPr>
                <w:rFonts w:ascii="Calibri" w:hAnsi="Calibri" w:cs="Calibri"/>
                <w:b/>
                <w:bCs/>
                <w:sz w:val="20"/>
                <w:szCs w:val="20"/>
              </w:rPr>
              <w:t>£</w:t>
            </w:r>
          </w:p>
        </w:tc>
        <w:tc>
          <w:tcPr>
            <w:tcW w:w="132" w:type="pct"/>
            <w:tcBorders>
              <w:top w:val="nil"/>
              <w:left w:val="nil"/>
              <w:bottom w:val="nil"/>
              <w:right w:val="nil"/>
            </w:tcBorders>
            <w:noWrap/>
            <w:vAlign w:val="bottom"/>
            <w:hideMark/>
          </w:tcPr>
          <w:p w14:paraId="7524B53D" w14:textId="77777777" w:rsidR="00C44869" w:rsidRPr="006C7979" w:rsidRDefault="00C44869" w:rsidP="007B3453">
            <w:pPr>
              <w:jc w:val="center"/>
              <w:rPr>
                <w:b/>
                <w:bCs/>
                <w:sz w:val="20"/>
                <w:szCs w:val="20"/>
              </w:rPr>
            </w:pPr>
          </w:p>
        </w:tc>
        <w:tc>
          <w:tcPr>
            <w:tcW w:w="693" w:type="pct"/>
            <w:tcBorders>
              <w:top w:val="nil"/>
              <w:left w:val="nil"/>
              <w:bottom w:val="single" w:sz="4" w:space="0" w:color="auto"/>
              <w:right w:val="nil"/>
            </w:tcBorders>
            <w:vAlign w:val="bottom"/>
            <w:hideMark/>
          </w:tcPr>
          <w:p w14:paraId="1C49DE19" w14:textId="77777777" w:rsidR="00C44869" w:rsidRPr="006C7979" w:rsidRDefault="00C44869" w:rsidP="007B3453">
            <w:pPr>
              <w:jc w:val="center"/>
              <w:rPr>
                <w:b/>
                <w:bCs/>
                <w:sz w:val="20"/>
                <w:szCs w:val="20"/>
              </w:rPr>
            </w:pPr>
            <w:r w:rsidRPr="006C7979">
              <w:rPr>
                <w:b/>
                <w:bCs/>
                <w:sz w:val="20"/>
                <w:szCs w:val="20"/>
              </w:rPr>
              <w:t>Unaudited six months ended 30 September 202</w:t>
            </w:r>
            <w:r>
              <w:rPr>
                <w:b/>
                <w:bCs/>
                <w:sz w:val="20"/>
                <w:szCs w:val="20"/>
              </w:rPr>
              <w:t>3</w:t>
            </w:r>
            <w:r w:rsidRPr="006C7979">
              <w:rPr>
                <w:b/>
                <w:bCs/>
                <w:sz w:val="20"/>
                <w:szCs w:val="20"/>
              </w:rPr>
              <w:t xml:space="preserve"> </w:t>
            </w:r>
            <w:r w:rsidRPr="006C7979">
              <w:rPr>
                <w:rFonts w:ascii="Calibri" w:hAnsi="Calibri" w:cs="Calibri"/>
                <w:b/>
                <w:bCs/>
                <w:sz w:val="20"/>
                <w:szCs w:val="20"/>
              </w:rPr>
              <w:t>£</w:t>
            </w:r>
          </w:p>
        </w:tc>
        <w:tc>
          <w:tcPr>
            <w:tcW w:w="132" w:type="pct"/>
            <w:tcBorders>
              <w:top w:val="nil"/>
              <w:left w:val="nil"/>
              <w:bottom w:val="nil"/>
              <w:right w:val="nil"/>
            </w:tcBorders>
            <w:vAlign w:val="bottom"/>
            <w:hideMark/>
          </w:tcPr>
          <w:p w14:paraId="58DA1F00" w14:textId="77777777" w:rsidR="00C44869" w:rsidRPr="006C7979" w:rsidRDefault="00C44869" w:rsidP="007B3453">
            <w:pPr>
              <w:jc w:val="center"/>
              <w:rPr>
                <w:b/>
                <w:bCs/>
                <w:sz w:val="20"/>
                <w:szCs w:val="20"/>
              </w:rPr>
            </w:pPr>
          </w:p>
        </w:tc>
        <w:tc>
          <w:tcPr>
            <w:tcW w:w="741" w:type="pct"/>
            <w:tcBorders>
              <w:top w:val="nil"/>
              <w:left w:val="nil"/>
              <w:bottom w:val="single" w:sz="4" w:space="0" w:color="auto"/>
              <w:right w:val="nil"/>
            </w:tcBorders>
            <w:vAlign w:val="bottom"/>
            <w:hideMark/>
          </w:tcPr>
          <w:p w14:paraId="42E42C80" w14:textId="77777777" w:rsidR="00C44869" w:rsidRPr="006C7979" w:rsidRDefault="00C44869" w:rsidP="007B3453">
            <w:pPr>
              <w:jc w:val="center"/>
              <w:rPr>
                <w:b/>
                <w:bCs/>
                <w:sz w:val="20"/>
                <w:szCs w:val="20"/>
              </w:rPr>
            </w:pPr>
            <w:r w:rsidRPr="006C7979">
              <w:rPr>
                <w:b/>
                <w:bCs/>
                <w:sz w:val="20"/>
                <w:szCs w:val="20"/>
              </w:rPr>
              <w:t>Audited year ended 31 March 202</w:t>
            </w:r>
            <w:r>
              <w:rPr>
                <w:b/>
                <w:bCs/>
                <w:sz w:val="20"/>
                <w:szCs w:val="20"/>
              </w:rPr>
              <w:t>4</w:t>
            </w:r>
            <w:r w:rsidRPr="006C7979">
              <w:rPr>
                <w:b/>
                <w:bCs/>
                <w:sz w:val="20"/>
                <w:szCs w:val="20"/>
              </w:rPr>
              <w:t xml:space="preserve"> </w:t>
            </w:r>
            <w:r w:rsidRPr="006C7979">
              <w:rPr>
                <w:rFonts w:ascii="Calibri" w:hAnsi="Calibri" w:cs="Calibri"/>
                <w:b/>
                <w:bCs/>
                <w:sz w:val="20"/>
                <w:szCs w:val="20"/>
              </w:rPr>
              <w:t>£</w:t>
            </w:r>
          </w:p>
        </w:tc>
        <w:tc>
          <w:tcPr>
            <w:tcW w:w="132" w:type="pct"/>
            <w:tcBorders>
              <w:top w:val="nil"/>
              <w:left w:val="nil"/>
              <w:bottom w:val="nil"/>
              <w:right w:val="nil"/>
            </w:tcBorders>
            <w:noWrap/>
            <w:vAlign w:val="bottom"/>
            <w:hideMark/>
          </w:tcPr>
          <w:p w14:paraId="468BFAC0" w14:textId="77777777" w:rsidR="00C44869" w:rsidRPr="006C7979" w:rsidRDefault="00C44869" w:rsidP="007B3453">
            <w:pPr>
              <w:jc w:val="center"/>
              <w:rPr>
                <w:b/>
                <w:bCs/>
                <w:sz w:val="20"/>
                <w:szCs w:val="20"/>
              </w:rPr>
            </w:pPr>
          </w:p>
        </w:tc>
      </w:tr>
      <w:tr w:rsidR="00C44869" w:rsidRPr="006C7979" w14:paraId="19462FB6" w14:textId="77777777" w:rsidTr="007B3453">
        <w:trPr>
          <w:trHeight w:val="255"/>
        </w:trPr>
        <w:tc>
          <w:tcPr>
            <w:tcW w:w="2213" w:type="pct"/>
            <w:tcBorders>
              <w:top w:val="nil"/>
              <w:left w:val="nil"/>
              <w:bottom w:val="nil"/>
              <w:right w:val="nil"/>
            </w:tcBorders>
            <w:noWrap/>
            <w:vAlign w:val="bottom"/>
            <w:hideMark/>
          </w:tcPr>
          <w:p w14:paraId="65AC3E2D" w14:textId="77777777" w:rsidR="00C44869" w:rsidRPr="006C7979" w:rsidRDefault="00C44869" w:rsidP="007B3453">
            <w:pPr>
              <w:jc w:val="center"/>
              <w:rPr>
                <w:sz w:val="20"/>
                <w:szCs w:val="20"/>
              </w:rPr>
            </w:pPr>
            <w:bookmarkStart w:id="2" w:name="RANGE!A7:F16"/>
            <w:bookmarkEnd w:id="2"/>
          </w:p>
        </w:tc>
        <w:tc>
          <w:tcPr>
            <w:tcW w:w="132" w:type="pct"/>
            <w:tcBorders>
              <w:top w:val="nil"/>
              <w:left w:val="nil"/>
              <w:bottom w:val="nil"/>
              <w:right w:val="nil"/>
            </w:tcBorders>
            <w:noWrap/>
            <w:vAlign w:val="bottom"/>
            <w:hideMark/>
          </w:tcPr>
          <w:p w14:paraId="1BDA2F5A"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1C574280" w14:textId="77777777" w:rsidR="00C44869" w:rsidRPr="006C7979" w:rsidRDefault="00C44869" w:rsidP="007B3453">
            <w:pPr>
              <w:rPr>
                <w:sz w:val="20"/>
                <w:szCs w:val="20"/>
              </w:rPr>
            </w:pPr>
          </w:p>
        </w:tc>
        <w:tc>
          <w:tcPr>
            <w:tcW w:w="693" w:type="pct"/>
            <w:tcBorders>
              <w:top w:val="nil"/>
              <w:left w:val="nil"/>
              <w:bottom w:val="nil"/>
              <w:right w:val="nil"/>
            </w:tcBorders>
            <w:noWrap/>
            <w:vAlign w:val="bottom"/>
            <w:hideMark/>
          </w:tcPr>
          <w:p w14:paraId="5A9EE1D2"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1C4A0D68" w14:textId="77777777" w:rsidR="00C44869" w:rsidRPr="006C7979" w:rsidRDefault="00C44869" w:rsidP="007B3453">
            <w:pPr>
              <w:jc w:val="center"/>
              <w:rPr>
                <w:sz w:val="20"/>
                <w:szCs w:val="20"/>
              </w:rPr>
            </w:pPr>
          </w:p>
        </w:tc>
        <w:tc>
          <w:tcPr>
            <w:tcW w:w="693" w:type="pct"/>
            <w:tcBorders>
              <w:top w:val="nil"/>
              <w:left w:val="nil"/>
              <w:bottom w:val="nil"/>
              <w:right w:val="nil"/>
            </w:tcBorders>
            <w:vAlign w:val="bottom"/>
            <w:hideMark/>
          </w:tcPr>
          <w:p w14:paraId="5FF119A2" w14:textId="77777777" w:rsidR="00C44869" w:rsidRPr="006C7979" w:rsidRDefault="00C44869" w:rsidP="007B3453">
            <w:pPr>
              <w:rPr>
                <w:sz w:val="20"/>
                <w:szCs w:val="20"/>
              </w:rPr>
            </w:pPr>
          </w:p>
        </w:tc>
        <w:tc>
          <w:tcPr>
            <w:tcW w:w="132" w:type="pct"/>
            <w:tcBorders>
              <w:top w:val="nil"/>
              <w:left w:val="nil"/>
              <w:bottom w:val="nil"/>
              <w:right w:val="nil"/>
            </w:tcBorders>
            <w:vAlign w:val="bottom"/>
            <w:hideMark/>
          </w:tcPr>
          <w:p w14:paraId="3F71474D" w14:textId="77777777" w:rsidR="00C44869" w:rsidRPr="006C7979" w:rsidRDefault="00C44869" w:rsidP="007B3453">
            <w:pPr>
              <w:jc w:val="center"/>
              <w:rPr>
                <w:sz w:val="20"/>
                <w:szCs w:val="20"/>
              </w:rPr>
            </w:pPr>
          </w:p>
        </w:tc>
        <w:tc>
          <w:tcPr>
            <w:tcW w:w="741" w:type="pct"/>
            <w:tcBorders>
              <w:top w:val="nil"/>
              <w:left w:val="nil"/>
              <w:bottom w:val="nil"/>
              <w:right w:val="nil"/>
            </w:tcBorders>
            <w:vAlign w:val="bottom"/>
            <w:hideMark/>
          </w:tcPr>
          <w:p w14:paraId="77C91A94" w14:textId="77777777" w:rsidR="00C44869" w:rsidRPr="0050514C" w:rsidRDefault="00C44869" w:rsidP="007B3453">
            <w:pPr>
              <w:jc w:val="center"/>
              <w:rPr>
                <w:sz w:val="20"/>
                <w:szCs w:val="20"/>
              </w:rPr>
            </w:pPr>
          </w:p>
        </w:tc>
        <w:tc>
          <w:tcPr>
            <w:tcW w:w="132" w:type="pct"/>
            <w:tcBorders>
              <w:top w:val="nil"/>
              <w:left w:val="nil"/>
              <w:bottom w:val="nil"/>
              <w:right w:val="nil"/>
            </w:tcBorders>
            <w:noWrap/>
            <w:vAlign w:val="bottom"/>
            <w:hideMark/>
          </w:tcPr>
          <w:p w14:paraId="790D9626" w14:textId="77777777" w:rsidR="00C44869" w:rsidRPr="006C7979" w:rsidRDefault="00C44869" w:rsidP="007B3453">
            <w:pPr>
              <w:jc w:val="center"/>
              <w:rPr>
                <w:sz w:val="20"/>
                <w:szCs w:val="20"/>
              </w:rPr>
            </w:pPr>
          </w:p>
        </w:tc>
      </w:tr>
      <w:tr w:rsidR="00C44869" w:rsidRPr="006C7979" w14:paraId="503D4A1B" w14:textId="77777777" w:rsidTr="007B3453">
        <w:trPr>
          <w:trHeight w:val="270"/>
        </w:trPr>
        <w:tc>
          <w:tcPr>
            <w:tcW w:w="2213" w:type="pct"/>
            <w:tcBorders>
              <w:top w:val="nil"/>
              <w:left w:val="nil"/>
              <w:bottom w:val="nil"/>
              <w:right w:val="nil"/>
            </w:tcBorders>
            <w:noWrap/>
            <w:vAlign w:val="bottom"/>
            <w:hideMark/>
          </w:tcPr>
          <w:p w14:paraId="34A10EFE" w14:textId="77777777" w:rsidR="00C44869" w:rsidRPr="006C7979" w:rsidRDefault="00C44869" w:rsidP="007B3453">
            <w:pPr>
              <w:rPr>
                <w:b/>
                <w:bCs/>
                <w:sz w:val="20"/>
                <w:szCs w:val="20"/>
              </w:rPr>
            </w:pPr>
            <w:r w:rsidRPr="006C7979">
              <w:rPr>
                <w:b/>
                <w:bCs/>
                <w:sz w:val="20"/>
                <w:szCs w:val="20"/>
              </w:rPr>
              <w:t>Revenue</w:t>
            </w:r>
          </w:p>
        </w:tc>
        <w:tc>
          <w:tcPr>
            <w:tcW w:w="132" w:type="pct"/>
            <w:tcBorders>
              <w:top w:val="nil"/>
              <w:left w:val="nil"/>
              <w:bottom w:val="nil"/>
              <w:right w:val="nil"/>
            </w:tcBorders>
            <w:noWrap/>
            <w:vAlign w:val="bottom"/>
            <w:hideMark/>
          </w:tcPr>
          <w:p w14:paraId="21C8F0C1" w14:textId="77777777" w:rsidR="00C44869" w:rsidRPr="006C7979" w:rsidRDefault="00C44869" w:rsidP="007B3453">
            <w:pPr>
              <w:rPr>
                <w:b/>
                <w:bCs/>
                <w:sz w:val="20"/>
                <w:szCs w:val="20"/>
              </w:rPr>
            </w:pPr>
          </w:p>
        </w:tc>
        <w:tc>
          <w:tcPr>
            <w:tcW w:w="132" w:type="pct"/>
            <w:tcBorders>
              <w:top w:val="nil"/>
              <w:left w:val="nil"/>
              <w:bottom w:val="nil"/>
              <w:right w:val="nil"/>
            </w:tcBorders>
            <w:hideMark/>
          </w:tcPr>
          <w:p w14:paraId="34C8E4B8" w14:textId="77777777" w:rsidR="00C44869" w:rsidRPr="006C7979" w:rsidRDefault="00C44869" w:rsidP="007B3453">
            <w:pPr>
              <w:rPr>
                <w:sz w:val="20"/>
                <w:szCs w:val="20"/>
              </w:rPr>
            </w:pPr>
          </w:p>
        </w:tc>
        <w:tc>
          <w:tcPr>
            <w:tcW w:w="693" w:type="pct"/>
            <w:tcBorders>
              <w:top w:val="nil"/>
              <w:left w:val="nil"/>
              <w:bottom w:val="nil"/>
              <w:right w:val="nil"/>
            </w:tcBorders>
          </w:tcPr>
          <w:p w14:paraId="19FB410F" w14:textId="77777777" w:rsidR="00C44869" w:rsidRPr="006C7979" w:rsidRDefault="00C44869" w:rsidP="007B3453">
            <w:pPr>
              <w:jc w:val="right"/>
              <w:rPr>
                <w:b/>
                <w:bCs/>
                <w:sz w:val="20"/>
                <w:szCs w:val="20"/>
              </w:rPr>
            </w:pPr>
            <w:r>
              <w:rPr>
                <w:b/>
                <w:bCs/>
                <w:sz w:val="20"/>
                <w:szCs w:val="20"/>
              </w:rPr>
              <w:t>164,001</w:t>
            </w:r>
          </w:p>
        </w:tc>
        <w:tc>
          <w:tcPr>
            <w:tcW w:w="132" w:type="pct"/>
            <w:tcBorders>
              <w:top w:val="nil"/>
              <w:left w:val="nil"/>
              <w:bottom w:val="nil"/>
              <w:right w:val="nil"/>
            </w:tcBorders>
            <w:hideMark/>
          </w:tcPr>
          <w:p w14:paraId="56FBAA99" w14:textId="77777777" w:rsidR="00C44869" w:rsidRPr="006C7979" w:rsidRDefault="00C44869" w:rsidP="007B3453">
            <w:pPr>
              <w:jc w:val="right"/>
              <w:rPr>
                <w:b/>
                <w:bCs/>
                <w:sz w:val="20"/>
                <w:szCs w:val="20"/>
              </w:rPr>
            </w:pPr>
          </w:p>
        </w:tc>
        <w:tc>
          <w:tcPr>
            <w:tcW w:w="693" w:type="pct"/>
            <w:tcBorders>
              <w:top w:val="nil"/>
              <w:left w:val="nil"/>
              <w:bottom w:val="nil"/>
              <w:right w:val="nil"/>
            </w:tcBorders>
            <w:hideMark/>
          </w:tcPr>
          <w:p w14:paraId="0FCC9ABC" w14:textId="77777777" w:rsidR="00C44869" w:rsidRPr="00204DC1" w:rsidRDefault="00C44869" w:rsidP="007B3453">
            <w:pPr>
              <w:jc w:val="right"/>
              <w:rPr>
                <w:sz w:val="20"/>
                <w:szCs w:val="20"/>
              </w:rPr>
            </w:pPr>
            <w:r w:rsidRPr="00204DC1">
              <w:rPr>
                <w:sz w:val="20"/>
                <w:szCs w:val="20"/>
              </w:rPr>
              <w:t xml:space="preserve">143,938 </w:t>
            </w:r>
          </w:p>
        </w:tc>
        <w:tc>
          <w:tcPr>
            <w:tcW w:w="132" w:type="pct"/>
            <w:tcBorders>
              <w:top w:val="nil"/>
              <w:left w:val="nil"/>
              <w:bottom w:val="nil"/>
              <w:right w:val="nil"/>
            </w:tcBorders>
            <w:hideMark/>
          </w:tcPr>
          <w:p w14:paraId="3758C808" w14:textId="77777777" w:rsidR="00C44869" w:rsidRPr="006C7979" w:rsidRDefault="00C44869" w:rsidP="007B3453">
            <w:pPr>
              <w:jc w:val="right"/>
              <w:rPr>
                <w:sz w:val="20"/>
                <w:szCs w:val="20"/>
              </w:rPr>
            </w:pPr>
          </w:p>
        </w:tc>
        <w:tc>
          <w:tcPr>
            <w:tcW w:w="741" w:type="pct"/>
            <w:tcBorders>
              <w:top w:val="nil"/>
              <w:left w:val="nil"/>
              <w:bottom w:val="nil"/>
              <w:right w:val="nil"/>
            </w:tcBorders>
            <w:hideMark/>
          </w:tcPr>
          <w:p w14:paraId="63FEBB69" w14:textId="77777777" w:rsidR="00C44869" w:rsidRPr="0050514C" w:rsidRDefault="00C44869" w:rsidP="007B3453">
            <w:pPr>
              <w:jc w:val="right"/>
              <w:rPr>
                <w:sz w:val="20"/>
                <w:szCs w:val="20"/>
              </w:rPr>
            </w:pPr>
            <w:r w:rsidRPr="0050514C">
              <w:rPr>
                <w:sz w:val="20"/>
                <w:szCs w:val="20"/>
              </w:rPr>
              <w:t xml:space="preserve">1,908,020 </w:t>
            </w:r>
          </w:p>
        </w:tc>
        <w:tc>
          <w:tcPr>
            <w:tcW w:w="132" w:type="pct"/>
            <w:tcBorders>
              <w:top w:val="nil"/>
              <w:left w:val="nil"/>
              <w:bottom w:val="nil"/>
              <w:right w:val="nil"/>
            </w:tcBorders>
            <w:noWrap/>
            <w:vAlign w:val="bottom"/>
            <w:hideMark/>
          </w:tcPr>
          <w:p w14:paraId="3E68A98D" w14:textId="77777777" w:rsidR="00C44869" w:rsidRPr="006C7979" w:rsidRDefault="00C44869" w:rsidP="007B3453">
            <w:pPr>
              <w:jc w:val="right"/>
              <w:rPr>
                <w:sz w:val="20"/>
                <w:szCs w:val="20"/>
              </w:rPr>
            </w:pPr>
          </w:p>
        </w:tc>
      </w:tr>
      <w:tr w:rsidR="00C44869" w:rsidRPr="006C7979" w14:paraId="14EF7A37" w14:textId="77777777" w:rsidTr="007B3453">
        <w:trPr>
          <w:trHeight w:val="270"/>
        </w:trPr>
        <w:tc>
          <w:tcPr>
            <w:tcW w:w="2213" w:type="pct"/>
            <w:tcBorders>
              <w:top w:val="nil"/>
              <w:left w:val="nil"/>
              <w:bottom w:val="nil"/>
              <w:right w:val="nil"/>
            </w:tcBorders>
            <w:noWrap/>
            <w:vAlign w:val="bottom"/>
            <w:hideMark/>
          </w:tcPr>
          <w:p w14:paraId="5A50DD60" w14:textId="77777777" w:rsidR="00C44869" w:rsidRPr="006C7979" w:rsidRDefault="00C44869" w:rsidP="007B3453">
            <w:pPr>
              <w:rPr>
                <w:sz w:val="20"/>
                <w:szCs w:val="20"/>
              </w:rPr>
            </w:pPr>
            <w:r w:rsidRPr="006C7979">
              <w:rPr>
                <w:sz w:val="20"/>
                <w:szCs w:val="20"/>
              </w:rPr>
              <w:t>Cost of sales</w:t>
            </w:r>
          </w:p>
        </w:tc>
        <w:tc>
          <w:tcPr>
            <w:tcW w:w="132" w:type="pct"/>
            <w:tcBorders>
              <w:top w:val="nil"/>
              <w:left w:val="nil"/>
              <w:bottom w:val="nil"/>
              <w:right w:val="nil"/>
            </w:tcBorders>
            <w:noWrap/>
            <w:vAlign w:val="bottom"/>
            <w:hideMark/>
          </w:tcPr>
          <w:p w14:paraId="6B499778" w14:textId="77777777" w:rsidR="00C44869" w:rsidRPr="006C7979" w:rsidRDefault="00C44869" w:rsidP="007B3453">
            <w:pPr>
              <w:rPr>
                <w:sz w:val="20"/>
                <w:szCs w:val="20"/>
              </w:rPr>
            </w:pPr>
          </w:p>
        </w:tc>
        <w:tc>
          <w:tcPr>
            <w:tcW w:w="132" w:type="pct"/>
            <w:tcBorders>
              <w:top w:val="nil"/>
              <w:left w:val="nil"/>
              <w:bottom w:val="nil"/>
              <w:right w:val="nil"/>
            </w:tcBorders>
            <w:hideMark/>
          </w:tcPr>
          <w:p w14:paraId="0144D082" w14:textId="77777777" w:rsidR="00C44869" w:rsidRPr="006C7979" w:rsidRDefault="00C44869" w:rsidP="007B3453">
            <w:pPr>
              <w:rPr>
                <w:sz w:val="20"/>
                <w:szCs w:val="20"/>
              </w:rPr>
            </w:pPr>
          </w:p>
        </w:tc>
        <w:tc>
          <w:tcPr>
            <w:tcW w:w="693" w:type="pct"/>
            <w:tcBorders>
              <w:top w:val="nil"/>
              <w:left w:val="nil"/>
              <w:bottom w:val="nil"/>
              <w:right w:val="nil"/>
            </w:tcBorders>
          </w:tcPr>
          <w:p w14:paraId="47FFACB8" w14:textId="77777777" w:rsidR="00C44869" w:rsidRPr="006C7979" w:rsidRDefault="00C44869" w:rsidP="007B3453">
            <w:pPr>
              <w:jc w:val="right"/>
              <w:rPr>
                <w:b/>
                <w:bCs/>
                <w:sz w:val="20"/>
                <w:szCs w:val="20"/>
              </w:rPr>
            </w:pPr>
            <w:r>
              <w:rPr>
                <w:b/>
                <w:bCs/>
                <w:sz w:val="20"/>
                <w:szCs w:val="20"/>
              </w:rPr>
              <w:t>(540,187)</w:t>
            </w:r>
          </w:p>
        </w:tc>
        <w:tc>
          <w:tcPr>
            <w:tcW w:w="132" w:type="pct"/>
            <w:tcBorders>
              <w:top w:val="nil"/>
              <w:left w:val="nil"/>
              <w:bottom w:val="nil"/>
              <w:right w:val="nil"/>
            </w:tcBorders>
            <w:hideMark/>
          </w:tcPr>
          <w:p w14:paraId="3691F01A" w14:textId="77777777" w:rsidR="00C44869" w:rsidRPr="006C7979" w:rsidRDefault="00C44869" w:rsidP="007B3453">
            <w:pPr>
              <w:jc w:val="right"/>
              <w:rPr>
                <w:b/>
                <w:bCs/>
                <w:sz w:val="20"/>
                <w:szCs w:val="20"/>
              </w:rPr>
            </w:pPr>
          </w:p>
        </w:tc>
        <w:tc>
          <w:tcPr>
            <w:tcW w:w="693" w:type="pct"/>
            <w:tcBorders>
              <w:top w:val="nil"/>
              <w:left w:val="nil"/>
              <w:bottom w:val="nil"/>
              <w:right w:val="nil"/>
            </w:tcBorders>
            <w:hideMark/>
          </w:tcPr>
          <w:p w14:paraId="17B4F1E9" w14:textId="77777777" w:rsidR="00C44869" w:rsidRPr="00204DC1" w:rsidRDefault="00C44869" w:rsidP="007B3453">
            <w:pPr>
              <w:jc w:val="right"/>
              <w:rPr>
                <w:sz w:val="20"/>
                <w:szCs w:val="20"/>
              </w:rPr>
            </w:pPr>
            <w:r w:rsidRPr="00204DC1">
              <w:rPr>
                <w:sz w:val="20"/>
                <w:szCs w:val="20"/>
              </w:rPr>
              <w:t>(56,776)</w:t>
            </w:r>
          </w:p>
        </w:tc>
        <w:tc>
          <w:tcPr>
            <w:tcW w:w="132" w:type="pct"/>
            <w:tcBorders>
              <w:top w:val="nil"/>
              <w:left w:val="nil"/>
              <w:bottom w:val="nil"/>
              <w:right w:val="nil"/>
            </w:tcBorders>
            <w:hideMark/>
          </w:tcPr>
          <w:p w14:paraId="13B130AB" w14:textId="77777777" w:rsidR="00C44869" w:rsidRPr="006C7979" w:rsidRDefault="00C44869" w:rsidP="007B3453">
            <w:pPr>
              <w:jc w:val="right"/>
              <w:rPr>
                <w:sz w:val="20"/>
                <w:szCs w:val="20"/>
              </w:rPr>
            </w:pPr>
          </w:p>
        </w:tc>
        <w:tc>
          <w:tcPr>
            <w:tcW w:w="741" w:type="pct"/>
            <w:tcBorders>
              <w:top w:val="nil"/>
              <w:left w:val="nil"/>
              <w:bottom w:val="nil"/>
              <w:right w:val="nil"/>
            </w:tcBorders>
            <w:hideMark/>
          </w:tcPr>
          <w:p w14:paraId="0FA4CC5E" w14:textId="77777777" w:rsidR="00C44869" w:rsidRPr="0050514C" w:rsidRDefault="00C44869" w:rsidP="007B3453">
            <w:pPr>
              <w:jc w:val="right"/>
              <w:rPr>
                <w:sz w:val="20"/>
                <w:szCs w:val="20"/>
              </w:rPr>
            </w:pPr>
            <w:r w:rsidRPr="0050514C">
              <w:rPr>
                <w:sz w:val="20"/>
                <w:szCs w:val="20"/>
              </w:rPr>
              <w:t>(1,040,053)</w:t>
            </w:r>
          </w:p>
        </w:tc>
        <w:tc>
          <w:tcPr>
            <w:tcW w:w="132" w:type="pct"/>
            <w:tcBorders>
              <w:top w:val="nil"/>
              <w:left w:val="nil"/>
              <w:bottom w:val="nil"/>
              <w:right w:val="nil"/>
            </w:tcBorders>
            <w:noWrap/>
            <w:vAlign w:val="bottom"/>
            <w:hideMark/>
          </w:tcPr>
          <w:p w14:paraId="4040E720" w14:textId="77777777" w:rsidR="00C44869" w:rsidRPr="006C7979" w:rsidRDefault="00C44869" w:rsidP="007B3453">
            <w:pPr>
              <w:jc w:val="right"/>
              <w:rPr>
                <w:sz w:val="20"/>
                <w:szCs w:val="20"/>
              </w:rPr>
            </w:pPr>
          </w:p>
        </w:tc>
      </w:tr>
      <w:tr w:rsidR="00C44869" w:rsidRPr="006C7979" w14:paraId="2462A7B7" w14:textId="77777777" w:rsidTr="007B3453">
        <w:trPr>
          <w:trHeight w:val="270"/>
        </w:trPr>
        <w:tc>
          <w:tcPr>
            <w:tcW w:w="2213" w:type="pct"/>
            <w:tcBorders>
              <w:top w:val="nil"/>
              <w:left w:val="nil"/>
              <w:bottom w:val="nil"/>
              <w:right w:val="nil"/>
            </w:tcBorders>
            <w:noWrap/>
            <w:vAlign w:val="bottom"/>
            <w:hideMark/>
          </w:tcPr>
          <w:p w14:paraId="42303D50" w14:textId="77777777" w:rsidR="00C44869" w:rsidRPr="006C7979" w:rsidRDefault="00C44869" w:rsidP="007B3453">
            <w:pPr>
              <w:rPr>
                <w:sz w:val="20"/>
                <w:szCs w:val="20"/>
              </w:rPr>
            </w:pPr>
            <w:r w:rsidRPr="006C7979">
              <w:rPr>
                <w:sz w:val="20"/>
                <w:szCs w:val="20"/>
              </w:rPr>
              <w:t>Obsolete inventory expense</w:t>
            </w:r>
          </w:p>
        </w:tc>
        <w:tc>
          <w:tcPr>
            <w:tcW w:w="132" w:type="pct"/>
            <w:tcBorders>
              <w:top w:val="nil"/>
              <w:left w:val="nil"/>
              <w:bottom w:val="nil"/>
              <w:right w:val="nil"/>
            </w:tcBorders>
            <w:noWrap/>
            <w:vAlign w:val="bottom"/>
            <w:hideMark/>
          </w:tcPr>
          <w:p w14:paraId="4FACFBC8" w14:textId="77777777" w:rsidR="00C44869" w:rsidRPr="006C7979" w:rsidRDefault="00C44869" w:rsidP="007B3453">
            <w:pPr>
              <w:rPr>
                <w:sz w:val="20"/>
                <w:szCs w:val="20"/>
              </w:rPr>
            </w:pPr>
          </w:p>
        </w:tc>
        <w:tc>
          <w:tcPr>
            <w:tcW w:w="132" w:type="pct"/>
            <w:tcBorders>
              <w:top w:val="nil"/>
              <w:left w:val="nil"/>
              <w:bottom w:val="nil"/>
              <w:right w:val="nil"/>
            </w:tcBorders>
            <w:hideMark/>
          </w:tcPr>
          <w:p w14:paraId="3A43F9B4" w14:textId="77777777" w:rsidR="00C44869" w:rsidRPr="006C7979" w:rsidRDefault="00C44869" w:rsidP="007B3453">
            <w:pPr>
              <w:rPr>
                <w:sz w:val="20"/>
                <w:szCs w:val="20"/>
              </w:rPr>
            </w:pPr>
          </w:p>
        </w:tc>
        <w:tc>
          <w:tcPr>
            <w:tcW w:w="693" w:type="pct"/>
            <w:tcBorders>
              <w:top w:val="nil"/>
              <w:left w:val="nil"/>
              <w:bottom w:val="single" w:sz="4" w:space="0" w:color="auto"/>
              <w:right w:val="nil"/>
            </w:tcBorders>
          </w:tcPr>
          <w:p w14:paraId="5CCF4442" w14:textId="77777777" w:rsidR="00C44869" w:rsidRPr="006C7979" w:rsidRDefault="00C44869" w:rsidP="007B3453">
            <w:pPr>
              <w:jc w:val="right"/>
              <w:rPr>
                <w:b/>
                <w:bCs/>
                <w:sz w:val="20"/>
                <w:szCs w:val="20"/>
              </w:rPr>
            </w:pPr>
            <w:r>
              <w:rPr>
                <w:b/>
                <w:bCs/>
                <w:sz w:val="20"/>
                <w:szCs w:val="20"/>
              </w:rPr>
              <w:t>-</w:t>
            </w:r>
          </w:p>
        </w:tc>
        <w:tc>
          <w:tcPr>
            <w:tcW w:w="132" w:type="pct"/>
            <w:tcBorders>
              <w:top w:val="nil"/>
              <w:left w:val="nil"/>
              <w:bottom w:val="nil"/>
              <w:right w:val="nil"/>
            </w:tcBorders>
            <w:hideMark/>
          </w:tcPr>
          <w:p w14:paraId="167A77F6" w14:textId="77777777" w:rsidR="00C44869" w:rsidRPr="006C7979" w:rsidRDefault="00C44869" w:rsidP="007B3453">
            <w:pPr>
              <w:jc w:val="right"/>
              <w:rPr>
                <w:b/>
                <w:bCs/>
                <w:sz w:val="20"/>
                <w:szCs w:val="20"/>
              </w:rPr>
            </w:pPr>
          </w:p>
        </w:tc>
        <w:tc>
          <w:tcPr>
            <w:tcW w:w="693" w:type="pct"/>
            <w:tcBorders>
              <w:top w:val="nil"/>
              <w:left w:val="nil"/>
              <w:bottom w:val="single" w:sz="4" w:space="0" w:color="auto"/>
              <w:right w:val="nil"/>
            </w:tcBorders>
            <w:hideMark/>
          </w:tcPr>
          <w:p w14:paraId="7358E5FD" w14:textId="77777777" w:rsidR="00C44869" w:rsidRPr="00204DC1" w:rsidRDefault="00C44869" w:rsidP="007B3453">
            <w:pPr>
              <w:jc w:val="right"/>
              <w:rPr>
                <w:sz w:val="20"/>
                <w:szCs w:val="20"/>
              </w:rPr>
            </w:pPr>
            <w:r w:rsidRPr="00204DC1">
              <w:rPr>
                <w:sz w:val="20"/>
                <w:szCs w:val="20"/>
              </w:rPr>
              <w:t xml:space="preserve">          (25,463)</w:t>
            </w:r>
          </w:p>
        </w:tc>
        <w:tc>
          <w:tcPr>
            <w:tcW w:w="132" w:type="pct"/>
            <w:tcBorders>
              <w:top w:val="nil"/>
              <w:left w:val="nil"/>
              <w:bottom w:val="nil"/>
              <w:right w:val="nil"/>
            </w:tcBorders>
            <w:hideMark/>
          </w:tcPr>
          <w:p w14:paraId="347C2202" w14:textId="77777777" w:rsidR="00C44869" w:rsidRPr="006C7979" w:rsidRDefault="00C44869" w:rsidP="007B3453">
            <w:pPr>
              <w:jc w:val="right"/>
              <w:rPr>
                <w:sz w:val="20"/>
                <w:szCs w:val="20"/>
              </w:rPr>
            </w:pPr>
          </w:p>
        </w:tc>
        <w:tc>
          <w:tcPr>
            <w:tcW w:w="741" w:type="pct"/>
            <w:tcBorders>
              <w:top w:val="nil"/>
              <w:left w:val="nil"/>
              <w:bottom w:val="single" w:sz="4" w:space="0" w:color="auto"/>
              <w:right w:val="nil"/>
            </w:tcBorders>
            <w:hideMark/>
          </w:tcPr>
          <w:p w14:paraId="19316D63" w14:textId="77777777" w:rsidR="00C44869" w:rsidRPr="0050514C" w:rsidRDefault="00C44869" w:rsidP="007B3453">
            <w:pPr>
              <w:jc w:val="right"/>
              <w:rPr>
                <w:sz w:val="20"/>
                <w:szCs w:val="20"/>
              </w:rPr>
            </w:pPr>
            <w:r w:rsidRPr="0050514C">
              <w:rPr>
                <w:sz w:val="20"/>
                <w:szCs w:val="20"/>
              </w:rPr>
              <w:t>(395.157)</w:t>
            </w:r>
          </w:p>
        </w:tc>
        <w:tc>
          <w:tcPr>
            <w:tcW w:w="132" w:type="pct"/>
            <w:tcBorders>
              <w:top w:val="nil"/>
              <w:left w:val="nil"/>
              <w:bottom w:val="nil"/>
              <w:right w:val="nil"/>
            </w:tcBorders>
            <w:noWrap/>
            <w:vAlign w:val="bottom"/>
            <w:hideMark/>
          </w:tcPr>
          <w:p w14:paraId="183E2D75" w14:textId="77777777" w:rsidR="00C44869" w:rsidRPr="006C7979" w:rsidRDefault="00C44869" w:rsidP="007B3453">
            <w:pPr>
              <w:jc w:val="right"/>
              <w:rPr>
                <w:sz w:val="20"/>
                <w:szCs w:val="20"/>
              </w:rPr>
            </w:pPr>
          </w:p>
        </w:tc>
      </w:tr>
      <w:tr w:rsidR="00C44869" w:rsidRPr="006C7979" w14:paraId="4CCDFF66" w14:textId="77777777" w:rsidTr="007B3453">
        <w:trPr>
          <w:trHeight w:val="270"/>
        </w:trPr>
        <w:tc>
          <w:tcPr>
            <w:tcW w:w="2213" w:type="pct"/>
            <w:tcBorders>
              <w:top w:val="nil"/>
              <w:left w:val="nil"/>
              <w:bottom w:val="nil"/>
              <w:right w:val="nil"/>
            </w:tcBorders>
            <w:noWrap/>
            <w:vAlign w:val="bottom"/>
            <w:hideMark/>
          </w:tcPr>
          <w:p w14:paraId="77C8D285" w14:textId="77777777" w:rsidR="00C44869" w:rsidRPr="006C7979" w:rsidRDefault="00C44869" w:rsidP="007B3453">
            <w:pPr>
              <w:rPr>
                <w:b/>
                <w:bCs/>
                <w:sz w:val="20"/>
                <w:szCs w:val="20"/>
              </w:rPr>
            </w:pPr>
            <w:r w:rsidRPr="006C7979">
              <w:rPr>
                <w:b/>
                <w:bCs/>
                <w:sz w:val="20"/>
                <w:szCs w:val="20"/>
              </w:rPr>
              <w:t xml:space="preserve">Gross </w:t>
            </w:r>
            <w:r>
              <w:rPr>
                <w:b/>
                <w:bCs/>
                <w:sz w:val="20"/>
                <w:szCs w:val="20"/>
              </w:rPr>
              <w:t xml:space="preserve">(loss) </w:t>
            </w:r>
            <w:r w:rsidRPr="006C7979">
              <w:rPr>
                <w:b/>
                <w:bCs/>
                <w:sz w:val="20"/>
                <w:szCs w:val="20"/>
              </w:rPr>
              <w:t xml:space="preserve">profit </w:t>
            </w:r>
          </w:p>
        </w:tc>
        <w:tc>
          <w:tcPr>
            <w:tcW w:w="132" w:type="pct"/>
            <w:tcBorders>
              <w:top w:val="nil"/>
              <w:left w:val="nil"/>
              <w:bottom w:val="nil"/>
              <w:right w:val="nil"/>
            </w:tcBorders>
            <w:noWrap/>
            <w:vAlign w:val="bottom"/>
            <w:hideMark/>
          </w:tcPr>
          <w:p w14:paraId="6E413D9D" w14:textId="77777777" w:rsidR="00C44869" w:rsidRPr="006C7979" w:rsidRDefault="00C44869" w:rsidP="007B3453">
            <w:pPr>
              <w:rPr>
                <w:b/>
                <w:bCs/>
                <w:sz w:val="20"/>
                <w:szCs w:val="20"/>
              </w:rPr>
            </w:pPr>
          </w:p>
        </w:tc>
        <w:tc>
          <w:tcPr>
            <w:tcW w:w="132" w:type="pct"/>
            <w:tcBorders>
              <w:top w:val="nil"/>
              <w:left w:val="nil"/>
              <w:bottom w:val="nil"/>
              <w:right w:val="nil"/>
            </w:tcBorders>
            <w:hideMark/>
          </w:tcPr>
          <w:p w14:paraId="57E58F45" w14:textId="77777777" w:rsidR="00C44869" w:rsidRPr="006C7979" w:rsidRDefault="00C44869" w:rsidP="007B3453">
            <w:pPr>
              <w:jc w:val="right"/>
              <w:rPr>
                <w:sz w:val="20"/>
                <w:szCs w:val="20"/>
              </w:rPr>
            </w:pPr>
          </w:p>
        </w:tc>
        <w:tc>
          <w:tcPr>
            <w:tcW w:w="693" w:type="pct"/>
            <w:tcBorders>
              <w:top w:val="nil"/>
              <w:left w:val="nil"/>
              <w:right w:val="nil"/>
            </w:tcBorders>
            <w:noWrap/>
            <w:vAlign w:val="bottom"/>
          </w:tcPr>
          <w:p w14:paraId="1CB61ED0" w14:textId="77777777" w:rsidR="00C44869" w:rsidRPr="006C7979" w:rsidRDefault="00C44869" w:rsidP="007B3453">
            <w:pPr>
              <w:jc w:val="right"/>
              <w:rPr>
                <w:b/>
                <w:bCs/>
                <w:sz w:val="20"/>
                <w:szCs w:val="20"/>
              </w:rPr>
            </w:pPr>
            <w:r>
              <w:rPr>
                <w:b/>
                <w:bCs/>
                <w:sz w:val="20"/>
                <w:szCs w:val="20"/>
              </w:rPr>
              <w:t>(376,186)</w:t>
            </w:r>
          </w:p>
        </w:tc>
        <w:tc>
          <w:tcPr>
            <w:tcW w:w="132" w:type="pct"/>
            <w:tcBorders>
              <w:top w:val="nil"/>
              <w:left w:val="nil"/>
              <w:right w:val="nil"/>
            </w:tcBorders>
            <w:hideMark/>
          </w:tcPr>
          <w:p w14:paraId="11C8D5C0" w14:textId="77777777" w:rsidR="00C44869" w:rsidRPr="006C7979" w:rsidRDefault="00C44869" w:rsidP="007B3453">
            <w:pPr>
              <w:jc w:val="right"/>
              <w:rPr>
                <w:b/>
                <w:bCs/>
                <w:sz w:val="20"/>
                <w:szCs w:val="20"/>
              </w:rPr>
            </w:pPr>
          </w:p>
        </w:tc>
        <w:tc>
          <w:tcPr>
            <w:tcW w:w="693" w:type="pct"/>
            <w:tcBorders>
              <w:top w:val="nil"/>
              <w:left w:val="nil"/>
              <w:right w:val="nil"/>
            </w:tcBorders>
            <w:vAlign w:val="bottom"/>
            <w:hideMark/>
          </w:tcPr>
          <w:p w14:paraId="60BCE577" w14:textId="77777777" w:rsidR="00C44869" w:rsidRPr="00204DC1" w:rsidRDefault="00C44869" w:rsidP="007B3453">
            <w:pPr>
              <w:jc w:val="right"/>
              <w:rPr>
                <w:sz w:val="20"/>
                <w:szCs w:val="20"/>
              </w:rPr>
            </w:pPr>
            <w:r w:rsidRPr="00204DC1">
              <w:rPr>
                <w:sz w:val="20"/>
                <w:szCs w:val="20"/>
              </w:rPr>
              <w:t xml:space="preserve">61,699 </w:t>
            </w:r>
          </w:p>
        </w:tc>
        <w:tc>
          <w:tcPr>
            <w:tcW w:w="132" w:type="pct"/>
            <w:tcBorders>
              <w:top w:val="nil"/>
              <w:left w:val="nil"/>
              <w:right w:val="nil"/>
            </w:tcBorders>
            <w:hideMark/>
          </w:tcPr>
          <w:p w14:paraId="49BBE158" w14:textId="77777777" w:rsidR="00C44869" w:rsidRPr="006C7979" w:rsidRDefault="00C44869" w:rsidP="007B3453">
            <w:pPr>
              <w:jc w:val="right"/>
              <w:rPr>
                <w:sz w:val="20"/>
                <w:szCs w:val="20"/>
              </w:rPr>
            </w:pPr>
          </w:p>
        </w:tc>
        <w:tc>
          <w:tcPr>
            <w:tcW w:w="741" w:type="pct"/>
            <w:tcBorders>
              <w:top w:val="nil"/>
              <w:left w:val="nil"/>
              <w:right w:val="nil"/>
            </w:tcBorders>
            <w:hideMark/>
          </w:tcPr>
          <w:p w14:paraId="47C0C203" w14:textId="77777777" w:rsidR="00C44869" w:rsidRPr="0050514C" w:rsidRDefault="00C44869" w:rsidP="007B3453">
            <w:pPr>
              <w:jc w:val="right"/>
              <w:rPr>
                <w:sz w:val="20"/>
                <w:szCs w:val="20"/>
              </w:rPr>
            </w:pPr>
            <w:r w:rsidRPr="0050514C">
              <w:rPr>
                <w:sz w:val="20"/>
                <w:szCs w:val="20"/>
              </w:rPr>
              <w:t>472,810</w:t>
            </w:r>
          </w:p>
        </w:tc>
        <w:tc>
          <w:tcPr>
            <w:tcW w:w="132" w:type="pct"/>
            <w:tcBorders>
              <w:top w:val="nil"/>
              <w:left w:val="nil"/>
              <w:bottom w:val="nil"/>
              <w:right w:val="nil"/>
            </w:tcBorders>
            <w:noWrap/>
            <w:vAlign w:val="bottom"/>
            <w:hideMark/>
          </w:tcPr>
          <w:p w14:paraId="48DFCD26" w14:textId="77777777" w:rsidR="00C44869" w:rsidRPr="006C7979" w:rsidRDefault="00C44869" w:rsidP="007B3453">
            <w:pPr>
              <w:jc w:val="right"/>
              <w:rPr>
                <w:sz w:val="20"/>
                <w:szCs w:val="20"/>
              </w:rPr>
            </w:pPr>
          </w:p>
        </w:tc>
      </w:tr>
      <w:tr w:rsidR="00C44869" w:rsidRPr="006C7979" w14:paraId="30DFBDFE" w14:textId="77777777" w:rsidTr="007B3453">
        <w:trPr>
          <w:trHeight w:val="270"/>
        </w:trPr>
        <w:tc>
          <w:tcPr>
            <w:tcW w:w="2213" w:type="pct"/>
            <w:tcBorders>
              <w:top w:val="nil"/>
              <w:left w:val="nil"/>
              <w:bottom w:val="nil"/>
              <w:right w:val="nil"/>
            </w:tcBorders>
            <w:noWrap/>
            <w:vAlign w:val="bottom"/>
            <w:hideMark/>
          </w:tcPr>
          <w:p w14:paraId="15CBC8AB" w14:textId="77777777" w:rsidR="00C44869" w:rsidRPr="006C7979" w:rsidRDefault="00C44869" w:rsidP="007B3453">
            <w:pPr>
              <w:rPr>
                <w:sz w:val="20"/>
                <w:szCs w:val="20"/>
              </w:rPr>
            </w:pPr>
            <w:r w:rsidRPr="006C7979">
              <w:rPr>
                <w:sz w:val="20"/>
                <w:szCs w:val="20"/>
              </w:rPr>
              <w:t>Administrative expenses</w:t>
            </w:r>
          </w:p>
        </w:tc>
        <w:tc>
          <w:tcPr>
            <w:tcW w:w="132" w:type="pct"/>
            <w:tcBorders>
              <w:top w:val="nil"/>
              <w:left w:val="nil"/>
              <w:bottom w:val="nil"/>
              <w:right w:val="nil"/>
            </w:tcBorders>
            <w:noWrap/>
            <w:vAlign w:val="bottom"/>
            <w:hideMark/>
          </w:tcPr>
          <w:p w14:paraId="45DE0F14" w14:textId="77777777" w:rsidR="00C44869" w:rsidRPr="006C7979" w:rsidRDefault="00C44869" w:rsidP="007B3453">
            <w:pPr>
              <w:rPr>
                <w:sz w:val="20"/>
                <w:szCs w:val="20"/>
              </w:rPr>
            </w:pPr>
          </w:p>
        </w:tc>
        <w:tc>
          <w:tcPr>
            <w:tcW w:w="132" w:type="pct"/>
            <w:tcBorders>
              <w:top w:val="nil"/>
              <w:left w:val="nil"/>
              <w:bottom w:val="nil"/>
              <w:right w:val="nil"/>
            </w:tcBorders>
            <w:hideMark/>
          </w:tcPr>
          <w:p w14:paraId="72F54CA0" w14:textId="77777777" w:rsidR="00C44869" w:rsidRPr="006C7979" w:rsidRDefault="00C44869" w:rsidP="007B3453">
            <w:pPr>
              <w:rPr>
                <w:sz w:val="20"/>
                <w:szCs w:val="20"/>
              </w:rPr>
            </w:pPr>
          </w:p>
        </w:tc>
        <w:tc>
          <w:tcPr>
            <w:tcW w:w="693" w:type="pct"/>
            <w:tcBorders>
              <w:top w:val="nil"/>
              <w:left w:val="nil"/>
              <w:bottom w:val="single" w:sz="4" w:space="0" w:color="auto"/>
              <w:right w:val="nil"/>
            </w:tcBorders>
          </w:tcPr>
          <w:p w14:paraId="47899893" w14:textId="77777777" w:rsidR="00C44869" w:rsidRPr="006C7979" w:rsidRDefault="00C44869" w:rsidP="007B3453">
            <w:pPr>
              <w:jc w:val="right"/>
              <w:rPr>
                <w:b/>
                <w:bCs/>
                <w:sz w:val="20"/>
                <w:szCs w:val="20"/>
              </w:rPr>
            </w:pPr>
            <w:r>
              <w:rPr>
                <w:b/>
                <w:bCs/>
                <w:sz w:val="20"/>
                <w:szCs w:val="20"/>
              </w:rPr>
              <w:t>(2,072,222)</w:t>
            </w:r>
          </w:p>
        </w:tc>
        <w:tc>
          <w:tcPr>
            <w:tcW w:w="132" w:type="pct"/>
            <w:tcBorders>
              <w:top w:val="nil"/>
              <w:left w:val="nil"/>
              <w:bottom w:val="single" w:sz="4" w:space="0" w:color="auto"/>
              <w:right w:val="nil"/>
            </w:tcBorders>
            <w:noWrap/>
            <w:vAlign w:val="bottom"/>
            <w:hideMark/>
          </w:tcPr>
          <w:p w14:paraId="04AF2263" w14:textId="77777777" w:rsidR="00C44869" w:rsidRPr="006C7979" w:rsidRDefault="00C44869" w:rsidP="007B3453">
            <w:pPr>
              <w:jc w:val="right"/>
              <w:rPr>
                <w:b/>
                <w:bCs/>
                <w:sz w:val="20"/>
                <w:szCs w:val="20"/>
              </w:rPr>
            </w:pPr>
          </w:p>
        </w:tc>
        <w:tc>
          <w:tcPr>
            <w:tcW w:w="693" w:type="pct"/>
            <w:tcBorders>
              <w:top w:val="nil"/>
              <w:left w:val="nil"/>
              <w:bottom w:val="single" w:sz="4" w:space="0" w:color="auto"/>
              <w:right w:val="nil"/>
            </w:tcBorders>
            <w:noWrap/>
            <w:hideMark/>
          </w:tcPr>
          <w:p w14:paraId="4DC6E16B" w14:textId="77777777" w:rsidR="00C44869" w:rsidRPr="00204DC1" w:rsidRDefault="00C44869" w:rsidP="007B3453">
            <w:pPr>
              <w:jc w:val="right"/>
              <w:rPr>
                <w:sz w:val="20"/>
                <w:szCs w:val="20"/>
              </w:rPr>
            </w:pPr>
            <w:r w:rsidRPr="00204DC1">
              <w:rPr>
                <w:sz w:val="20"/>
                <w:szCs w:val="20"/>
              </w:rPr>
              <w:t>(1,519,508)</w:t>
            </w:r>
          </w:p>
        </w:tc>
        <w:tc>
          <w:tcPr>
            <w:tcW w:w="132" w:type="pct"/>
            <w:tcBorders>
              <w:top w:val="nil"/>
              <w:left w:val="nil"/>
              <w:bottom w:val="single" w:sz="4" w:space="0" w:color="auto"/>
              <w:right w:val="nil"/>
            </w:tcBorders>
            <w:noWrap/>
            <w:vAlign w:val="bottom"/>
            <w:hideMark/>
          </w:tcPr>
          <w:p w14:paraId="61C29B36" w14:textId="77777777" w:rsidR="00C44869" w:rsidRPr="006C7979" w:rsidRDefault="00C44869" w:rsidP="007B3453">
            <w:pPr>
              <w:jc w:val="right"/>
              <w:rPr>
                <w:sz w:val="20"/>
                <w:szCs w:val="20"/>
              </w:rPr>
            </w:pPr>
          </w:p>
        </w:tc>
        <w:tc>
          <w:tcPr>
            <w:tcW w:w="741" w:type="pct"/>
            <w:tcBorders>
              <w:top w:val="nil"/>
              <w:left w:val="nil"/>
              <w:bottom w:val="single" w:sz="4" w:space="0" w:color="auto"/>
              <w:right w:val="nil"/>
            </w:tcBorders>
            <w:noWrap/>
            <w:vAlign w:val="bottom"/>
            <w:hideMark/>
          </w:tcPr>
          <w:p w14:paraId="01C9628D" w14:textId="77777777" w:rsidR="00C44869" w:rsidRPr="0050514C" w:rsidRDefault="00C44869" w:rsidP="007B3453">
            <w:pPr>
              <w:jc w:val="right"/>
              <w:rPr>
                <w:sz w:val="20"/>
                <w:szCs w:val="20"/>
              </w:rPr>
            </w:pPr>
            <w:r w:rsidRPr="0050514C">
              <w:rPr>
                <w:sz w:val="20"/>
                <w:szCs w:val="20"/>
              </w:rPr>
              <w:t xml:space="preserve">      (3,376,339)</w:t>
            </w:r>
          </w:p>
        </w:tc>
        <w:tc>
          <w:tcPr>
            <w:tcW w:w="132" w:type="pct"/>
            <w:tcBorders>
              <w:top w:val="nil"/>
              <w:left w:val="nil"/>
              <w:bottom w:val="nil"/>
              <w:right w:val="nil"/>
            </w:tcBorders>
            <w:noWrap/>
            <w:vAlign w:val="bottom"/>
            <w:hideMark/>
          </w:tcPr>
          <w:p w14:paraId="25D67F56" w14:textId="77777777" w:rsidR="00C44869" w:rsidRPr="006C7979" w:rsidRDefault="00C44869" w:rsidP="007B3453">
            <w:pPr>
              <w:rPr>
                <w:sz w:val="20"/>
                <w:szCs w:val="20"/>
              </w:rPr>
            </w:pPr>
          </w:p>
        </w:tc>
      </w:tr>
      <w:tr w:rsidR="00C44869" w:rsidRPr="006C7979" w14:paraId="514176CF" w14:textId="77777777" w:rsidTr="007B3453">
        <w:trPr>
          <w:trHeight w:val="270"/>
        </w:trPr>
        <w:tc>
          <w:tcPr>
            <w:tcW w:w="2213" w:type="pct"/>
            <w:tcBorders>
              <w:top w:val="nil"/>
              <w:left w:val="nil"/>
              <w:bottom w:val="nil"/>
              <w:right w:val="nil"/>
            </w:tcBorders>
            <w:noWrap/>
            <w:vAlign w:val="bottom"/>
            <w:hideMark/>
          </w:tcPr>
          <w:p w14:paraId="12888926" w14:textId="77777777" w:rsidR="00C44869" w:rsidRPr="006C7979" w:rsidRDefault="00C44869" w:rsidP="007B3453">
            <w:pPr>
              <w:rPr>
                <w:b/>
                <w:bCs/>
                <w:sz w:val="20"/>
                <w:szCs w:val="20"/>
              </w:rPr>
            </w:pPr>
            <w:r w:rsidRPr="006C7979">
              <w:rPr>
                <w:b/>
                <w:bCs/>
                <w:sz w:val="20"/>
                <w:szCs w:val="20"/>
              </w:rPr>
              <w:t>Operating Loss</w:t>
            </w:r>
          </w:p>
        </w:tc>
        <w:tc>
          <w:tcPr>
            <w:tcW w:w="132" w:type="pct"/>
            <w:tcBorders>
              <w:top w:val="nil"/>
              <w:left w:val="nil"/>
              <w:bottom w:val="nil"/>
              <w:right w:val="nil"/>
            </w:tcBorders>
            <w:noWrap/>
            <w:vAlign w:val="bottom"/>
            <w:hideMark/>
          </w:tcPr>
          <w:p w14:paraId="1B024269"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40BA742F" w14:textId="77777777" w:rsidR="00C44869" w:rsidRPr="006C7979" w:rsidRDefault="00C44869" w:rsidP="007B3453">
            <w:pPr>
              <w:jc w:val="right"/>
              <w:rPr>
                <w:sz w:val="20"/>
                <w:szCs w:val="20"/>
              </w:rPr>
            </w:pPr>
          </w:p>
        </w:tc>
        <w:tc>
          <w:tcPr>
            <w:tcW w:w="693" w:type="pct"/>
            <w:tcBorders>
              <w:top w:val="single" w:sz="4" w:space="0" w:color="auto"/>
              <w:left w:val="nil"/>
              <w:bottom w:val="nil"/>
              <w:right w:val="nil"/>
            </w:tcBorders>
            <w:noWrap/>
            <w:vAlign w:val="bottom"/>
          </w:tcPr>
          <w:p w14:paraId="4C081833" w14:textId="77777777" w:rsidR="00C44869" w:rsidRPr="006C7979" w:rsidRDefault="00C44869" w:rsidP="007B3453">
            <w:pPr>
              <w:jc w:val="right"/>
              <w:rPr>
                <w:b/>
                <w:bCs/>
                <w:sz w:val="20"/>
                <w:szCs w:val="20"/>
              </w:rPr>
            </w:pPr>
            <w:r>
              <w:rPr>
                <w:b/>
                <w:bCs/>
                <w:sz w:val="20"/>
                <w:szCs w:val="20"/>
              </w:rPr>
              <w:t>(2,448,408)</w:t>
            </w:r>
          </w:p>
        </w:tc>
        <w:tc>
          <w:tcPr>
            <w:tcW w:w="132" w:type="pct"/>
            <w:tcBorders>
              <w:top w:val="single" w:sz="4" w:space="0" w:color="auto"/>
              <w:left w:val="nil"/>
              <w:bottom w:val="nil"/>
              <w:right w:val="nil"/>
            </w:tcBorders>
            <w:noWrap/>
            <w:vAlign w:val="bottom"/>
            <w:hideMark/>
          </w:tcPr>
          <w:p w14:paraId="6D95304B" w14:textId="77777777" w:rsidR="00C44869" w:rsidRPr="006C7979"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0F6AB04D" w14:textId="77777777" w:rsidR="00C44869" w:rsidRPr="00204DC1" w:rsidRDefault="00C44869" w:rsidP="007B3453">
            <w:pPr>
              <w:jc w:val="right"/>
              <w:rPr>
                <w:sz w:val="20"/>
                <w:szCs w:val="20"/>
              </w:rPr>
            </w:pPr>
            <w:r w:rsidRPr="00204DC1">
              <w:rPr>
                <w:sz w:val="20"/>
                <w:szCs w:val="20"/>
              </w:rPr>
              <w:t>(1,457,809)</w:t>
            </w:r>
          </w:p>
        </w:tc>
        <w:tc>
          <w:tcPr>
            <w:tcW w:w="132" w:type="pct"/>
            <w:tcBorders>
              <w:top w:val="single" w:sz="4" w:space="0" w:color="auto"/>
              <w:left w:val="nil"/>
              <w:bottom w:val="nil"/>
              <w:right w:val="nil"/>
            </w:tcBorders>
            <w:noWrap/>
            <w:vAlign w:val="bottom"/>
            <w:hideMark/>
          </w:tcPr>
          <w:p w14:paraId="0AFA219D" w14:textId="77777777" w:rsidR="00C44869" w:rsidRPr="006C7979" w:rsidRDefault="00C44869" w:rsidP="007B3453">
            <w:pPr>
              <w:jc w:val="right"/>
              <w:rPr>
                <w:sz w:val="20"/>
                <w:szCs w:val="20"/>
              </w:rPr>
            </w:pPr>
          </w:p>
        </w:tc>
        <w:tc>
          <w:tcPr>
            <w:tcW w:w="741" w:type="pct"/>
            <w:tcBorders>
              <w:top w:val="single" w:sz="4" w:space="0" w:color="auto"/>
              <w:left w:val="nil"/>
              <w:bottom w:val="nil"/>
              <w:right w:val="nil"/>
            </w:tcBorders>
            <w:noWrap/>
            <w:vAlign w:val="bottom"/>
            <w:hideMark/>
          </w:tcPr>
          <w:p w14:paraId="38E83AE2" w14:textId="77777777" w:rsidR="00C44869" w:rsidRPr="0050514C" w:rsidRDefault="00C44869" w:rsidP="007B3453">
            <w:pPr>
              <w:jc w:val="right"/>
              <w:rPr>
                <w:sz w:val="20"/>
                <w:szCs w:val="20"/>
              </w:rPr>
            </w:pPr>
            <w:r w:rsidRPr="0050514C">
              <w:rPr>
                <w:sz w:val="20"/>
                <w:szCs w:val="20"/>
              </w:rPr>
              <w:t>(2,903,529)</w:t>
            </w:r>
          </w:p>
        </w:tc>
        <w:tc>
          <w:tcPr>
            <w:tcW w:w="132" w:type="pct"/>
            <w:tcBorders>
              <w:top w:val="nil"/>
              <w:left w:val="nil"/>
              <w:bottom w:val="nil"/>
              <w:right w:val="nil"/>
            </w:tcBorders>
            <w:noWrap/>
            <w:vAlign w:val="bottom"/>
            <w:hideMark/>
          </w:tcPr>
          <w:p w14:paraId="4027C871" w14:textId="77777777" w:rsidR="00C44869" w:rsidRPr="006C7979" w:rsidRDefault="00C44869" w:rsidP="007B3453">
            <w:pPr>
              <w:jc w:val="right"/>
              <w:rPr>
                <w:sz w:val="20"/>
                <w:szCs w:val="20"/>
              </w:rPr>
            </w:pPr>
          </w:p>
        </w:tc>
      </w:tr>
      <w:tr w:rsidR="00C44869" w:rsidRPr="006C7979" w14:paraId="6ADB7BD6" w14:textId="77777777" w:rsidTr="007B3453">
        <w:trPr>
          <w:trHeight w:val="270"/>
        </w:trPr>
        <w:tc>
          <w:tcPr>
            <w:tcW w:w="2213" w:type="pct"/>
            <w:tcBorders>
              <w:top w:val="nil"/>
              <w:left w:val="nil"/>
              <w:bottom w:val="nil"/>
              <w:right w:val="nil"/>
            </w:tcBorders>
            <w:noWrap/>
            <w:vAlign w:val="bottom"/>
            <w:hideMark/>
          </w:tcPr>
          <w:p w14:paraId="5777C248" w14:textId="77777777" w:rsidR="00C44869" w:rsidRPr="006C7979" w:rsidRDefault="00C44869" w:rsidP="007B3453">
            <w:pPr>
              <w:rPr>
                <w:sz w:val="20"/>
                <w:szCs w:val="20"/>
              </w:rPr>
            </w:pPr>
            <w:r w:rsidRPr="006C7979">
              <w:rPr>
                <w:sz w:val="20"/>
                <w:szCs w:val="20"/>
              </w:rPr>
              <w:t>Finance income</w:t>
            </w:r>
          </w:p>
        </w:tc>
        <w:tc>
          <w:tcPr>
            <w:tcW w:w="132" w:type="pct"/>
            <w:tcBorders>
              <w:top w:val="nil"/>
              <w:left w:val="nil"/>
              <w:bottom w:val="nil"/>
              <w:right w:val="nil"/>
            </w:tcBorders>
            <w:noWrap/>
            <w:vAlign w:val="bottom"/>
            <w:hideMark/>
          </w:tcPr>
          <w:p w14:paraId="28653141"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4D1F5012"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454FAAFD" w14:textId="77777777" w:rsidR="00C44869" w:rsidRPr="006C7979" w:rsidRDefault="00C44869" w:rsidP="007B3453">
            <w:pPr>
              <w:jc w:val="right"/>
              <w:rPr>
                <w:b/>
                <w:bCs/>
                <w:sz w:val="20"/>
                <w:szCs w:val="20"/>
              </w:rPr>
            </w:pPr>
            <w:r>
              <w:rPr>
                <w:b/>
                <w:bCs/>
                <w:sz w:val="20"/>
                <w:szCs w:val="20"/>
              </w:rPr>
              <w:t>12,485</w:t>
            </w:r>
          </w:p>
        </w:tc>
        <w:tc>
          <w:tcPr>
            <w:tcW w:w="132" w:type="pct"/>
            <w:tcBorders>
              <w:top w:val="nil"/>
              <w:left w:val="nil"/>
              <w:bottom w:val="nil"/>
              <w:right w:val="nil"/>
            </w:tcBorders>
            <w:noWrap/>
            <w:vAlign w:val="bottom"/>
            <w:hideMark/>
          </w:tcPr>
          <w:p w14:paraId="1C5F8DB2" w14:textId="77777777" w:rsidR="00C44869" w:rsidRPr="006C7979" w:rsidRDefault="00C44869" w:rsidP="007B3453">
            <w:pPr>
              <w:jc w:val="right"/>
              <w:rPr>
                <w:b/>
                <w:bCs/>
                <w:sz w:val="20"/>
                <w:szCs w:val="20"/>
              </w:rPr>
            </w:pPr>
          </w:p>
        </w:tc>
        <w:tc>
          <w:tcPr>
            <w:tcW w:w="693" w:type="pct"/>
            <w:tcBorders>
              <w:top w:val="nil"/>
              <w:left w:val="nil"/>
              <w:bottom w:val="nil"/>
              <w:right w:val="nil"/>
            </w:tcBorders>
            <w:noWrap/>
            <w:vAlign w:val="bottom"/>
            <w:hideMark/>
          </w:tcPr>
          <w:p w14:paraId="18CB9AB7" w14:textId="77777777" w:rsidR="00C44869" w:rsidRPr="00204DC1" w:rsidRDefault="00C44869" w:rsidP="007B3453">
            <w:pPr>
              <w:jc w:val="right"/>
              <w:rPr>
                <w:sz w:val="20"/>
                <w:szCs w:val="20"/>
              </w:rPr>
            </w:pPr>
            <w:r w:rsidRPr="00204DC1">
              <w:rPr>
                <w:sz w:val="20"/>
                <w:szCs w:val="20"/>
              </w:rPr>
              <w:t xml:space="preserve">7 </w:t>
            </w:r>
          </w:p>
        </w:tc>
        <w:tc>
          <w:tcPr>
            <w:tcW w:w="132" w:type="pct"/>
            <w:tcBorders>
              <w:top w:val="nil"/>
              <w:left w:val="nil"/>
              <w:bottom w:val="nil"/>
              <w:right w:val="nil"/>
            </w:tcBorders>
            <w:noWrap/>
            <w:vAlign w:val="bottom"/>
            <w:hideMark/>
          </w:tcPr>
          <w:p w14:paraId="55FB2908"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1F620DD8" w14:textId="77777777" w:rsidR="00C44869" w:rsidRPr="0050514C" w:rsidRDefault="00C44869" w:rsidP="007B3453">
            <w:pPr>
              <w:jc w:val="right"/>
              <w:rPr>
                <w:sz w:val="20"/>
                <w:szCs w:val="20"/>
              </w:rPr>
            </w:pPr>
            <w:r w:rsidRPr="0050514C">
              <w:rPr>
                <w:sz w:val="20"/>
                <w:szCs w:val="20"/>
              </w:rPr>
              <w:t xml:space="preserve">           87,033 </w:t>
            </w:r>
          </w:p>
        </w:tc>
        <w:tc>
          <w:tcPr>
            <w:tcW w:w="132" w:type="pct"/>
            <w:tcBorders>
              <w:top w:val="nil"/>
              <w:left w:val="nil"/>
              <w:bottom w:val="nil"/>
              <w:right w:val="nil"/>
            </w:tcBorders>
            <w:noWrap/>
            <w:vAlign w:val="bottom"/>
            <w:hideMark/>
          </w:tcPr>
          <w:p w14:paraId="0FB9ED91" w14:textId="77777777" w:rsidR="00C44869" w:rsidRPr="006C7979" w:rsidRDefault="00C44869" w:rsidP="007B3453">
            <w:pPr>
              <w:jc w:val="right"/>
              <w:rPr>
                <w:sz w:val="20"/>
                <w:szCs w:val="20"/>
              </w:rPr>
            </w:pPr>
          </w:p>
        </w:tc>
      </w:tr>
      <w:tr w:rsidR="00C44869" w:rsidRPr="006C7979" w14:paraId="3A99FC56" w14:textId="77777777" w:rsidTr="007B3453">
        <w:trPr>
          <w:trHeight w:val="270"/>
        </w:trPr>
        <w:tc>
          <w:tcPr>
            <w:tcW w:w="2213" w:type="pct"/>
            <w:tcBorders>
              <w:top w:val="nil"/>
              <w:left w:val="nil"/>
              <w:bottom w:val="nil"/>
              <w:right w:val="nil"/>
            </w:tcBorders>
            <w:noWrap/>
            <w:vAlign w:val="bottom"/>
            <w:hideMark/>
          </w:tcPr>
          <w:p w14:paraId="012AA85F" w14:textId="77777777" w:rsidR="00C44869" w:rsidRPr="006C7979" w:rsidRDefault="00C44869" w:rsidP="007B3453">
            <w:pPr>
              <w:rPr>
                <w:sz w:val="20"/>
                <w:szCs w:val="20"/>
              </w:rPr>
            </w:pPr>
            <w:r w:rsidRPr="006C7979">
              <w:rPr>
                <w:sz w:val="20"/>
                <w:szCs w:val="20"/>
              </w:rPr>
              <w:t>Finance cost</w:t>
            </w:r>
            <w:r>
              <w:rPr>
                <w:sz w:val="20"/>
                <w:szCs w:val="20"/>
              </w:rPr>
              <w:t>s</w:t>
            </w:r>
          </w:p>
        </w:tc>
        <w:tc>
          <w:tcPr>
            <w:tcW w:w="132" w:type="pct"/>
            <w:tcBorders>
              <w:top w:val="nil"/>
              <w:left w:val="nil"/>
              <w:bottom w:val="nil"/>
              <w:right w:val="nil"/>
            </w:tcBorders>
            <w:noWrap/>
            <w:vAlign w:val="bottom"/>
            <w:hideMark/>
          </w:tcPr>
          <w:p w14:paraId="5C8A0014"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3531E89E"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56B5C32C" w14:textId="77777777" w:rsidR="00C44869" w:rsidRPr="006C7979" w:rsidRDefault="00C44869" w:rsidP="007B3453">
            <w:pPr>
              <w:jc w:val="right"/>
              <w:rPr>
                <w:b/>
                <w:bCs/>
                <w:sz w:val="20"/>
                <w:szCs w:val="20"/>
              </w:rPr>
            </w:pPr>
            <w:r>
              <w:rPr>
                <w:b/>
                <w:bCs/>
                <w:sz w:val="20"/>
                <w:szCs w:val="20"/>
              </w:rPr>
              <w:t>(95,642)</w:t>
            </w:r>
          </w:p>
        </w:tc>
        <w:tc>
          <w:tcPr>
            <w:tcW w:w="132" w:type="pct"/>
            <w:tcBorders>
              <w:top w:val="nil"/>
              <w:left w:val="nil"/>
              <w:bottom w:val="nil"/>
              <w:right w:val="nil"/>
            </w:tcBorders>
            <w:noWrap/>
            <w:vAlign w:val="bottom"/>
            <w:hideMark/>
          </w:tcPr>
          <w:p w14:paraId="160D5DA8" w14:textId="77777777" w:rsidR="00C44869" w:rsidRPr="006C7979" w:rsidRDefault="00C44869" w:rsidP="007B3453">
            <w:pPr>
              <w:jc w:val="right"/>
              <w:rPr>
                <w:b/>
                <w:bCs/>
                <w:sz w:val="20"/>
                <w:szCs w:val="20"/>
              </w:rPr>
            </w:pPr>
          </w:p>
        </w:tc>
        <w:tc>
          <w:tcPr>
            <w:tcW w:w="693" w:type="pct"/>
            <w:tcBorders>
              <w:top w:val="nil"/>
              <w:left w:val="nil"/>
              <w:bottom w:val="nil"/>
              <w:right w:val="nil"/>
            </w:tcBorders>
            <w:noWrap/>
            <w:vAlign w:val="bottom"/>
            <w:hideMark/>
          </w:tcPr>
          <w:p w14:paraId="19CEB460" w14:textId="77777777" w:rsidR="00C44869" w:rsidRPr="00204DC1" w:rsidRDefault="00C44869" w:rsidP="007B3453">
            <w:pPr>
              <w:jc w:val="right"/>
              <w:rPr>
                <w:sz w:val="20"/>
                <w:szCs w:val="20"/>
              </w:rPr>
            </w:pPr>
            <w:r w:rsidRPr="00204DC1">
              <w:rPr>
                <w:sz w:val="20"/>
                <w:szCs w:val="20"/>
              </w:rPr>
              <w:t>(111,036)</w:t>
            </w:r>
          </w:p>
        </w:tc>
        <w:tc>
          <w:tcPr>
            <w:tcW w:w="132" w:type="pct"/>
            <w:tcBorders>
              <w:top w:val="nil"/>
              <w:left w:val="nil"/>
              <w:bottom w:val="nil"/>
              <w:right w:val="nil"/>
            </w:tcBorders>
            <w:noWrap/>
            <w:vAlign w:val="bottom"/>
            <w:hideMark/>
          </w:tcPr>
          <w:p w14:paraId="29EA7F26"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241C9818" w14:textId="77777777" w:rsidR="00C44869" w:rsidRPr="0050514C" w:rsidRDefault="00C44869" w:rsidP="007B3453">
            <w:pPr>
              <w:jc w:val="right"/>
              <w:rPr>
                <w:sz w:val="20"/>
                <w:szCs w:val="20"/>
              </w:rPr>
            </w:pPr>
            <w:r w:rsidRPr="0050514C">
              <w:rPr>
                <w:sz w:val="20"/>
                <w:szCs w:val="20"/>
              </w:rPr>
              <w:t xml:space="preserve">        (196,449)</w:t>
            </w:r>
          </w:p>
        </w:tc>
        <w:tc>
          <w:tcPr>
            <w:tcW w:w="132" w:type="pct"/>
            <w:tcBorders>
              <w:top w:val="nil"/>
              <w:left w:val="nil"/>
              <w:bottom w:val="nil"/>
              <w:right w:val="nil"/>
            </w:tcBorders>
            <w:noWrap/>
            <w:vAlign w:val="bottom"/>
            <w:hideMark/>
          </w:tcPr>
          <w:p w14:paraId="7803888A" w14:textId="77777777" w:rsidR="00C44869" w:rsidRPr="006C7979" w:rsidRDefault="00C44869" w:rsidP="007B3453">
            <w:pPr>
              <w:jc w:val="right"/>
              <w:rPr>
                <w:sz w:val="20"/>
                <w:szCs w:val="20"/>
              </w:rPr>
            </w:pPr>
          </w:p>
        </w:tc>
      </w:tr>
      <w:tr w:rsidR="00C44869" w:rsidRPr="006C7979" w14:paraId="2FFD5D26" w14:textId="77777777" w:rsidTr="007B3453">
        <w:trPr>
          <w:trHeight w:val="270"/>
        </w:trPr>
        <w:tc>
          <w:tcPr>
            <w:tcW w:w="2213" w:type="pct"/>
            <w:tcBorders>
              <w:top w:val="nil"/>
              <w:left w:val="nil"/>
              <w:bottom w:val="nil"/>
              <w:right w:val="nil"/>
            </w:tcBorders>
            <w:noWrap/>
            <w:vAlign w:val="bottom"/>
            <w:hideMark/>
          </w:tcPr>
          <w:p w14:paraId="40723FCA" w14:textId="77777777" w:rsidR="00C44869" w:rsidRPr="006C7979" w:rsidRDefault="00C44869" w:rsidP="007B3453">
            <w:pPr>
              <w:rPr>
                <w:sz w:val="20"/>
                <w:szCs w:val="20"/>
              </w:rPr>
            </w:pPr>
            <w:r w:rsidRPr="006C7979">
              <w:rPr>
                <w:sz w:val="20"/>
                <w:szCs w:val="20"/>
              </w:rPr>
              <w:t>Other income</w:t>
            </w:r>
          </w:p>
        </w:tc>
        <w:tc>
          <w:tcPr>
            <w:tcW w:w="132" w:type="pct"/>
            <w:tcBorders>
              <w:top w:val="nil"/>
              <w:left w:val="nil"/>
              <w:bottom w:val="nil"/>
              <w:right w:val="nil"/>
            </w:tcBorders>
            <w:noWrap/>
            <w:vAlign w:val="bottom"/>
            <w:hideMark/>
          </w:tcPr>
          <w:p w14:paraId="7A060C55"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551424EB" w14:textId="77777777" w:rsidR="00C44869" w:rsidRPr="006C7979" w:rsidRDefault="00C44869" w:rsidP="007B3453">
            <w:pPr>
              <w:rPr>
                <w:sz w:val="20"/>
                <w:szCs w:val="20"/>
              </w:rPr>
            </w:pPr>
          </w:p>
        </w:tc>
        <w:tc>
          <w:tcPr>
            <w:tcW w:w="693" w:type="pct"/>
            <w:tcBorders>
              <w:top w:val="nil"/>
              <w:left w:val="nil"/>
              <w:bottom w:val="single" w:sz="4" w:space="0" w:color="auto"/>
              <w:right w:val="nil"/>
            </w:tcBorders>
            <w:noWrap/>
            <w:vAlign w:val="bottom"/>
          </w:tcPr>
          <w:p w14:paraId="00D937F2" w14:textId="77777777" w:rsidR="00C44869" w:rsidRPr="006C7979" w:rsidRDefault="00C44869" w:rsidP="007B3453">
            <w:pPr>
              <w:jc w:val="right"/>
              <w:rPr>
                <w:sz w:val="20"/>
                <w:szCs w:val="20"/>
              </w:rPr>
            </w:pPr>
            <w:r>
              <w:rPr>
                <w:sz w:val="20"/>
                <w:szCs w:val="20"/>
              </w:rPr>
              <w:t>-</w:t>
            </w:r>
          </w:p>
        </w:tc>
        <w:tc>
          <w:tcPr>
            <w:tcW w:w="132" w:type="pct"/>
            <w:tcBorders>
              <w:top w:val="nil"/>
              <w:left w:val="nil"/>
              <w:bottom w:val="nil"/>
              <w:right w:val="nil"/>
            </w:tcBorders>
            <w:noWrap/>
            <w:vAlign w:val="bottom"/>
            <w:hideMark/>
          </w:tcPr>
          <w:p w14:paraId="2843F9F6" w14:textId="77777777" w:rsidR="00C44869" w:rsidRPr="006C7979" w:rsidRDefault="00C44869" w:rsidP="007B3453">
            <w:pPr>
              <w:jc w:val="right"/>
              <w:rPr>
                <w:sz w:val="20"/>
                <w:szCs w:val="20"/>
              </w:rPr>
            </w:pPr>
          </w:p>
        </w:tc>
        <w:tc>
          <w:tcPr>
            <w:tcW w:w="693" w:type="pct"/>
            <w:tcBorders>
              <w:top w:val="nil"/>
              <w:left w:val="nil"/>
              <w:bottom w:val="single" w:sz="4" w:space="0" w:color="auto"/>
              <w:right w:val="nil"/>
            </w:tcBorders>
            <w:noWrap/>
            <w:vAlign w:val="bottom"/>
            <w:hideMark/>
          </w:tcPr>
          <w:p w14:paraId="52D90AF0" w14:textId="77777777" w:rsidR="00C44869" w:rsidRPr="00204DC1" w:rsidRDefault="00C44869" w:rsidP="007B3453">
            <w:pPr>
              <w:jc w:val="right"/>
              <w:rPr>
                <w:sz w:val="20"/>
                <w:szCs w:val="20"/>
              </w:rPr>
            </w:pPr>
            <w:r w:rsidRPr="00204DC1">
              <w:rPr>
                <w:sz w:val="20"/>
                <w:szCs w:val="20"/>
              </w:rPr>
              <w:t xml:space="preserve">                   - </w:t>
            </w:r>
          </w:p>
        </w:tc>
        <w:tc>
          <w:tcPr>
            <w:tcW w:w="132" w:type="pct"/>
            <w:tcBorders>
              <w:top w:val="nil"/>
              <w:left w:val="nil"/>
              <w:bottom w:val="nil"/>
              <w:right w:val="nil"/>
            </w:tcBorders>
            <w:noWrap/>
            <w:vAlign w:val="bottom"/>
            <w:hideMark/>
          </w:tcPr>
          <w:p w14:paraId="6B8583D8" w14:textId="77777777" w:rsidR="00C44869" w:rsidRPr="006C7979" w:rsidRDefault="00C44869" w:rsidP="007B3453">
            <w:pPr>
              <w:jc w:val="right"/>
              <w:rPr>
                <w:sz w:val="20"/>
                <w:szCs w:val="20"/>
              </w:rPr>
            </w:pPr>
          </w:p>
        </w:tc>
        <w:tc>
          <w:tcPr>
            <w:tcW w:w="741" w:type="pct"/>
            <w:tcBorders>
              <w:top w:val="nil"/>
              <w:left w:val="nil"/>
              <w:bottom w:val="single" w:sz="4" w:space="0" w:color="auto"/>
              <w:right w:val="nil"/>
            </w:tcBorders>
            <w:noWrap/>
            <w:vAlign w:val="bottom"/>
            <w:hideMark/>
          </w:tcPr>
          <w:p w14:paraId="7C1FF837" w14:textId="77777777" w:rsidR="00C44869" w:rsidRPr="0050514C" w:rsidRDefault="00C44869" w:rsidP="007B3453">
            <w:pPr>
              <w:jc w:val="right"/>
              <w:rPr>
                <w:sz w:val="20"/>
                <w:szCs w:val="20"/>
              </w:rPr>
            </w:pPr>
            <w:r w:rsidRPr="0050514C">
              <w:rPr>
                <w:sz w:val="20"/>
                <w:szCs w:val="20"/>
              </w:rPr>
              <w:t xml:space="preserve">             270 </w:t>
            </w:r>
          </w:p>
        </w:tc>
        <w:tc>
          <w:tcPr>
            <w:tcW w:w="132" w:type="pct"/>
            <w:tcBorders>
              <w:top w:val="nil"/>
              <w:left w:val="nil"/>
              <w:bottom w:val="nil"/>
              <w:right w:val="nil"/>
            </w:tcBorders>
            <w:noWrap/>
            <w:vAlign w:val="bottom"/>
            <w:hideMark/>
          </w:tcPr>
          <w:p w14:paraId="718254D5" w14:textId="77777777" w:rsidR="00C44869" w:rsidRPr="006C7979" w:rsidRDefault="00C44869" w:rsidP="007B3453">
            <w:pPr>
              <w:jc w:val="right"/>
              <w:rPr>
                <w:sz w:val="20"/>
                <w:szCs w:val="20"/>
              </w:rPr>
            </w:pPr>
          </w:p>
        </w:tc>
      </w:tr>
      <w:tr w:rsidR="00C44869" w:rsidRPr="006C7979" w14:paraId="46C3384E" w14:textId="77777777" w:rsidTr="007B3453">
        <w:trPr>
          <w:trHeight w:val="270"/>
        </w:trPr>
        <w:tc>
          <w:tcPr>
            <w:tcW w:w="2213" w:type="pct"/>
            <w:tcBorders>
              <w:top w:val="nil"/>
              <w:left w:val="nil"/>
              <w:bottom w:val="nil"/>
              <w:right w:val="nil"/>
            </w:tcBorders>
            <w:noWrap/>
            <w:vAlign w:val="bottom"/>
            <w:hideMark/>
          </w:tcPr>
          <w:p w14:paraId="25EB58B1" w14:textId="77777777" w:rsidR="00C44869" w:rsidRPr="006C7979" w:rsidRDefault="00C44869" w:rsidP="007B3453">
            <w:pPr>
              <w:rPr>
                <w:b/>
                <w:bCs/>
                <w:sz w:val="20"/>
                <w:szCs w:val="20"/>
              </w:rPr>
            </w:pPr>
            <w:r w:rsidRPr="006C7979">
              <w:rPr>
                <w:b/>
                <w:bCs/>
                <w:sz w:val="20"/>
                <w:szCs w:val="20"/>
              </w:rPr>
              <w:t>Loss on ordinary activities before taxation</w:t>
            </w:r>
          </w:p>
        </w:tc>
        <w:tc>
          <w:tcPr>
            <w:tcW w:w="132" w:type="pct"/>
            <w:tcBorders>
              <w:top w:val="nil"/>
              <w:left w:val="nil"/>
              <w:bottom w:val="nil"/>
              <w:right w:val="nil"/>
            </w:tcBorders>
            <w:noWrap/>
            <w:vAlign w:val="bottom"/>
            <w:hideMark/>
          </w:tcPr>
          <w:p w14:paraId="50B648A1"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7C0D2984" w14:textId="77777777" w:rsidR="00C44869" w:rsidRPr="006C7979" w:rsidRDefault="00C44869" w:rsidP="007B3453">
            <w:pPr>
              <w:rPr>
                <w:sz w:val="20"/>
                <w:szCs w:val="20"/>
              </w:rPr>
            </w:pPr>
          </w:p>
        </w:tc>
        <w:tc>
          <w:tcPr>
            <w:tcW w:w="693" w:type="pct"/>
            <w:tcBorders>
              <w:top w:val="nil"/>
              <w:left w:val="nil"/>
              <w:bottom w:val="nil"/>
              <w:right w:val="nil"/>
            </w:tcBorders>
            <w:shd w:val="clear" w:color="000000" w:fill="FFFFFF"/>
            <w:noWrap/>
            <w:vAlign w:val="bottom"/>
          </w:tcPr>
          <w:p w14:paraId="1FFEB5C6" w14:textId="77777777" w:rsidR="00C44869" w:rsidRPr="006C7979" w:rsidRDefault="00C44869" w:rsidP="007B3453">
            <w:pPr>
              <w:jc w:val="right"/>
              <w:rPr>
                <w:b/>
                <w:bCs/>
                <w:sz w:val="20"/>
                <w:szCs w:val="20"/>
              </w:rPr>
            </w:pPr>
            <w:r>
              <w:rPr>
                <w:b/>
                <w:bCs/>
                <w:sz w:val="20"/>
                <w:szCs w:val="20"/>
              </w:rPr>
              <w:t>(2,531,565)</w:t>
            </w:r>
          </w:p>
        </w:tc>
        <w:tc>
          <w:tcPr>
            <w:tcW w:w="132" w:type="pct"/>
            <w:tcBorders>
              <w:top w:val="nil"/>
              <w:left w:val="nil"/>
              <w:bottom w:val="nil"/>
              <w:right w:val="nil"/>
            </w:tcBorders>
            <w:noWrap/>
            <w:vAlign w:val="bottom"/>
            <w:hideMark/>
          </w:tcPr>
          <w:p w14:paraId="09903A56" w14:textId="77777777" w:rsidR="00C44869" w:rsidRPr="006C7979" w:rsidRDefault="00C44869" w:rsidP="007B3453">
            <w:pPr>
              <w:jc w:val="right"/>
              <w:rPr>
                <w:b/>
                <w:bCs/>
                <w:sz w:val="20"/>
                <w:szCs w:val="20"/>
              </w:rPr>
            </w:pPr>
          </w:p>
        </w:tc>
        <w:tc>
          <w:tcPr>
            <w:tcW w:w="693" w:type="pct"/>
            <w:tcBorders>
              <w:top w:val="nil"/>
              <w:left w:val="nil"/>
              <w:bottom w:val="nil"/>
              <w:right w:val="nil"/>
            </w:tcBorders>
            <w:shd w:val="clear" w:color="000000" w:fill="FFFFFF"/>
            <w:noWrap/>
            <w:vAlign w:val="bottom"/>
            <w:hideMark/>
          </w:tcPr>
          <w:p w14:paraId="7D1A9AB4" w14:textId="77777777" w:rsidR="00C44869" w:rsidRPr="00204DC1" w:rsidRDefault="00C44869" w:rsidP="007B3453">
            <w:pPr>
              <w:jc w:val="right"/>
              <w:rPr>
                <w:sz w:val="20"/>
                <w:szCs w:val="20"/>
              </w:rPr>
            </w:pPr>
            <w:r w:rsidRPr="00204DC1">
              <w:rPr>
                <w:sz w:val="20"/>
                <w:szCs w:val="20"/>
              </w:rPr>
              <w:t xml:space="preserve">      (1,568,838)</w:t>
            </w:r>
          </w:p>
        </w:tc>
        <w:tc>
          <w:tcPr>
            <w:tcW w:w="132" w:type="pct"/>
            <w:tcBorders>
              <w:top w:val="nil"/>
              <w:left w:val="nil"/>
              <w:bottom w:val="nil"/>
              <w:right w:val="nil"/>
            </w:tcBorders>
            <w:noWrap/>
            <w:vAlign w:val="bottom"/>
            <w:hideMark/>
          </w:tcPr>
          <w:p w14:paraId="00ADE4B4" w14:textId="77777777" w:rsidR="00C44869" w:rsidRPr="006C7979" w:rsidRDefault="00C44869" w:rsidP="007B3453">
            <w:pPr>
              <w:jc w:val="right"/>
              <w:rPr>
                <w:sz w:val="20"/>
                <w:szCs w:val="20"/>
              </w:rPr>
            </w:pPr>
          </w:p>
        </w:tc>
        <w:tc>
          <w:tcPr>
            <w:tcW w:w="741" w:type="pct"/>
            <w:tcBorders>
              <w:top w:val="nil"/>
              <w:left w:val="nil"/>
              <w:bottom w:val="nil"/>
              <w:right w:val="nil"/>
            </w:tcBorders>
            <w:shd w:val="clear" w:color="000000" w:fill="FFFFFF"/>
            <w:noWrap/>
            <w:vAlign w:val="bottom"/>
            <w:hideMark/>
          </w:tcPr>
          <w:p w14:paraId="2A2B83DD" w14:textId="77777777" w:rsidR="00C44869" w:rsidRPr="0050514C" w:rsidRDefault="00C44869" w:rsidP="007B3453">
            <w:pPr>
              <w:jc w:val="right"/>
              <w:rPr>
                <w:sz w:val="20"/>
                <w:szCs w:val="20"/>
              </w:rPr>
            </w:pPr>
            <w:r w:rsidRPr="0050514C">
              <w:rPr>
                <w:sz w:val="20"/>
                <w:szCs w:val="20"/>
              </w:rPr>
              <w:t xml:space="preserve">      (3,012,675)</w:t>
            </w:r>
          </w:p>
        </w:tc>
        <w:tc>
          <w:tcPr>
            <w:tcW w:w="132" w:type="pct"/>
            <w:tcBorders>
              <w:top w:val="nil"/>
              <w:left w:val="nil"/>
              <w:bottom w:val="nil"/>
              <w:right w:val="nil"/>
            </w:tcBorders>
            <w:noWrap/>
            <w:vAlign w:val="bottom"/>
            <w:hideMark/>
          </w:tcPr>
          <w:p w14:paraId="626E9126" w14:textId="77777777" w:rsidR="00C44869" w:rsidRPr="006C7979" w:rsidRDefault="00C44869" w:rsidP="007B3453">
            <w:pPr>
              <w:rPr>
                <w:sz w:val="20"/>
                <w:szCs w:val="20"/>
              </w:rPr>
            </w:pPr>
          </w:p>
        </w:tc>
      </w:tr>
      <w:tr w:rsidR="00C44869" w:rsidRPr="006C7979" w14:paraId="67F8FB38" w14:textId="77777777" w:rsidTr="007B3453">
        <w:trPr>
          <w:trHeight w:val="270"/>
        </w:trPr>
        <w:tc>
          <w:tcPr>
            <w:tcW w:w="2213" w:type="pct"/>
            <w:tcBorders>
              <w:top w:val="nil"/>
              <w:left w:val="nil"/>
              <w:bottom w:val="nil"/>
              <w:right w:val="nil"/>
            </w:tcBorders>
            <w:noWrap/>
            <w:vAlign w:val="bottom"/>
            <w:hideMark/>
          </w:tcPr>
          <w:p w14:paraId="4A53F43B" w14:textId="77777777" w:rsidR="00C44869" w:rsidRPr="006C7979" w:rsidRDefault="00C44869" w:rsidP="007B3453">
            <w:pPr>
              <w:rPr>
                <w:sz w:val="20"/>
                <w:szCs w:val="20"/>
              </w:rPr>
            </w:pPr>
            <w:r w:rsidRPr="006C7979">
              <w:rPr>
                <w:sz w:val="20"/>
                <w:szCs w:val="20"/>
              </w:rPr>
              <w:t>Taxation on loss on ordinary activities</w:t>
            </w:r>
          </w:p>
        </w:tc>
        <w:tc>
          <w:tcPr>
            <w:tcW w:w="132" w:type="pct"/>
            <w:tcBorders>
              <w:top w:val="nil"/>
              <w:left w:val="nil"/>
              <w:bottom w:val="nil"/>
              <w:right w:val="nil"/>
            </w:tcBorders>
            <w:noWrap/>
            <w:vAlign w:val="bottom"/>
            <w:hideMark/>
          </w:tcPr>
          <w:p w14:paraId="11CD6ADB"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10890ADC" w14:textId="77777777" w:rsidR="00C44869" w:rsidRPr="006C7979" w:rsidRDefault="00C44869" w:rsidP="007B3453">
            <w:pPr>
              <w:rPr>
                <w:sz w:val="20"/>
                <w:szCs w:val="20"/>
              </w:rPr>
            </w:pPr>
          </w:p>
        </w:tc>
        <w:tc>
          <w:tcPr>
            <w:tcW w:w="693" w:type="pct"/>
            <w:tcBorders>
              <w:top w:val="nil"/>
              <w:left w:val="nil"/>
              <w:bottom w:val="single" w:sz="4" w:space="0" w:color="auto"/>
              <w:right w:val="nil"/>
            </w:tcBorders>
            <w:noWrap/>
            <w:vAlign w:val="bottom"/>
          </w:tcPr>
          <w:p w14:paraId="74724F58" w14:textId="77777777" w:rsidR="00C44869" w:rsidRPr="006C7979" w:rsidRDefault="00C44869" w:rsidP="007B3453">
            <w:pPr>
              <w:jc w:val="right"/>
              <w:rPr>
                <w:b/>
                <w:bCs/>
                <w:sz w:val="20"/>
                <w:szCs w:val="20"/>
              </w:rPr>
            </w:pPr>
            <w:r>
              <w:rPr>
                <w:b/>
                <w:bCs/>
                <w:sz w:val="20"/>
                <w:szCs w:val="20"/>
              </w:rPr>
              <w:t>-</w:t>
            </w:r>
          </w:p>
        </w:tc>
        <w:tc>
          <w:tcPr>
            <w:tcW w:w="132" w:type="pct"/>
            <w:tcBorders>
              <w:top w:val="nil"/>
              <w:left w:val="nil"/>
              <w:bottom w:val="nil"/>
              <w:right w:val="nil"/>
            </w:tcBorders>
            <w:noWrap/>
            <w:vAlign w:val="bottom"/>
            <w:hideMark/>
          </w:tcPr>
          <w:p w14:paraId="605AD05D" w14:textId="77777777" w:rsidR="00C44869" w:rsidRPr="006C7979" w:rsidRDefault="00C44869" w:rsidP="007B3453">
            <w:pPr>
              <w:jc w:val="right"/>
              <w:rPr>
                <w:b/>
                <w:bCs/>
                <w:sz w:val="20"/>
                <w:szCs w:val="20"/>
              </w:rPr>
            </w:pPr>
          </w:p>
        </w:tc>
        <w:tc>
          <w:tcPr>
            <w:tcW w:w="693" w:type="pct"/>
            <w:tcBorders>
              <w:top w:val="nil"/>
              <w:left w:val="nil"/>
              <w:bottom w:val="single" w:sz="4" w:space="0" w:color="auto"/>
              <w:right w:val="nil"/>
            </w:tcBorders>
            <w:noWrap/>
            <w:vAlign w:val="bottom"/>
            <w:hideMark/>
          </w:tcPr>
          <w:p w14:paraId="16F8611F" w14:textId="77777777" w:rsidR="00C44869" w:rsidRPr="00204DC1" w:rsidRDefault="00C44869" w:rsidP="007B3453">
            <w:pPr>
              <w:jc w:val="right"/>
              <w:rPr>
                <w:sz w:val="20"/>
                <w:szCs w:val="20"/>
              </w:rPr>
            </w:pPr>
            <w:r w:rsidRPr="00204DC1">
              <w:rPr>
                <w:sz w:val="20"/>
                <w:szCs w:val="20"/>
              </w:rPr>
              <w:t xml:space="preserve">                   - </w:t>
            </w:r>
          </w:p>
        </w:tc>
        <w:tc>
          <w:tcPr>
            <w:tcW w:w="132" w:type="pct"/>
            <w:tcBorders>
              <w:top w:val="nil"/>
              <w:left w:val="nil"/>
              <w:bottom w:val="nil"/>
              <w:right w:val="nil"/>
            </w:tcBorders>
            <w:noWrap/>
            <w:vAlign w:val="bottom"/>
            <w:hideMark/>
          </w:tcPr>
          <w:p w14:paraId="51B293DD" w14:textId="77777777" w:rsidR="00C44869" w:rsidRPr="006C7979" w:rsidRDefault="00C44869" w:rsidP="007B3453">
            <w:pPr>
              <w:jc w:val="right"/>
              <w:rPr>
                <w:sz w:val="20"/>
                <w:szCs w:val="20"/>
              </w:rPr>
            </w:pPr>
          </w:p>
        </w:tc>
        <w:tc>
          <w:tcPr>
            <w:tcW w:w="741" w:type="pct"/>
            <w:tcBorders>
              <w:top w:val="nil"/>
              <w:left w:val="nil"/>
              <w:bottom w:val="single" w:sz="4" w:space="0" w:color="auto"/>
              <w:right w:val="nil"/>
            </w:tcBorders>
            <w:noWrap/>
            <w:vAlign w:val="bottom"/>
            <w:hideMark/>
          </w:tcPr>
          <w:p w14:paraId="4ADF6891" w14:textId="77777777" w:rsidR="00C44869" w:rsidRPr="0050514C" w:rsidRDefault="00C44869" w:rsidP="007B3453">
            <w:pPr>
              <w:jc w:val="right"/>
              <w:rPr>
                <w:sz w:val="20"/>
                <w:szCs w:val="20"/>
              </w:rPr>
            </w:pPr>
            <w:r w:rsidRPr="0050514C">
              <w:rPr>
                <w:sz w:val="20"/>
                <w:szCs w:val="20"/>
              </w:rPr>
              <w:t xml:space="preserve">                   - </w:t>
            </w:r>
          </w:p>
        </w:tc>
        <w:tc>
          <w:tcPr>
            <w:tcW w:w="132" w:type="pct"/>
            <w:tcBorders>
              <w:top w:val="nil"/>
              <w:left w:val="nil"/>
              <w:bottom w:val="nil"/>
              <w:right w:val="nil"/>
            </w:tcBorders>
            <w:noWrap/>
            <w:vAlign w:val="bottom"/>
            <w:hideMark/>
          </w:tcPr>
          <w:p w14:paraId="77BB5000" w14:textId="77777777" w:rsidR="00C44869" w:rsidRPr="006C7979" w:rsidRDefault="00C44869" w:rsidP="007B3453">
            <w:pPr>
              <w:rPr>
                <w:sz w:val="20"/>
                <w:szCs w:val="20"/>
              </w:rPr>
            </w:pPr>
          </w:p>
        </w:tc>
      </w:tr>
      <w:tr w:rsidR="00C44869" w:rsidRPr="006C7979" w14:paraId="015F964B" w14:textId="77777777" w:rsidTr="007B3453">
        <w:trPr>
          <w:trHeight w:val="270"/>
        </w:trPr>
        <w:tc>
          <w:tcPr>
            <w:tcW w:w="2213" w:type="pct"/>
            <w:tcBorders>
              <w:top w:val="nil"/>
              <w:left w:val="nil"/>
              <w:bottom w:val="nil"/>
              <w:right w:val="nil"/>
            </w:tcBorders>
            <w:noWrap/>
            <w:vAlign w:val="bottom"/>
            <w:hideMark/>
          </w:tcPr>
          <w:p w14:paraId="55CA90D9" w14:textId="77777777" w:rsidR="00C44869" w:rsidRPr="006C7979" w:rsidRDefault="00C44869" w:rsidP="007B3453">
            <w:pPr>
              <w:rPr>
                <w:b/>
                <w:bCs/>
                <w:sz w:val="20"/>
                <w:szCs w:val="20"/>
              </w:rPr>
            </w:pPr>
            <w:r w:rsidRPr="006C7979">
              <w:rPr>
                <w:b/>
                <w:bCs/>
                <w:sz w:val="20"/>
                <w:szCs w:val="20"/>
              </w:rPr>
              <w:t>Loss for the period from continuing activities</w:t>
            </w:r>
          </w:p>
        </w:tc>
        <w:tc>
          <w:tcPr>
            <w:tcW w:w="132" w:type="pct"/>
            <w:tcBorders>
              <w:top w:val="nil"/>
              <w:left w:val="nil"/>
              <w:bottom w:val="nil"/>
              <w:right w:val="nil"/>
            </w:tcBorders>
            <w:noWrap/>
            <w:vAlign w:val="bottom"/>
            <w:hideMark/>
          </w:tcPr>
          <w:p w14:paraId="5723B830"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105DDDBC"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7C103608" w14:textId="77777777" w:rsidR="00C44869" w:rsidRPr="006C7979" w:rsidRDefault="00C44869" w:rsidP="007B3453">
            <w:pPr>
              <w:jc w:val="right"/>
              <w:rPr>
                <w:b/>
                <w:bCs/>
                <w:sz w:val="20"/>
                <w:szCs w:val="20"/>
              </w:rPr>
            </w:pPr>
            <w:r>
              <w:rPr>
                <w:b/>
                <w:bCs/>
                <w:sz w:val="20"/>
                <w:szCs w:val="20"/>
              </w:rPr>
              <w:t>(2,531,565)</w:t>
            </w:r>
          </w:p>
        </w:tc>
        <w:tc>
          <w:tcPr>
            <w:tcW w:w="132" w:type="pct"/>
            <w:tcBorders>
              <w:top w:val="nil"/>
              <w:left w:val="nil"/>
              <w:bottom w:val="nil"/>
              <w:right w:val="nil"/>
            </w:tcBorders>
            <w:noWrap/>
            <w:vAlign w:val="bottom"/>
            <w:hideMark/>
          </w:tcPr>
          <w:p w14:paraId="14F5CEB7" w14:textId="77777777" w:rsidR="00C44869" w:rsidRPr="006C7979" w:rsidRDefault="00C44869" w:rsidP="007B3453">
            <w:pPr>
              <w:jc w:val="right"/>
              <w:rPr>
                <w:b/>
                <w:bCs/>
                <w:sz w:val="20"/>
                <w:szCs w:val="20"/>
              </w:rPr>
            </w:pPr>
          </w:p>
        </w:tc>
        <w:tc>
          <w:tcPr>
            <w:tcW w:w="693" w:type="pct"/>
            <w:tcBorders>
              <w:top w:val="nil"/>
              <w:left w:val="nil"/>
              <w:bottom w:val="nil"/>
              <w:right w:val="nil"/>
            </w:tcBorders>
            <w:noWrap/>
            <w:vAlign w:val="bottom"/>
            <w:hideMark/>
          </w:tcPr>
          <w:p w14:paraId="3507F50F" w14:textId="77777777" w:rsidR="00C44869" w:rsidRPr="00204DC1" w:rsidRDefault="00C44869" w:rsidP="007B3453">
            <w:pPr>
              <w:jc w:val="right"/>
              <w:rPr>
                <w:sz w:val="20"/>
                <w:szCs w:val="20"/>
              </w:rPr>
            </w:pPr>
            <w:r w:rsidRPr="00204DC1">
              <w:rPr>
                <w:sz w:val="20"/>
                <w:szCs w:val="20"/>
              </w:rPr>
              <w:t xml:space="preserve">      (1,568,838)</w:t>
            </w:r>
          </w:p>
        </w:tc>
        <w:tc>
          <w:tcPr>
            <w:tcW w:w="132" w:type="pct"/>
            <w:tcBorders>
              <w:top w:val="nil"/>
              <w:left w:val="nil"/>
              <w:bottom w:val="nil"/>
              <w:right w:val="nil"/>
            </w:tcBorders>
            <w:noWrap/>
            <w:vAlign w:val="bottom"/>
            <w:hideMark/>
          </w:tcPr>
          <w:p w14:paraId="0D510B3B" w14:textId="77777777" w:rsidR="00C44869" w:rsidRPr="006C7979" w:rsidRDefault="00C44869" w:rsidP="007B3453">
            <w:pPr>
              <w:jc w:val="right"/>
              <w:rPr>
                <w:sz w:val="20"/>
                <w:szCs w:val="20"/>
              </w:rPr>
            </w:pPr>
          </w:p>
        </w:tc>
        <w:tc>
          <w:tcPr>
            <w:tcW w:w="741" w:type="pct"/>
            <w:tcBorders>
              <w:top w:val="nil"/>
              <w:left w:val="nil"/>
              <w:bottom w:val="nil"/>
              <w:right w:val="nil"/>
            </w:tcBorders>
            <w:shd w:val="clear" w:color="000000" w:fill="FFFFFF"/>
            <w:noWrap/>
            <w:vAlign w:val="bottom"/>
            <w:hideMark/>
          </w:tcPr>
          <w:p w14:paraId="7928948C" w14:textId="77777777" w:rsidR="00C44869" w:rsidRPr="0050514C" w:rsidRDefault="00C44869" w:rsidP="007B3453">
            <w:pPr>
              <w:jc w:val="right"/>
              <w:rPr>
                <w:sz w:val="20"/>
                <w:szCs w:val="20"/>
              </w:rPr>
            </w:pPr>
            <w:r w:rsidRPr="0050514C">
              <w:rPr>
                <w:sz w:val="20"/>
                <w:szCs w:val="20"/>
              </w:rPr>
              <w:t xml:space="preserve">      (3,012,675)</w:t>
            </w:r>
          </w:p>
        </w:tc>
        <w:tc>
          <w:tcPr>
            <w:tcW w:w="132" w:type="pct"/>
            <w:tcBorders>
              <w:top w:val="nil"/>
              <w:left w:val="nil"/>
              <w:bottom w:val="nil"/>
              <w:right w:val="nil"/>
            </w:tcBorders>
            <w:noWrap/>
            <w:vAlign w:val="bottom"/>
            <w:hideMark/>
          </w:tcPr>
          <w:p w14:paraId="24D7AEF4" w14:textId="77777777" w:rsidR="00C44869" w:rsidRPr="006C7979" w:rsidRDefault="00C44869" w:rsidP="007B3453">
            <w:pPr>
              <w:rPr>
                <w:sz w:val="20"/>
                <w:szCs w:val="20"/>
              </w:rPr>
            </w:pPr>
          </w:p>
        </w:tc>
      </w:tr>
      <w:tr w:rsidR="00C44869" w:rsidRPr="006C7979" w14:paraId="5F993885" w14:textId="77777777" w:rsidTr="007B3453">
        <w:trPr>
          <w:trHeight w:val="270"/>
        </w:trPr>
        <w:tc>
          <w:tcPr>
            <w:tcW w:w="2213" w:type="pct"/>
            <w:tcBorders>
              <w:top w:val="nil"/>
              <w:left w:val="nil"/>
              <w:bottom w:val="nil"/>
              <w:right w:val="nil"/>
            </w:tcBorders>
            <w:noWrap/>
            <w:vAlign w:val="bottom"/>
            <w:hideMark/>
          </w:tcPr>
          <w:p w14:paraId="4B1571F2" w14:textId="77777777" w:rsidR="00C44869" w:rsidRPr="006C7979" w:rsidRDefault="00C44869" w:rsidP="007B3453">
            <w:pPr>
              <w:rPr>
                <w:sz w:val="20"/>
                <w:szCs w:val="20"/>
              </w:rPr>
            </w:pPr>
            <w:r w:rsidRPr="006C7979">
              <w:rPr>
                <w:sz w:val="20"/>
                <w:szCs w:val="20"/>
              </w:rPr>
              <w:t>Loss for the period from discontinued activities</w:t>
            </w:r>
          </w:p>
        </w:tc>
        <w:tc>
          <w:tcPr>
            <w:tcW w:w="132" w:type="pct"/>
            <w:tcBorders>
              <w:top w:val="nil"/>
              <w:left w:val="nil"/>
              <w:bottom w:val="nil"/>
              <w:right w:val="nil"/>
            </w:tcBorders>
            <w:noWrap/>
            <w:vAlign w:val="bottom"/>
            <w:hideMark/>
          </w:tcPr>
          <w:p w14:paraId="10C11B52"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5B41E5E4"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0A1D3226" w14:textId="77777777" w:rsidR="00C44869" w:rsidRPr="006C7979" w:rsidRDefault="00C44869" w:rsidP="007B3453">
            <w:pPr>
              <w:jc w:val="right"/>
              <w:rPr>
                <w:b/>
                <w:bCs/>
                <w:sz w:val="20"/>
                <w:szCs w:val="20"/>
              </w:rPr>
            </w:pPr>
            <w:r>
              <w:rPr>
                <w:b/>
                <w:bCs/>
                <w:sz w:val="20"/>
                <w:szCs w:val="20"/>
              </w:rPr>
              <w:t>(43,875)</w:t>
            </w:r>
          </w:p>
        </w:tc>
        <w:tc>
          <w:tcPr>
            <w:tcW w:w="132" w:type="pct"/>
            <w:tcBorders>
              <w:top w:val="nil"/>
              <w:left w:val="nil"/>
              <w:bottom w:val="nil"/>
              <w:right w:val="nil"/>
            </w:tcBorders>
            <w:noWrap/>
            <w:vAlign w:val="bottom"/>
            <w:hideMark/>
          </w:tcPr>
          <w:p w14:paraId="1D1998E0" w14:textId="77777777" w:rsidR="00C44869" w:rsidRPr="006C7979" w:rsidRDefault="00C44869" w:rsidP="007B3453">
            <w:pPr>
              <w:jc w:val="right"/>
              <w:rPr>
                <w:b/>
                <w:bCs/>
                <w:sz w:val="20"/>
                <w:szCs w:val="20"/>
              </w:rPr>
            </w:pPr>
          </w:p>
        </w:tc>
        <w:tc>
          <w:tcPr>
            <w:tcW w:w="693" w:type="pct"/>
            <w:tcBorders>
              <w:top w:val="nil"/>
              <w:left w:val="nil"/>
              <w:bottom w:val="nil"/>
              <w:right w:val="nil"/>
            </w:tcBorders>
            <w:noWrap/>
            <w:vAlign w:val="bottom"/>
            <w:hideMark/>
          </w:tcPr>
          <w:p w14:paraId="7A0A7E45" w14:textId="77777777" w:rsidR="00C44869" w:rsidRPr="00204DC1" w:rsidRDefault="00C44869" w:rsidP="007B3453">
            <w:pPr>
              <w:jc w:val="right"/>
              <w:rPr>
                <w:sz w:val="20"/>
                <w:szCs w:val="20"/>
              </w:rPr>
            </w:pPr>
            <w:r w:rsidRPr="00204DC1">
              <w:rPr>
                <w:sz w:val="20"/>
                <w:szCs w:val="20"/>
              </w:rPr>
              <w:t xml:space="preserve">          (13,698)</w:t>
            </w:r>
          </w:p>
        </w:tc>
        <w:tc>
          <w:tcPr>
            <w:tcW w:w="132" w:type="pct"/>
            <w:tcBorders>
              <w:top w:val="nil"/>
              <w:left w:val="nil"/>
              <w:bottom w:val="nil"/>
              <w:right w:val="nil"/>
            </w:tcBorders>
            <w:noWrap/>
            <w:vAlign w:val="bottom"/>
            <w:hideMark/>
          </w:tcPr>
          <w:p w14:paraId="7F9B2668"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7E1D6208" w14:textId="77777777" w:rsidR="00C44869" w:rsidRPr="0050514C" w:rsidRDefault="00C44869" w:rsidP="007B3453">
            <w:pPr>
              <w:jc w:val="right"/>
              <w:rPr>
                <w:sz w:val="18"/>
                <w:szCs w:val="18"/>
              </w:rPr>
            </w:pPr>
            <w:r w:rsidRPr="0050514C">
              <w:rPr>
                <w:sz w:val="18"/>
                <w:szCs w:val="18"/>
              </w:rPr>
              <w:t xml:space="preserve">                (29,817)</w:t>
            </w:r>
          </w:p>
        </w:tc>
        <w:tc>
          <w:tcPr>
            <w:tcW w:w="132" w:type="pct"/>
            <w:tcBorders>
              <w:top w:val="nil"/>
              <w:left w:val="nil"/>
              <w:bottom w:val="nil"/>
              <w:right w:val="nil"/>
            </w:tcBorders>
            <w:noWrap/>
            <w:vAlign w:val="bottom"/>
            <w:hideMark/>
          </w:tcPr>
          <w:p w14:paraId="4846CFA8" w14:textId="77777777" w:rsidR="00C44869" w:rsidRPr="006C7979" w:rsidRDefault="00C44869" w:rsidP="007B3453">
            <w:pPr>
              <w:rPr>
                <w:sz w:val="18"/>
                <w:szCs w:val="18"/>
              </w:rPr>
            </w:pPr>
          </w:p>
        </w:tc>
      </w:tr>
      <w:tr w:rsidR="00C44869" w:rsidRPr="006C7979" w14:paraId="08367232" w14:textId="77777777" w:rsidTr="007B3453">
        <w:trPr>
          <w:trHeight w:val="270"/>
        </w:trPr>
        <w:tc>
          <w:tcPr>
            <w:tcW w:w="2213" w:type="pct"/>
            <w:tcBorders>
              <w:top w:val="nil"/>
              <w:left w:val="nil"/>
              <w:bottom w:val="nil"/>
              <w:right w:val="nil"/>
            </w:tcBorders>
            <w:noWrap/>
            <w:vAlign w:val="bottom"/>
            <w:hideMark/>
          </w:tcPr>
          <w:p w14:paraId="141A3404" w14:textId="77777777" w:rsidR="00C44869" w:rsidRPr="006C7979" w:rsidRDefault="00C44869" w:rsidP="007B3453">
            <w:pPr>
              <w:rPr>
                <w:b/>
                <w:bCs/>
                <w:sz w:val="20"/>
                <w:szCs w:val="20"/>
              </w:rPr>
            </w:pPr>
            <w:r w:rsidRPr="006C7979">
              <w:rPr>
                <w:b/>
                <w:bCs/>
                <w:sz w:val="20"/>
                <w:szCs w:val="20"/>
              </w:rPr>
              <w:t>Loss for the period</w:t>
            </w:r>
          </w:p>
        </w:tc>
        <w:tc>
          <w:tcPr>
            <w:tcW w:w="132" w:type="pct"/>
            <w:tcBorders>
              <w:top w:val="nil"/>
              <w:left w:val="nil"/>
              <w:bottom w:val="nil"/>
              <w:right w:val="nil"/>
            </w:tcBorders>
            <w:noWrap/>
            <w:vAlign w:val="bottom"/>
            <w:hideMark/>
          </w:tcPr>
          <w:p w14:paraId="4C4A2DEE"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54D0F14E" w14:textId="77777777" w:rsidR="00C44869" w:rsidRPr="006C7979" w:rsidRDefault="00C44869" w:rsidP="007B3453">
            <w:pPr>
              <w:jc w:val="right"/>
              <w:rPr>
                <w:sz w:val="20"/>
                <w:szCs w:val="20"/>
              </w:rPr>
            </w:pPr>
          </w:p>
        </w:tc>
        <w:tc>
          <w:tcPr>
            <w:tcW w:w="693" w:type="pct"/>
            <w:tcBorders>
              <w:top w:val="single" w:sz="4" w:space="0" w:color="auto"/>
              <w:left w:val="nil"/>
              <w:bottom w:val="nil"/>
              <w:right w:val="nil"/>
            </w:tcBorders>
            <w:noWrap/>
            <w:vAlign w:val="bottom"/>
          </w:tcPr>
          <w:p w14:paraId="6EC6221D" w14:textId="77777777" w:rsidR="00C44869" w:rsidRPr="006C7979" w:rsidRDefault="00C44869" w:rsidP="007B3453">
            <w:pPr>
              <w:jc w:val="right"/>
              <w:rPr>
                <w:b/>
                <w:bCs/>
                <w:sz w:val="20"/>
                <w:szCs w:val="20"/>
              </w:rPr>
            </w:pPr>
            <w:r>
              <w:rPr>
                <w:b/>
                <w:bCs/>
                <w:sz w:val="20"/>
                <w:szCs w:val="20"/>
              </w:rPr>
              <w:t>(2,575,440)</w:t>
            </w:r>
          </w:p>
        </w:tc>
        <w:tc>
          <w:tcPr>
            <w:tcW w:w="132" w:type="pct"/>
            <w:tcBorders>
              <w:top w:val="nil"/>
              <w:left w:val="nil"/>
              <w:bottom w:val="nil"/>
              <w:right w:val="nil"/>
            </w:tcBorders>
            <w:noWrap/>
            <w:vAlign w:val="bottom"/>
            <w:hideMark/>
          </w:tcPr>
          <w:p w14:paraId="42179823" w14:textId="77777777" w:rsidR="00C44869" w:rsidRPr="006C7979"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1E345C3F" w14:textId="77777777" w:rsidR="00C44869" w:rsidRPr="00204DC1" w:rsidRDefault="00C44869" w:rsidP="007B3453">
            <w:pPr>
              <w:jc w:val="right"/>
              <w:rPr>
                <w:sz w:val="20"/>
                <w:szCs w:val="20"/>
              </w:rPr>
            </w:pPr>
            <w:r w:rsidRPr="00204DC1">
              <w:rPr>
                <w:sz w:val="20"/>
                <w:szCs w:val="20"/>
              </w:rPr>
              <w:t xml:space="preserve">      (1,582,536)</w:t>
            </w:r>
          </w:p>
        </w:tc>
        <w:tc>
          <w:tcPr>
            <w:tcW w:w="132" w:type="pct"/>
            <w:tcBorders>
              <w:top w:val="nil"/>
              <w:left w:val="nil"/>
              <w:bottom w:val="nil"/>
              <w:right w:val="nil"/>
            </w:tcBorders>
            <w:noWrap/>
            <w:vAlign w:val="bottom"/>
            <w:hideMark/>
          </w:tcPr>
          <w:p w14:paraId="59C39515" w14:textId="77777777" w:rsidR="00C44869" w:rsidRPr="006C7979" w:rsidRDefault="00C44869" w:rsidP="007B3453">
            <w:pPr>
              <w:jc w:val="right"/>
              <w:rPr>
                <w:sz w:val="20"/>
                <w:szCs w:val="20"/>
              </w:rPr>
            </w:pPr>
          </w:p>
        </w:tc>
        <w:tc>
          <w:tcPr>
            <w:tcW w:w="741" w:type="pct"/>
            <w:tcBorders>
              <w:top w:val="single" w:sz="4" w:space="0" w:color="auto"/>
              <w:left w:val="nil"/>
              <w:bottom w:val="nil"/>
              <w:right w:val="nil"/>
            </w:tcBorders>
            <w:noWrap/>
            <w:vAlign w:val="bottom"/>
            <w:hideMark/>
          </w:tcPr>
          <w:p w14:paraId="3F3B294F" w14:textId="77777777" w:rsidR="00C44869" w:rsidRPr="0050514C" w:rsidRDefault="00C44869" w:rsidP="007B3453">
            <w:pPr>
              <w:jc w:val="right"/>
              <w:rPr>
                <w:sz w:val="20"/>
                <w:szCs w:val="20"/>
              </w:rPr>
            </w:pPr>
            <w:r w:rsidRPr="0050514C">
              <w:rPr>
                <w:sz w:val="20"/>
                <w:szCs w:val="20"/>
              </w:rPr>
              <w:t xml:space="preserve">      (3,042,492)</w:t>
            </w:r>
          </w:p>
        </w:tc>
        <w:tc>
          <w:tcPr>
            <w:tcW w:w="132" w:type="pct"/>
            <w:tcBorders>
              <w:top w:val="nil"/>
              <w:left w:val="nil"/>
              <w:bottom w:val="nil"/>
              <w:right w:val="nil"/>
            </w:tcBorders>
            <w:noWrap/>
            <w:vAlign w:val="bottom"/>
            <w:hideMark/>
          </w:tcPr>
          <w:p w14:paraId="5BAC9E01" w14:textId="77777777" w:rsidR="00C44869" w:rsidRPr="006C7979" w:rsidRDefault="00C44869" w:rsidP="007B3453">
            <w:pPr>
              <w:rPr>
                <w:sz w:val="20"/>
                <w:szCs w:val="20"/>
              </w:rPr>
            </w:pPr>
          </w:p>
        </w:tc>
      </w:tr>
      <w:tr w:rsidR="00C44869" w:rsidRPr="006C7979" w14:paraId="38EE3326" w14:textId="77777777" w:rsidTr="007B3453">
        <w:trPr>
          <w:trHeight w:val="270"/>
        </w:trPr>
        <w:tc>
          <w:tcPr>
            <w:tcW w:w="2213" w:type="pct"/>
            <w:tcBorders>
              <w:top w:val="nil"/>
              <w:left w:val="nil"/>
              <w:bottom w:val="nil"/>
              <w:right w:val="nil"/>
            </w:tcBorders>
            <w:noWrap/>
            <w:vAlign w:val="bottom"/>
            <w:hideMark/>
          </w:tcPr>
          <w:p w14:paraId="2BC795DF" w14:textId="77777777" w:rsidR="00C44869" w:rsidRPr="006C7979" w:rsidRDefault="00C44869" w:rsidP="007B3453">
            <w:pPr>
              <w:rPr>
                <w:b/>
                <w:bCs/>
                <w:sz w:val="20"/>
                <w:szCs w:val="20"/>
              </w:rPr>
            </w:pPr>
            <w:r w:rsidRPr="006C7979">
              <w:rPr>
                <w:b/>
                <w:bCs/>
                <w:sz w:val="20"/>
                <w:szCs w:val="20"/>
              </w:rPr>
              <w:t>Other comprehensive income</w:t>
            </w:r>
          </w:p>
        </w:tc>
        <w:tc>
          <w:tcPr>
            <w:tcW w:w="132" w:type="pct"/>
            <w:tcBorders>
              <w:top w:val="nil"/>
              <w:left w:val="nil"/>
              <w:bottom w:val="nil"/>
              <w:right w:val="nil"/>
            </w:tcBorders>
            <w:noWrap/>
            <w:vAlign w:val="bottom"/>
            <w:hideMark/>
          </w:tcPr>
          <w:p w14:paraId="22CD5E36"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3BA3FB0F"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1CE34631" w14:textId="77777777" w:rsidR="00C44869" w:rsidRPr="006C7979" w:rsidRDefault="00C44869" w:rsidP="007B3453">
            <w:pPr>
              <w:ind w:firstLineChars="100" w:firstLine="200"/>
              <w:jc w:val="right"/>
              <w:rPr>
                <w:sz w:val="20"/>
                <w:szCs w:val="20"/>
              </w:rPr>
            </w:pPr>
          </w:p>
        </w:tc>
        <w:tc>
          <w:tcPr>
            <w:tcW w:w="132" w:type="pct"/>
            <w:tcBorders>
              <w:top w:val="nil"/>
              <w:left w:val="nil"/>
              <w:bottom w:val="nil"/>
              <w:right w:val="nil"/>
            </w:tcBorders>
            <w:noWrap/>
            <w:vAlign w:val="bottom"/>
            <w:hideMark/>
          </w:tcPr>
          <w:p w14:paraId="5608942D" w14:textId="77777777" w:rsidR="00C44869" w:rsidRPr="006C7979" w:rsidRDefault="00C44869" w:rsidP="007B3453">
            <w:pPr>
              <w:jc w:val="right"/>
              <w:rPr>
                <w:sz w:val="20"/>
                <w:szCs w:val="20"/>
              </w:rPr>
            </w:pPr>
          </w:p>
        </w:tc>
        <w:tc>
          <w:tcPr>
            <w:tcW w:w="693" w:type="pct"/>
            <w:tcBorders>
              <w:top w:val="nil"/>
              <w:left w:val="nil"/>
              <w:bottom w:val="nil"/>
              <w:right w:val="nil"/>
            </w:tcBorders>
            <w:noWrap/>
            <w:vAlign w:val="bottom"/>
            <w:hideMark/>
          </w:tcPr>
          <w:p w14:paraId="22295C0A" w14:textId="77777777" w:rsidR="00C44869" w:rsidRPr="00204DC1" w:rsidRDefault="00C44869" w:rsidP="007B3453">
            <w:pPr>
              <w:jc w:val="right"/>
              <w:rPr>
                <w:sz w:val="20"/>
                <w:szCs w:val="20"/>
              </w:rPr>
            </w:pPr>
          </w:p>
        </w:tc>
        <w:tc>
          <w:tcPr>
            <w:tcW w:w="132" w:type="pct"/>
            <w:tcBorders>
              <w:top w:val="nil"/>
              <w:left w:val="nil"/>
              <w:bottom w:val="nil"/>
              <w:right w:val="nil"/>
            </w:tcBorders>
            <w:noWrap/>
            <w:vAlign w:val="bottom"/>
            <w:hideMark/>
          </w:tcPr>
          <w:p w14:paraId="27BCAF5F"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0CA08AC9" w14:textId="77777777" w:rsidR="00C44869" w:rsidRPr="0050514C" w:rsidRDefault="00C44869" w:rsidP="007B3453">
            <w:pPr>
              <w:jc w:val="right"/>
              <w:rPr>
                <w:sz w:val="20"/>
                <w:szCs w:val="20"/>
              </w:rPr>
            </w:pPr>
          </w:p>
        </w:tc>
        <w:tc>
          <w:tcPr>
            <w:tcW w:w="132" w:type="pct"/>
            <w:tcBorders>
              <w:top w:val="nil"/>
              <w:left w:val="nil"/>
              <w:bottom w:val="nil"/>
              <w:right w:val="nil"/>
            </w:tcBorders>
            <w:noWrap/>
            <w:vAlign w:val="bottom"/>
            <w:hideMark/>
          </w:tcPr>
          <w:p w14:paraId="05F8E823" w14:textId="77777777" w:rsidR="00C44869" w:rsidRPr="006C7979" w:rsidRDefault="00C44869" w:rsidP="007B3453">
            <w:pPr>
              <w:rPr>
                <w:sz w:val="20"/>
                <w:szCs w:val="20"/>
              </w:rPr>
            </w:pPr>
          </w:p>
        </w:tc>
      </w:tr>
      <w:tr w:rsidR="00C44869" w:rsidRPr="006C7979" w14:paraId="6DF22AD9" w14:textId="77777777" w:rsidTr="007B3453">
        <w:trPr>
          <w:trHeight w:val="555"/>
        </w:trPr>
        <w:tc>
          <w:tcPr>
            <w:tcW w:w="2213" w:type="pct"/>
            <w:tcBorders>
              <w:top w:val="nil"/>
              <w:left w:val="nil"/>
              <w:bottom w:val="nil"/>
              <w:right w:val="nil"/>
            </w:tcBorders>
            <w:vAlign w:val="bottom"/>
            <w:hideMark/>
          </w:tcPr>
          <w:p w14:paraId="252D07A2" w14:textId="77777777" w:rsidR="00C44869" w:rsidRDefault="00C44869" w:rsidP="007B3453">
            <w:pPr>
              <w:rPr>
                <w:sz w:val="20"/>
                <w:szCs w:val="20"/>
              </w:rPr>
            </w:pPr>
            <w:r w:rsidRPr="006C7979">
              <w:rPr>
                <w:sz w:val="20"/>
                <w:szCs w:val="20"/>
              </w:rPr>
              <w:t>Items that may be re-classified subsequently to profit or loss:</w:t>
            </w:r>
          </w:p>
          <w:p w14:paraId="4B8A88A0" w14:textId="77777777" w:rsidR="00C44869" w:rsidRPr="006C7979" w:rsidRDefault="00C44869" w:rsidP="007B3453">
            <w:pPr>
              <w:rPr>
                <w:sz w:val="20"/>
                <w:szCs w:val="20"/>
              </w:rPr>
            </w:pPr>
            <w:r>
              <w:rPr>
                <w:sz w:val="20"/>
                <w:szCs w:val="20"/>
              </w:rPr>
              <w:t>Gain</w:t>
            </w:r>
            <w:r w:rsidRPr="00121BC4">
              <w:rPr>
                <w:sz w:val="20"/>
                <w:szCs w:val="20"/>
              </w:rPr>
              <w:t xml:space="preserve"> on translation of foreign operations</w:t>
            </w:r>
          </w:p>
        </w:tc>
        <w:tc>
          <w:tcPr>
            <w:tcW w:w="132" w:type="pct"/>
            <w:tcBorders>
              <w:top w:val="nil"/>
              <w:left w:val="nil"/>
              <w:bottom w:val="nil"/>
              <w:right w:val="nil"/>
            </w:tcBorders>
            <w:vAlign w:val="bottom"/>
            <w:hideMark/>
          </w:tcPr>
          <w:p w14:paraId="1CA83380"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7BCC7303"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6D653F29" w14:textId="77777777" w:rsidR="00C44869" w:rsidRPr="006C7979" w:rsidRDefault="00C44869" w:rsidP="007B3453">
            <w:pPr>
              <w:jc w:val="right"/>
              <w:rPr>
                <w:b/>
                <w:bCs/>
                <w:sz w:val="20"/>
                <w:szCs w:val="20"/>
              </w:rPr>
            </w:pPr>
            <w:r>
              <w:rPr>
                <w:b/>
                <w:bCs/>
                <w:sz w:val="20"/>
                <w:szCs w:val="20"/>
              </w:rPr>
              <w:t>-</w:t>
            </w:r>
          </w:p>
        </w:tc>
        <w:tc>
          <w:tcPr>
            <w:tcW w:w="132" w:type="pct"/>
            <w:tcBorders>
              <w:top w:val="nil"/>
              <w:left w:val="nil"/>
              <w:bottom w:val="nil"/>
              <w:right w:val="nil"/>
            </w:tcBorders>
            <w:noWrap/>
            <w:vAlign w:val="bottom"/>
            <w:hideMark/>
          </w:tcPr>
          <w:p w14:paraId="6034F883" w14:textId="77777777" w:rsidR="00C44869" w:rsidRPr="006C7979" w:rsidRDefault="00C44869" w:rsidP="007B3453">
            <w:pPr>
              <w:jc w:val="right"/>
              <w:rPr>
                <w:b/>
                <w:bCs/>
                <w:sz w:val="20"/>
                <w:szCs w:val="20"/>
              </w:rPr>
            </w:pPr>
          </w:p>
        </w:tc>
        <w:tc>
          <w:tcPr>
            <w:tcW w:w="693" w:type="pct"/>
            <w:tcBorders>
              <w:top w:val="nil"/>
              <w:left w:val="nil"/>
              <w:bottom w:val="nil"/>
              <w:right w:val="nil"/>
            </w:tcBorders>
            <w:noWrap/>
            <w:vAlign w:val="bottom"/>
            <w:hideMark/>
          </w:tcPr>
          <w:p w14:paraId="6B2E93BA" w14:textId="77777777" w:rsidR="00C44869" w:rsidRPr="00204DC1" w:rsidRDefault="00C44869" w:rsidP="007B3453">
            <w:pPr>
              <w:jc w:val="right"/>
              <w:rPr>
                <w:sz w:val="20"/>
                <w:szCs w:val="20"/>
              </w:rPr>
            </w:pPr>
            <w:r w:rsidRPr="00204DC1">
              <w:rPr>
                <w:sz w:val="20"/>
                <w:szCs w:val="20"/>
              </w:rPr>
              <w:t xml:space="preserve">           23,143 </w:t>
            </w:r>
          </w:p>
        </w:tc>
        <w:tc>
          <w:tcPr>
            <w:tcW w:w="132" w:type="pct"/>
            <w:tcBorders>
              <w:top w:val="nil"/>
              <w:left w:val="nil"/>
              <w:bottom w:val="nil"/>
              <w:right w:val="nil"/>
            </w:tcBorders>
            <w:noWrap/>
            <w:vAlign w:val="bottom"/>
            <w:hideMark/>
          </w:tcPr>
          <w:p w14:paraId="74E6341D"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3E6A2BCE" w14:textId="77777777" w:rsidR="00C44869" w:rsidRPr="0050514C" w:rsidRDefault="00C44869" w:rsidP="007B3453">
            <w:pPr>
              <w:jc w:val="right"/>
              <w:rPr>
                <w:sz w:val="20"/>
                <w:szCs w:val="20"/>
              </w:rPr>
            </w:pPr>
            <w:r w:rsidRPr="0050514C">
              <w:rPr>
                <w:sz w:val="20"/>
                <w:szCs w:val="20"/>
              </w:rPr>
              <w:t xml:space="preserve">          -</w:t>
            </w:r>
          </w:p>
        </w:tc>
        <w:tc>
          <w:tcPr>
            <w:tcW w:w="132" w:type="pct"/>
            <w:tcBorders>
              <w:top w:val="nil"/>
              <w:left w:val="nil"/>
              <w:bottom w:val="nil"/>
              <w:right w:val="nil"/>
            </w:tcBorders>
            <w:noWrap/>
            <w:vAlign w:val="bottom"/>
            <w:hideMark/>
          </w:tcPr>
          <w:p w14:paraId="0A1F4DA3" w14:textId="77777777" w:rsidR="00C44869" w:rsidRPr="006C7979" w:rsidRDefault="00C44869" w:rsidP="007B3453">
            <w:pPr>
              <w:jc w:val="right"/>
              <w:rPr>
                <w:sz w:val="20"/>
                <w:szCs w:val="20"/>
              </w:rPr>
            </w:pPr>
          </w:p>
        </w:tc>
      </w:tr>
      <w:tr w:rsidR="00C44869" w:rsidRPr="006C7979" w14:paraId="7FC6088F" w14:textId="77777777" w:rsidTr="007B3453">
        <w:trPr>
          <w:trHeight w:val="570"/>
        </w:trPr>
        <w:tc>
          <w:tcPr>
            <w:tcW w:w="2213" w:type="pct"/>
            <w:tcBorders>
              <w:top w:val="nil"/>
              <w:left w:val="nil"/>
              <w:bottom w:val="nil"/>
              <w:right w:val="nil"/>
            </w:tcBorders>
            <w:vAlign w:val="bottom"/>
            <w:hideMark/>
          </w:tcPr>
          <w:p w14:paraId="7E62AF5B" w14:textId="77777777" w:rsidR="00C44869" w:rsidRPr="006C7979" w:rsidRDefault="00C44869" w:rsidP="007B3453">
            <w:pPr>
              <w:rPr>
                <w:b/>
                <w:bCs/>
                <w:sz w:val="20"/>
                <w:szCs w:val="20"/>
              </w:rPr>
            </w:pPr>
            <w:r w:rsidRPr="006C7979">
              <w:rPr>
                <w:b/>
                <w:bCs/>
                <w:sz w:val="20"/>
                <w:szCs w:val="20"/>
              </w:rPr>
              <w:t>Total comprehensive loss for the</w:t>
            </w:r>
            <w:r w:rsidRPr="006C7979">
              <w:rPr>
                <w:b/>
                <w:bCs/>
                <w:sz w:val="20"/>
                <w:szCs w:val="20"/>
              </w:rPr>
              <w:br/>
              <w:t>period attributable to the equity holders</w:t>
            </w:r>
          </w:p>
        </w:tc>
        <w:tc>
          <w:tcPr>
            <w:tcW w:w="132" w:type="pct"/>
            <w:tcBorders>
              <w:top w:val="nil"/>
              <w:left w:val="nil"/>
              <w:bottom w:val="nil"/>
              <w:right w:val="nil"/>
            </w:tcBorders>
            <w:vAlign w:val="bottom"/>
            <w:hideMark/>
          </w:tcPr>
          <w:p w14:paraId="2AEE1EE3"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0C23A271" w14:textId="77777777" w:rsidR="00C44869" w:rsidRPr="006C7979" w:rsidRDefault="00C44869" w:rsidP="007B3453">
            <w:pPr>
              <w:jc w:val="right"/>
              <w:rPr>
                <w:sz w:val="20"/>
                <w:szCs w:val="20"/>
              </w:rPr>
            </w:pPr>
          </w:p>
        </w:tc>
        <w:tc>
          <w:tcPr>
            <w:tcW w:w="693" w:type="pct"/>
            <w:tcBorders>
              <w:top w:val="single" w:sz="4" w:space="0" w:color="auto"/>
              <w:left w:val="nil"/>
              <w:bottom w:val="single" w:sz="8" w:space="0" w:color="auto"/>
              <w:right w:val="nil"/>
            </w:tcBorders>
            <w:noWrap/>
            <w:vAlign w:val="bottom"/>
          </w:tcPr>
          <w:p w14:paraId="4E1B7076" w14:textId="77777777" w:rsidR="00C44869" w:rsidRPr="006C7979" w:rsidRDefault="00C44869" w:rsidP="007B3453">
            <w:pPr>
              <w:jc w:val="right"/>
              <w:rPr>
                <w:b/>
                <w:bCs/>
                <w:sz w:val="20"/>
                <w:szCs w:val="20"/>
              </w:rPr>
            </w:pPr>
            <w:r>
              <w:rPr>
                <w:b/>
                <w:bCs/>
                <w:sz w:val="20"/>
                <w:szCs w:val="20"/>
              </w:rPr>
              <w:t>(2,575,440)</w:t>
            </w:r>
          </w:p>
        </w:tc>
        <w:tc>
          <w:tcPr>
            <w:tcW w:w="132" w:type="pct"/>
            <w:tcBorders>
              <w:top w:val="nil"/>
              <w:left w:val="nil"/>
              <w:bottom w:val="nil"/>
              <w:right w:val="nil"/>
            </w:tcBorders>
            <w:noWrap/>
            <w:vAlign w:val="bottom"/>
            <w:hideMark/>
          </w:tcPr>
          <w:p w14:paraId="0DB64D8A" w14:textId="77777777" w:rsidR="00C44869" w:rsidRPr="006C7979" w:rsidRDefault="00C44869" w:rsidP="007B3453">
            <w:pPr>
              <w:jc w:val="right"/>
              <w:rPr>
                <w:b/>
                <w:bCs/>
                <w:sz w:val="20"/>
                <w:szCs w:val="20"/>
              </w:rPr>
            </w:pPr>
          </w:p>
        </w:tc>
        <w:tc>
          <w:tcPr>
            <w:tcW w:w="693" w:type="pct"/>
            <w:tcBorders>
              <w:top w:val="single" w:sz="4" w:space="0" w:color="auto"/>
              <w:left w:val="nil"/>
              <w:bottom w:val="single" w:sz="8" w:space="0" w:color="auto"/>
              <w:right w:val="nil"/>
            </w:tcBorders>
            <w:noWrap/>
            <w:vAlign w:val="bottom"/>
            <w:hideMark/>
          </w:tcPr>
          <w:p w14:paraId="25C9657A" w14:textId="77777777" w:rsidR="00C44869" w:rsidRPr="00204DC1" w:rsidRDefault="00C44869" w:rsidP="007B3453">
            <w:pPr>
              <w:jc w:val="right"/>
              <w:rPr>
                <w:sz w:val="20"/>
                <w:szCs w:val="20"/>
              </w:rPr>
            </w:pPr>
            <w:r w:rsidRPr="00204DC1">
              <w:rPr>
                <w:sz w:val="20"/>
                <w:szCs w:val="20"/>
              </w:rPr>
              <w:t xml:space="preserve">      (1,559,393)</w:t>
            </w:r>
          </w:p>
        </w:tc>
        <w:tc>
          <w:tcPr>
            <w:tcW w:w="132" w:type="pct"/>
            <w:tcBorders>
              <w:top w:val="nil"/>
              <w:left w:val="nil"/>
              <w:bottom w:val="nil"/>
              <w:right w:val="nil"/>
            </w:tcBorders>
            <w:noWrap/>
            <w:vAlign w:val="bottom"/>
            <w:hideMark/>
          </w:tcPr>
          <w:p w14:paraId="3A46B198" w14:textId="77777777" w:rsidR="00C44869" w:rsidRPr="006C7979" w:rsidRDefault="00C44869" w:rsidP="007B3453">
            <w:pPr>
              <w:jc w:val="right"/>
              <w:rPr>
                <w:sz w:val="20"/>
                <w:szCs w:val="20"/>
              </w:rPr>
            </w:pPr>
          </w:p>
        </w:tc>
        <w:tc>
          <w:tcPr>
            <w:tcW w:w="741" w:type="pct"/>
            <w:tcBorders>
              <w:top w:val="single" w:sz="4" w:space="0" w:color="auto"/>
              <w:left w:val="nil"/>
              <w:bottom w:val="single" w:sz="8" w:space="0" w:color="auto"/>
              <w:right w:val="nil"/>
            </w:tcBorders>
            <w:noWrap/>
            <w:vAlign w:val="bottom"/>
            <w:hideMark/>
          </w:tcPr>
          <w:p w14:paraId="4517D781" w14:textId="77777777" w:rsidR="00C44869" w:rsidRPr="0050514C" w:rsidRDefault="00C44869" w:rsidP="007B3453">
            <w:pPr>
              <w:jc w:val="right"/>
              <w:rPr>
                <w:sz w:val="20"/>
                <w:szCs w:val="20"/>
              </w:rPr>
            </w:pPr>
            <w:r w:rsidRPr="0050514C">
              <w:rPr>
                <w:sz w:val="20"/>
                <w:szCs w:val="20"/>
              </w:rPr>
              <w:t xml:space="preserve">      (3,042,492)</w:t>
            </w:r>
          </w:p>
        </w:tc>
        <w:tc>
          <w:tcPr>
            <w:tcW w:w="132" w:type="pct"/>
            <w:tcBorders>
              <w:top w:val="nil"/>
              <w:left w:val="nil"/>
              <w:bottom w:val="nil"/>
              <w:right w:val="nil"/>
            </w:tcBorders>
            <w:noWrap/>
            <w:vAlign w:val="bottom"/>
            <w:hideMark/>
          </w:tcPr>
          <w:p w14:paraId="3EB34E0C" w14:textId="77777777" w:rsidR="00C44869" w:rsidRPr="006C7979" w:rsidRDefault="00C44869" w:rsidP="007B3453">
            <w:pPr>
              <w:jc w:val="right"/>
              <w:rPr>
                <w:sz w:val="20"/>
                <w:szCs w:val="20"/>
              </w:rPr>
            </w:pPr>
          </w:p>
        </w:tc>
      </w:tr>
      <w:tr w:rsidR="00C44869" w:rsidRPr="006C7979" w14:paraId="0E09157E" w14:textId="77777777" w:rsidTr="007B3453">
        <w:trPr>
          <w:trHeight w:val="255"/>
        </w:trPr>
        <w:tc>
          <w:tcPr>
            <w:tcW w:w="2213" w:type="pct"/>
            <w:tcBorders>
              <w:top w:val="nil"/>
              <w:left w:val="nil"/>
              <w:bottom w:val="nil"/>
              <w:right w:val="nil"/>
            </w:tcBorders>
            <w:noWrap/>
            <w:vAlign w:val="bottom"/>
            <w:hideMark/>
          </w:tcPr>
          <w:p w14:paraId="6B434CDC" w14:textId="77777777" w:rsidR="00C44869" w:rsidRPr="006C7979" w:rsidRDefault="00C44869" w:rsidP="007B3453">
            <w:pPr>
              <w:jc w:val="right"/>
              <w:rPr>
                <w:sz w:val="20"/>
                <w:szCs w:val="20"/>
              </w:rPr>
            </w:pPr>
          </w:p>
        </w:tc>
        <w:tc>
          <w:tcPr>
            <w:tcW w:w="132" w:type="pct"/>
            <w:tcBorders>
              <w:top w:val="nil"/>
              <w:left w:val="nil"/>
              <w:bottom w:val="nil"/>
              <w:right w:val="nil"/>
            </w:tcBorders>
            <w:noWrap/>
            <w:vAlign w:val="bottom"/>
            <w:hideMark/>
          </w:tcPr>
          <w:p w14:paraId="0FE877F4" w14:textId="77777777" w:rsidR="00C44869" w:rsidRPr="006C7979" w:rsidRDefault="00C44869" w:rsidP="007B3453">
            <w:pPr>
              <w:jc w:val="right"/>
              <w:rPr>
                <w:sz w:val="20"/>
                <w:szCs w:val="20"/>
              </w:rPr>
            </w:pPr>
          </w:p>
        </w:tc>
        <w:tc>
          <w:tcPr>
            <w:tcW w:w="132" w:type="pct"/>
            <w:tcBorders>
              <w:top w:val="nil"/>
              <w:left w:val="nil"/>
              <w:bottom w:val="nil"/>
              <w:right w:val="nil"/>
            </w:tcBorders>
            <w:noWrap/>
            <w:vAlign w:val="bottom"/>
            <w:hideMark/>
          </w:tcPr>
          <w:p w14:paraId="644E91FF" w14:textId="77777777" w:rsidR="00C44869" w:rsidRPr="006C7979" w:rsidRDefault="00C44869" w:rsidP="007B3453">
            <w:pPr>
              <w:jc w:val="right"/>
              <w:rPr>
                <w:sz w:val="20"/>
                <w:szCs w:val="20"/>
              </w:rPr>
            </w:pPr>
          </w:p>
        </w:tc>
        <w:tc>
          <w:tcPr>
            <w:tcW w:w="693" w:type="pct"/>
            <w:tcBorders>
              <w:top w:val="nil"/>
              <w:left w:val="nil"/>
              <w:bottom w:val="nil"/>
              <w:right w:val="nil"/>
            </w:tcBorders>
            <w:noWrap/>
            <w:vAlign w:val="bottom"/>
          </w:tcPr>
          <w:p w14:paraId="3543D2FB" w14:textId="77777777" w:rsidR="00C44869" w:rsidRPr="006C7979" w:rsidRDefault="00C44869" w:rsidP="007B3453">
            <w:pPr>
              <w:jc w:val="right"/>
              <w:rPr>
                <w:sz w:val="20"/>
                <w:szCs w:val="20"/>
              </w:rPr>
            </w:pPr>
          </w:p>
        </w:tc>
        <w:tc>
          <w:tcPr>
            <w:tcW w:w="132" w:type="pct"/>
            <w:tcBorders>
              <w:top w:val="nil"/>
              <w:left w:val="nil"/>
              <w:bottom w:val="nil"/>
              <w:right w:val="nil"/>
            </w:tcBorders>
            <w:noWrap/>
            <w:vAlign w:val="bottom"/>
            <w:hideMark/>
          </w:tcPr>
          <w:p w14:paraId="0601BDE1" w14:textId="77777777" w:rsidR="00C44869" w:rsidRPr="006C7979" w:rsidRDefault="00C44869" w:rsidP="007B3453">
            <w:pPr>
              <w:jc w:val="right"/>
              <w:rPr>
                <w:sz w:val="20"/>
                <w:szCs w:val="20"/>
              </w:rPr>
            </w:pPr>
          </w:p>
        </w:tc>
        <w:tc>
          <w:tcPr>
            <w:tcW w:w="693" w:type="pct"/>
            <w:tcBorders>
              <w:top w:val="nil"/>
              <w:left w:val="nil"/>
              <w:bottom w:val="nil"/>
              <w:right w:val="nil"/>
            </w:tcBorders>
            <w:noWrap/>
            <w:vAlign w:val="bottom"/>
            <w:hideMark/>
          </w:tcPr>
          <w:p w14:paraId="0BDE1A49" w14:textId="77777777" w:rsidR="00C44869" w:rsidRPr="00204DC1" w:rsidRDefault="00C44869" w:rsidP="007B3453">
            <w:pPr>
              <w:jc w:val="right"/>
              <w:rPr>
                <w:sz w:val="20"/>
                <w:szCs w:val="20"/>
              </w:rPr>
            </w:pPr>
          </w:p>
        </w:tc>
        <w:tc>
          <w:tcPr>
            <w:tcW w:w="132" w:type="pct"/>
            <w:tcBorders>
              <w:top w:val="nil"/>
              <w:left w:val="nil"/>
              <w:bottom w:val="nil"/>
              <w:right w:val="nil"/>
            </w:tcBorders>
            <w:noWrap/>
            <w:vAlign w:val="bottom"/>
            <w:hideMark/>
          </w:tcPr>
          <w:p w14:paraId="62A3292D"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286F8834" w14:textId="77777777" w:rsidR="00C44869" w:rsidRPr="0050514C" w:rsidRDefault="00C44869" w:rsidP="007B3453">
            <w:pPr>
              <w:jc w:val="right"/>
              <w:rPr>
                <w:sz w:val="20"/>
                <w:szCs w:val="20"/>
              </w:rPr>
            </w:pPr>
          </w:p>
        </w:tc>
        <w:tc>
          <w:tcPr>
            <w:tcW w:w="132" w:type="pct"/>
            <w:tcBorders>
              <w:top w:val="nil"/>
              <w:left w:val="nil"/>
              <w:bottom w:val="nil"/>
              <w:right w:val="nil"/>
            </w:tcBorders>
            <w:noWrap/>
            <w:vAlign w:val="bottom"/>
            <w:hideMark/>
          </w:tcPr>
          <w:p w14:paraId="59C8F919" w14:textId="77777777" w:rsidR="00C44869" w:rsidRPr="006C7979" w:rsidRDefault="00C44869" w:rsidP="007B3453">
            <w:pPr>
              <w:jc w:val="right"/>
              <w:rPr>
                <w:sz w:val="20"/>
                <w:szCs w:val="20"/>
              </w:rPr>
            </w:pPr>
          </w:p>
        </w:tc>
      </w:tr>
      <w:tr w:rsidR="00C44869" w:rsidRPr="006C7979" w14:paraId="25F32255" w14:textId="77777777" w:rsidTr="007B3453">
        <w:trPr>
          <w:trHeight w:val="280"/>
        </w:trPr>
        <w:tc>
          <w:tcPr>
            <w:tcW w:w="2213" w:type="pct"/>
            <w:tcBorders>
              <w:top w:val="nil"/>
              <w:left w:val="nil"/>
              <w:bottom w:val="nil"/>
              <w:right w:val="nil"/>
            </w:tcBorders>
            <w:vAlign w:val="bottom"/>
            <w:hideMark/>
          </w:tcPr>
          <w:p w14:paraId="0D8A3B59" w14:textId="77777777" w:rsidR="00C44869" w:rsidRPr="006C7979" w:rsidRDefault="00C44869" w:rsidP="007B3453">
            <w:pPr>
              <w:rPr>
                <w:b/>
                <w:bCs/>
                <w:sz w:val="20"/>
                <w:szCs w:val="20"/>
              </w:rPr>
            </w:pPr>
            <w:r w:rsidRPr="006C7979">
              <w:rPr>
                <w:b/>
                <w:bCs/>
                <w:sz w:val="20"/>
                <w:szCs w:val="20"/>
              </w:rPr>
              <w:t>Earnings (loss) per share attribut</w:t>
            </w:r>
            <w:r>
              <w:rPr>
                <w:b/>
                <w:bCs/>
                <w:sz w:val="20"/>
                <w:szCs w:val="20"/>
              </w:rPr>
              <w:t>able</w:t>
            </w:r>
            <w:r w:rsidRPr="006C7979">
              <w:rPr>
                <w:b/>
                <w:bCs/>
                <w:sz w:val="20"/>
                <w:szCs w:val="20"/>
              </w:rPr>
              <w:t xml:space="preserve"> to equity holders</w:t>
            </w:r>
          </w:p>
        </w:tc>
        <w:tc>
          <w:tcPr>
            <w:tcW w:w="132" w:type="pct"/>
            <w:tcBorders>
              <w:top w:val="nil"/>
              <w:left w:val="nil"/>
              <w:bottom w:val="nil"/>
              <w:right w:val="nil"/>
            </w:tcBorders>
            <w:vAlign w:val="bottom"/>
            <w:hideMark/>
          </w:tcPr>
          <w:p w14:paraId="0B137E22" w14:textId="77777777" w:rsidR="00C44869" w:rsidRPr="006C7979" w:rsidRDefault="00C44869" w:rsidP="007B3453">
            <w:pPr>
              <w:rPr>
                <w:b/>
                <w:bCs/>
                <w:sz w:val="20"/>
                <w:szCs w:val="20"/>
              </w:rPr>
            </w:pPr>
          </w:p>
        </w:tc>
        <w:tc>
          <w:tcPr>
            <w:tcW w:w="132" w:type="pct"/>
            <w:tcBorders>
              <w:top w:val="nil"/>
              <w:left w:val="nil"/>
              <w:bottom w:val="nil"/>
              <w:right w:val="nil"/>
            </w:tcBorders>
            <w:noWrap/>
            <w:vAlign w:val="bottom"/>
            <w:hideMark/>
          </w:tcPr>
          <w:p w14:paraId="05DA85B1"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2B4798A4" w14:textId="77777777" w:rsidR="00C44869" w:rsidRPr="006C7979" w:rsidRDefault="00C44869" w:rsidP="007B3453">
            <w:pPr>
              <w:jc w:val="right"/>
              <w:rPr>
                <w:sz w:val="20"/>
                <w:szCs w:val="20"/>
              </w:rPr>
            </w:pPr>
          </w:p>
        </w:tc>
        <w:tc>
          <w:tcPr>
            <w:tcW w:w="132" w:type="pct"/>
            <w:tcBorders>
              <w:top w:val="nil"/>
              <w:left w:val="nil"/>
              <w:bottom w:val="nil"/>
              <w:right w:val="nil"/>
            </w:tcBorders>
            <w:noWrap/>
            <w:vAlign w:val="bottom"/>
            <w:hideMark/>
          </w:tcPr>
          <w:p w14:paraId="74B78E09" w14:textId="77777777" w:rsidR="00C44869" w:rsidRPr="006C7979" w:rsidRDefault="00C44869" w:rsidP="007B3453">
            <w:pPr>
              <w:jc w:val="right"/>
              <w:rPr>
                <w:sz w:val="20"/>
                <w:szCs w:val="20"/>
              </w:rPr>
            </w:pPr>
          </w:p>
        </w:tc>
        <w:tc>
          <w:tcPr>
            <w:tcW w:w="693" w:type="pct"/>
            <w:tcBorders>
              <w:top w:val="nil"/>
              <w:left w:val="nil"/>
              <w:bottom w:val="nil"/>
              <w:right w:val="nil"/>
            </w:tcBorders>
            <w:noWrap/>
            <w:vAlign w:val="bottom"/>
            <w:hideMark/>
          </w:tcPr>
          <w:p w14:paraId="40D0F3E5" w14:textId="77777777" w:rsidR="00C44869" w:rsidRPr="00204DC1" w:rsidRDefault="00C44869" w:rsidP="007B3453">
            <w:pPr>
              <w:jc w:val="right"/>
              <w:rPr>
                <w:sz w:val="20"/>
                <w:szCs w:val="20"/>
              </w:rPr>
            </w:pPr>
          </w:p>
        </w:tc>
        <w:tc>
          <w:tcPr>
            <w:tcW w:w="132" w:type="pct"/>
            <w:tcBorders>
              <w:top w:val="nil"/>
              <w:left w:val="nil"/>
              <w:bottom w:val="nil"/>
              <w:right w:val="nil"/>
            </w:tcBorders>
            <w:noWrap/>
            <w:vAlign w:val="bottom"/>
            <w:hideMark/>
          </w:tcPr>
          <w:p w14:paraId="2B295F00" w14:textId="77777777" w:rsidR="00C44869" w:rsidRPr="006C7979" w:rsidRDefault="00C44869" w:rsidP="007B3453">
            <w:pPr>
              <w:jc w:val="right"/>
              <w:rPr>
                <w:sz w:val="20"/>
                <w:szCs w:val="20"/>
              </w:rPr>
            </w:pPr>
          </w:p>
        </w:tc>
        <w:tc>
          <w:tcPr>
            <w:tcW w:w="741" w:type="pct"/>
            <w:tcBorders>
              <w:top w:val="nil"/>
              <w:left w:val="nil"/>
              <w:bottom w:val="nil"/>
              <w:right w:val="nil"/>
            </w:tcBorders>
            <w:noWrap/>
            <w:vAlign w:val="bottom"/>
            <w:hideMark/>
          </w:tcPr>
          <w:p w14:paraId="6D2E4F6D" w14:textId="77777777" w:rsidR="00C44869" w:rsidRPr="0050514C" w:rsidRDefault="00C44869" w:rsidP="007B3453">
            <w:pPr>
              <w:jc w:val="right"/>
              <w:rPr>
                <w:sz w:val="20"/>
                <w:szCs w:val="20"/>
              </w:rPr>
            </w:pPr>
          </w:p>
        </w:tc>
        <w:tc>
          <w:tcPr>
            <w:tcW w:w="132" w:type="pct"/>
            <w:tcBorders>
              <w:top w:val="nil"/>
              <w:left w:val="nil"/>
              <w:bottom w:val="nil"/>
              <w:right w:val="nil"/>
            </w:tcBorders>
            <w:noWrap/>
            <w:vAlign w:val="bottom"/>
            <w:hideMark/>
          </w:tcPr>
          <w:p w14:paraId="24A9ECEE" w14:textId="77777777" w:rsidR="00C44869" w:rsidRPr="006C7979" w:rsidRDefault="00C44869" w:rsidP="007B3453">
            <w:pPr>
              <w:jc w:val="right"/>
              <w:rPr>
                <w:sz w:val="20"/>
                <w:szCs w:val="20"/>
              </w:rPr>
            </w:pPr>
          </w:p>
        </w:tc>
      </w:tr>
      <w:tr w:rsidR="00C44869" w:rsidRPr="006C7979" w14:paraId="0544C5C8" w14:textId="77777777" w:rsidTr="007B3453">
        <w:trPr>
          <w:trHeight w:val="255"/>
        </w:trPr>
        <w:tc>
          <w:tcPr>
            <w:tcW w:w="2213" w:type="pct"/>
            <w:tcBorders>
              <w:top w:val="nil"/>
              <w:left w:val="nil"/>
              <w:bottom w:val="nil"/>
              <w:right w:val="nil"/>
            </w:tcBorders>
            <w:noWrap/>
            <w:vAlign w:val="bottom"/>
            <w:hideMark/>
          </w:tcPr>
          <w:p w14:paraId="7B78CF5F" w14:textId="77777777" w:rsidR="00C44869" w:rsidRPr="006C7979" w:rsidRDefault="00C44869" w:rsidP="007B3453">
            <w:pPr>
              <w:rPr>
                <w:sz w:val="20"/>
                <w:szCs w:val="20"/>
              </w:rPr>
            </w:pPr>
            <w:r w:rsidRPr="006C7979">
              <w:rPr>
                <w:sz w:val="20"/>
                <w:szCs w:val="20"/>
              </w:rPr>
              <w:t>Attributable to continuing activities</w:t>
            </w:r>
            <w:r>
              <w:rPr>
                <w:sz w:val="20"/>
                <w:szCs w:val="20"/>
              </w:rPr>
              <w:t xml:space="preserve"> (pence)</w:t>
            </w:r>
          </w:p>
        </w:tc>
        <w:tc>
          <w:tcPr>
            <w:tcW w:w="132" w:type="pct"/>
            <w:tcBorders>
              <w:top w:val="nil"/>
              <w:left w:val="nil"/>
              <w:bottom w:val="nil"/>
              <w:right w:val="nil"/>
            </w:tcBorders>
            <w:noWrap/>
            <w:vAlign w:val="bottom"/>
            <w:hideMark/>
          </w:tcPr>
          <w:p w14:paraId="64B86E10"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12635413" w14:textId="77777777" w:rsidR="00C44869" w:rsidRPr="006C7979" w:rsidRDefault="00C44869" w:rsidP="007B3453">
            <w:pPr>
              <w:rPr>
                <w:sz w:val="20"/>
                <w:szCs w:val="20"/>
              </w:rPr>
            </w:pPr>
          </w:p>
        </w:tc>
        <w:tc>
          <w:tcPr>
            <w:tcW w:w="693" w:type="pct"/>
            <w:tcBorders>
              <w:top w:val="nil"/>
              <w:left w:val="nil"/>
              <w:bottom w:val="nil"/>
              <w:right w:val="nil"/>
            </w:tcBorders>
            <w:noWrap/>
            <w:vAlign w:val="bottom"/>
          </w:tcPr>
          <w:p w14:paraId="079D24D6" w14:textId="77777777" w:rsidR="00C44869" w:rsidRPr="006C7979" w:rsidRDefault="00C44869" w:rsidP="007B3453">
            <w:pPr>
              <w:jc w:val="right"/>
              <w:rPr>
                <w:b/>
                <w:bCs/>
                <w:sz w:val="20"/>
                <w:szCs w:val="20"/>
              </w:rPr>
            </w:pPr>
            <w:r>
              <w:rPr>
                <w:b/>
                <w:bCs/>
                <w:sz w:val="20"/>
                <w:szCs w:val="20"/>
              </w:rPr>
              <w:t>(0.50)</w:t>
            </w:r>
          </w:p>
        </w:tc>
        <w:tc>
          <w:tcPr>
            <w:tcW w:w="132" w:type="pct"/>
            <w:tcBorders>
              <w:top w:val="nil"/>
              <w:left w:val="nil"/>
              <w:bottom w:val="nil"/>
              <w:right w:val="nil"/>
            </w:tcBorders>
            <w:noWrap/>
            <w:vAlign w:val="bottom"/>
            <w:hideMark/>
          </w:tcPr>
          <w:p w14:paraId="329AE79B" w14:textId="77777777" w:rsidR="00C44869" w:rsidRPr="006C7979" w:rsidRDefault="00C44869" w:rsidP="007B3453">
            <w:pPr>
              <w:jc w:val="right"/>
              <w:rPr>
                <w:b/>
                <w:bCs/>
                <w:sz w:val="20"/>
                <w:szCs w:val="20"/>
              </w:rPr>
            </w:pPr>
          </w:p>
        </w:tc>
        <w:tc>
          <w:tcPr>
            <w:tcW w:w="693" w:type="pct"/>
            <w:tcBorders>
              <w:top w:val="nil"/>
              <w:left w:val="nil"/>
              <w:bottom w:val="nil"/>
              <w:right w:val="nil"/>
            </w:tcBorders>
            <w:noWrap/>
            <w:vAlign w:val="bottom"/>
            <w:hideMark/>
          </w:tcPr>
          <w:p w14:paraId="7BB3F22F" w14:textId="77777777" w:rsidR="00C44869" w:rsidRPr="00204DC1" w:rsidRDefault="00C44869" w:rsidP="007B3453">
            <w:pPr>
              <w:jc w:val="right"/>
              <w:rPr>
                <w:sz w:val="20"/>
                <w:szCs w:val="20"/>
              </w:rPr>
            </w:pPr>
            <w:r w:rsidRPr="00204DC1">
              <w:rPr>
                <w:sz w:val="20"/>
                <w:szCs w:val="20"/>
              </w:rPr>
              <w:t xml:space="preserve">             (0.56)</w:t>
            </w:r>
          </w:p>
        </w:tc>
        <w:tc>
          <w:tcPr>
            <w:tcW w:w="132" w:type="pct"/>
            <w:tcBorders>
              <w:top w:val="nil"/>
              <w:left w:val="nil"/>
              <w:bottom w:val="nil"/>
              <w:right w:val="nil"/>
            </w:tcBorders>
            <w:noWrap/>
            <w:vAlign w:val="bottom"/>
            <w:hideMark/>
          </w:tcPr>
          <w:p w14:paraId="415EDCDA" w14:textId="77777777" w:rsidR="00C44869" w:rsidRPr="006C7979" w:rsidRDefault="00C44869" w:rsidP="007B3453">
            <w:pPr>
              <w:jc w:val="right"/>
              <w:rPr>
                <w:b/>
                <w:bCs/>
                <w:sz w:val="20"/>
                <w:szCs w:val="20"/>
              </w:rPr>
            </w:pPr>
          </w:p>
        </w:tc>
        <w:tc>
          <w:tcPr>
            <w:tcW w:w="741" w:type="pct"/>
            <w:tcBorders>
              <w:top w:val="nil"/>
              <w:left w:val="nil"/>
              <w:bottom w:val="nil"/>
              <w:right w:val="nil"/>
            </w:tcBorders>
            <w:noWrap/>
            <w:vAlign w:val="bottom"/>
            <w:hideMark/>
          </w:tcPr>
          <w:p w14:paraId="6F4B60B3" w14:textId="77777777" w:rsidR="00C44869" w:rsidRPr="0050514C" w:rsidRDefault="00C44869" w:rsidP="007B3453">
            <w:pPr>
              <w:jc w:val="right"/>
              <w:rPr>
                <w:sz w:val="20"/>
                <w:szCs w:val="20"/>
              </w:rPr>
            </w:pPr>
            <w:r w:rsidRPr="0050514C">
              <w:rPr>
                <w:sz w:val="20"/>
                <w:szCs w:val="20"/>
              </w:rPr>
              <w:t>(0.87)</w:t>
            </w:r>
          </w:p>
        </w:tc>
        <w:tc>
          <w:tcPr>
            <w:tcW w:w="132" w:type="pct"/>
            <w:tcBorders>
              <w:top w:val="nil"/>
              <w:left w:val="nil"/>
              <w:bottom w:val="nil"/>
              <w:right w:val="nil"/>
            </w:tcBorders>
            <w:noWrap/>
            <w:vAlign w:val="bottom"/>
            <w:hideMark/>
          </w:tcPr>
          <w:p w14:paraId="39C99423" w14:textId="77777777" w:rsidR="00C44869" w:rsidRPr="006C7979" w:rsidRDefault="00C44869" w:rsidP="007B3453">
            <w:pPr>
              <w:jc w:val="right"/>
              <w:rPr>
                <w:sz w:val="20"/>
                <w:szCs w:val="20"/>
              </w:rPr>
            </w:pPr>
          </w:p>
        </w:tc>
      </w:tr>
      <w:tr w:rsidR="00C44869" w:rsidRPr="006C7979" w14:paraId="4C95B915" w14:textId="77777777" w:rsidTr="007B3453">
        <w:trPr>
          <w:trHeight w:val="260"/>
        </w:trPr>
        <w:tc>
          <w:tcPr>
            <w:tcW w:w="2213" w:type="pct"/>
            <w:tcBorders>
              <w:top w:val="nil"/>
              <w:left w:val="nil"/>
              <w:bottom w:val="nil"/>
              <w:right w:val="nil"/>
            </w:tcBorders>
            <w:noWrap/>
            <w:vAlign w:val="bottom"/>
            <w:hideMark/>
          </w:tcPr>
          <w:p w14:paraId="3A642C93" w14:textId="77777777" w:rsidR="00C44869" w:rsidRPr="006C7979" w:rsidRDefault="00C44869" w:rsidP="007B3453">
            <w:pPr>
              <w:rPr>
                <w:sz w:val="20"/>
                <w:szCs w:val="20"/>
              </w:rPr>
            </w:pPr>
            <w:r w:rsidRPr="006C7979">
              <w:rPr>
                <w:sz w:val="20"/>
                <w:szCs w:val="20"/>
              </w:rPr>
              <w:t>Attributable to discontinued activities</w:t>
            </w:r>
            <w:r>
              <w:rPr>
                <w:sz w:val="20"/>
                <w:szCs w:val="20"/>
              </w:rPr>
              <w:t xml:space="preserve"> (pence)</w:t>
            </w:r>
          </w:p>
        </w:tc>
        <w:tc>
          <w:tcPr>
            <w:tcW w:w="132" w:type="pct"/>
            <w:tcBorders>
              <w:top w:val="nil"/>
              <w:left w:val="nil"/>
              <w:bottom w:val="nil"/>
              <w:right w:val="nil"/>
            </w:tcBorders>
            <w:noWrap/>
            <w:vAlign w:val="bottom"/>
            <w:hideMark/>
          </w:tcPr>
          <w:p w14:paraId="300ECF9B" w14:textId="77777777" w:rsidR="00C44869" w:rsidRPr="006C7979" w:rsidRDefault="00C44869" w:rsidP="007B3453">
            <w:pPr>
              <w:rPr>
                <w:sz w:val="20"/>
                <w:szCs w:val="20"/>
              </w:rPr>
            </w:pPr>
          </w:p>
        </w:tc>
        <w:tc>
          <w:tcPr>
            <w:tcW w:w="132" w:type="pct"/>
            <w:tcBorders>
              <w:top w:val="nil"/>
              <w:left w:val="nil"/>
              <w:bottom w:val="nil"/>
              <w:right w:val="nil"/>
            </w:tcBorders>
            <w:noWrap/>
            <w:vAlign w:val="bottom"/>
            <w:hideMark/>
          </w:tcPr>
          <w:p w14:paraId="433F3CBC" w14:textId="77777777" w:rsidR="00C44869" w:rsidRPr="006C7979" w:rsidRDefault="00C44869" w:rsidP="007B3453">
            <w:pPr>
              <w:rPr>
                <w:sz w:val="20"/>
                <w:szCs w:val="20"/>
              </w:rPr>
            </w:pPr>
          </w:p>
        </w:tc>
        <w:tc>
          <w:tcPr>
            <w:tcW w:w="693" w:type="pct"/>
            <w:tcBorders>
              <w:top w:val="nil"/>
              <w:left w:val="nil"/>
              <w:bottom w:val="single" w:sz="4" w:space="0" w:color="auto"/>
              <w:right w:val="nil"/>
            </w:tcBorders>
            <w:noWrap/>
            <w:vAlign w:val="bottom"/>
          </w:tcPr>
          <w:p w14:paraId="6C09C073" w14:textId="77777777" w:rsidR="00C44869" w:rsidRPr="006C7979" w:rsidRDefault="00C44869" w:rsidP="007B3453">
            <w:pPr>
              <w:jc w:val="right"/>
              <w:rPr>
                <w:b/>
                <w:bCs/>
                <w:sz w:val="20"/>
                <w:szCs w:val="20"/>
              </w:rPr>
            </w:pPr>
            <w:r>
              <w:rPr>
                <w:b/>
                <w:bCs/>
                <w:sz w:val="20"/>
                <w:szCs w:val="20"/>
              </w:rPr>
              <w:t>(0.01)</w:t>
            </w:r>
          </w:p>
        </w:tc>
        <w:tc>
          <w:tcPr>
            <w:tcW w:w="132" w:type="pct"/>
            <w:tcBorders>
              <w:top w:val="nil"/>
              <w:left w:val="nil"/>
              <w:bottom w:val="nil"/>
              <w:right w:val="nil"/>
            </w:tcBorders>
            <w:noWrap/>
            <w:vAlign w:val="bottom"/>
            <w:hideMark/>
          </w:tcPr>
          <w:p w14:paraId="4D28F8E8" w14:textId="77777777" w:rsidR="00C44869" w:rsidRPr="006C7979" w:rsidRDefault="00C44869" w:rsidP="007B3453">
            <w:pPr>
              <w:jc w:val="right"/>
              <w:rPr>
                <w:b/>
                <w:bCs/>
                <w:sz w:val="20"/>
                <w:szCs w:val="20"/>
              </w:rPr>
            </w:pPr>
          </w:p>
        </w:tc>
        <w:tc>
          <w:tcPr>
            <w:tcW w:w="693" w:type="pct"/>
            <w:tcBorders>
              <w:top w:val="nil"/>
              <w:left w:val="nil"/>
              <w:bottom w:val="single" w:sz="4" w:space="0" w:color="auto"/>
              <w:right w:val="nil"/>
            </w:tcBorders>
            <w:noWrap/>
            <w:vAlign w:val="bottom"/>
            <w:hideMark/>
          </w:tcPr>
          <w:p w14:paraId="37E1C329" w14:textId="77777777" w:rsidR="00C44869" w:rsidRPr="00204DC1" w:rsidRDefault="00C44869" w:rsidP="007B3453">
            <w:pPr>
              <w:jc w:val="right"/>
              <w:rPr>
                <w:sz w:val="20"/>
                <w:szCs w:val="20"/>
              </w:rPr>
            </w:pPr>
            <w:r w:rsidRPr="00204DC1">
              <w:rPr>
                <w:sz w:val="20"/>
                <w:szCs w:val="20"/>
              </w:rPr>
              <w:t xml:space="preserve">             (0.01)</w:t>
            </w:r>
          </w:p>
        </w:tc>
        <w:tc>
          <w:tcPr>
            <w:tcW w:w="132" w:type="pct"/>
            <w:tcBorders>
              <w:top w:val="nil"/>
              <w:left w:val="nil"/>
              <w:bottom w:val="nil"/>
              <w:right w:val="nil"/>
            </w:tcBorders>
            <w:noWrap/>
            <w:vAlign w:val="bottom"/>
            <w:hideMark/>
          </w:tcPr>
          <w:p w14:paraId="6B08BE6E" w14:textId="77777777" w:rsidR="00C44869" w:rsidRPr="006C7979" w:rsidRDefault="00C44869" w:rsidP="007B3453">
            <w:pPr>
              <w:jc w:val="right"/>
              <w:rPr>
                <w:b/>
                <w:bCs/>
                <w:sz w:val="20"/>
                <w:szCs w:val="20"/>
              </w:rPr>
            </w:pPr>
          </w:p>
        </w:tc>
        <w:tc>
          <w:tcPr>
            <w:tcW w:w="741" w:type="pct"/>
            <w:tcBorders>
              <w:top w:val="nil"/>
              <w:left w:val="nil"/>
              <w:bottom w:val="single" w:sz="4" w:space="0" w:color="auto"/>
              <w:right w:val="nil"/>
            </w:tcBorders>
            <w:noWrap/>
            <w:vAlign w:val="bottom"/>
            <w:hideMark/>
          </w:tcPr>
          <w:p w14:paraId="497E6730" w14:textId="77777777" w:rsidR="00C44869" w:rsidRPr="0050514C" w:rsidRDefault="00C44869" w:rsidP="007B3453">
            <w:pPr>
              <w:jc w:val="right"/>
              <w:rPr>
                <w:sz w:val="20"/>
                <w:szCs w:val="20"/>
              </w:rPr>
            </w:pPr>
            <w:r w:rsidRPr="0050514C">
              <w:rPr>
                <w:sz w:val="20"/>
                <w:szCs w:val="20"/>
              </w:rPr>
              <w:t>(0.01)</w:t>
            </w:r>
          </w:p>
        </w:tc>
        <w:tc>
          <w:tcPr>
            <w:tcW w:w="132" w:type="pct"/>
            <w:tcBorders>
              <w:top w:val="nil"/>
              <w:left w:val="nil"/>
              <w:bottom w:val="nil"/>
              <w:right w:val="nil"/>
            </w:tcBorders>
            <w:noWrap/>
            <w:vAlign w:val="bottom"/>
            <w:hideMark/>
          </w:tcPr>
          <w:p w14:paraId="11498591" w14:textId="77777777" w:rsidR="00C44869" w:rsidRPr="006C7979" w:rsidRDefault="00C44869" w:rsidP="007B3453">
            <w:pPr>
              <w:jc w:val="right"/>
              <w:rPr>
                <w:sz w:val="20"/>
                <w:szCs w:val="20"/>
              </w:rPr>
            </w:pPr>
          </w:p>
        </w:tc>
      </w:tr>
      <w:tr w:rsidR="00C44869" w:rsidRPr="006C7979" w14:paraId="360BC99D" w14:textId="77777777" w:rsidTr="007B3453">
        <w:trPr>
          <w:trHeight w:val="280"/>
        </w:trPr>
        <w:tc>
          <w:tcPr>
            <w:tcW w:w="2213" w:type="pct"/>
            <w:tcBorders>
              <w:top w:val="nil"/>
              <w:left w:val="nil"/>
              <w:bottom w:val="nil"/>
              <w:right w:val="nil"/>
            </w:tcBorders>
            <w:noWrap/>
            <w:vAlign w:val="bottom"/>
            <w:hideMark/>
          </w:tcPr>
          <w:p w14:paraId="26EA3751" w14:textId="77777777" w:rsidR="00C44869" w:rsidRPr="006C7979" w:rsidRDefault="00C44869" w:rsidP="007B3453">
            <w:pPr>
              <w:rPr>
                <w:i/>
                <w:iCs/>
                <w:sz w:val="20"/>
                <w:szCs w:val="20"/>
              </w:rPr>
            </w:pPr>
            <w:r w:rsidRPr="006C7979">
              <w:rPr>
                <w:i/>
                <w:iCs/>
                <w:sz w:val="20"/>
                <w:szCs w:val="20"/>
              </w:rPr>
              <w:t>Total</w:t>
            </w:r>
          </w:p>
        </w:tc>
        <w:tc>
          <w:tcPr>
            <w:tcW w:w="132" w:type="pct"/>
            <w:tcBorders>
              <w:top w:val="nil"/>
              <w:left w:val="nil"/>
              <w:bottom w:val="nil"/>
              <w:right w:val="nil"/>
            </w:tcBorders>
            <w:noWrap/>
            <w:vAlign w:val="bottom"/>
            <w:hideMark/>
          </w:tcPr>
          <w:p w14:paraId="0258EC5B" w14:textId="77777777" w:rsidR="00C44869" w:rsidRPr="006C7979" w:rsidRDefault="00C44869" w:rsidP="007B3453">
            <w:pPr>
              <w:jc w:val="right"/>
              <w:rPr>
                <w:i/>
                <w:iCs/>
                <w:sz w:val="20"/>
                <w:szCs w:val="20"/>
              </w:rPr>
            </w:pPr>
          </w:p>
        </w:tc>
        <w:tc>
          <w:tcPr>
            <w:tcW w:w="132" w:type="pct"/>
            <w:tcBorders>
              <w:top w:val="nil"/>
              <w:left w:val="nil"/>
              <w:bottom w:val="nil"/>
              <w:right w:val="nil"/>
            </w:tcBorders>
            <w:noWrap/>
            <w:vAlign w:val="bottom"/>
            <w:hideMark/>
          </w:tcPr>
          <w:p w14:paraId="28700EF1" w14:textId="77777777" w:rsidR="00C44869" w:rsidRPr="006C7979" w:rsidRDefault="00C44869" w:rsidP="007B3453">
            <w:pPr>
              <w:jc w:val="right"/>
              <w:rPr>
                <w:sz w:val="20"/>
                <w:szCs w:val="20"/>
              </w:rPr>
            </w:pPr>
          </w:p>
        </w:tc>
        <w:tc>
          <w:tcPr>
            <w:tcW w:w="693" w:type="pct"/>
            <w:tcBorders>
              <w:top w:val="nil"/>
              <w:left w:val="nil"/>
              <w:bottom w:val="single" w:sz="8" w:space="0" w:color="auto"/>
              <w:right w:val="nil"/>
            </w:tcBorders>
            <w:noWrap/>
            <w:vAlign w:val="bottom"/>
          </w:tcPr>
          <w:p w14:paraId="6DF9E9A6" w14:textId="77777777" w:rsidR="00C44869" w:rsidRPr="006C7979" w:rsidRDefault="00C44869" w:rsidP="007B3453">
            <w:pPr>
              <w:jc w:val="right"/>
              <w:rPr>
                <w:b/>
                <w:bCs/>
                <w:sz w:val="20"/>
                <w:szCs w:val="20"/>
              </w:rPr>
            </w:pPr>
            <w:r>
              <w:rPr>
                <w:b/>
                <w:bCs/>
                <w:sz w:val="20"/>
                <w:szCs w:val="20"/>
              </w:rPr>
              <w:t>(0.51)</w:t>
            </w:r>
          </w:p>
        </w:tc>
        <w:tc>
          <w:tcPr>
            <w:tcW w:w="132" w:type="pct"/>
            <w:tcBorders>
              <w:top w:val="nil"/>
              <w:left w:val="nil"/>
              <w:bottom w:val="nil"/>
              <w:right w:val="nil"/>
            </w:tcBorders>
            <w:noWrap/>
            <w:vAlign w:val="bottom"/>
            <w:hideMark/>
          </w:tcPr>
          <w:p w14:paraId="27857BB1" w14:textId="77777777" w:rsidR="00C44869" w:rsidRPr="006C7979" w:rsidRDefault="00C44869" w:rsidP="007B3453">
            <w:pPr>
              <w:jc w:val="right"/>
              <w:rPr>
                <w:b/>
                <w:bCs/>
                <w:sz w:val="20"/>
                <w:szCs w:val="20"/>
              </w:rPr>
            </w:pPr>
          </w:p>
        </w:tc>
        <w:tc>
          <w:tcPr>
            <w:tcW w:w="693" w:type="pct"/>
            <w:tcBorders>
              <w:top w:val="nil"/>
              <w:left w:val="nil"/>
              <w:bottom w:val="single" w:sz="8" w:space="0" w:color="auto"/>
              <w:right w:val="nil"/>
            </w:tcBorders>
            <w:noWrap/>
            <w:vAlign w:val="bottom"/>
            <w:hideMark/>
          </w:tcPr>
          <w:p w14:paraId="46E70ED7" w14:textId="77777777" w:rsidR="00C44869" w:rsidRPr="00204DC1" w:rsidRDefault="00C44869" w:rsidP="007B3453">
            <w:pPr>
              <w:jc w:val="right"/>
              <w:rPr>
                <w:sz w:val="20"/>
                <w:szCs w:val="20"/>
              </w:rPr>
            </w:pPr>
            <w:r w:rsidRPr="00204DC1">
              <w:rPr>
                <w:sz w:val="20"/>
                <w:szCs w:val="20"/>
              </w:rPr>
              <w:t xml:space="preserve">             (0.57)</w:t>
            </w:r>
          </w:p>
        </w:tc>
        <w:tc>
          <w:tcPr>
            <w:tcW w:w="132" w:type="pct"/>
            <w:tcBorders>
              <w:top w:val="nil"/>
              <w:left w:val="nil"/>
              <w:bottom w:val="nil"/>
              <w:right w:val="nil"/>
            </w:tcBorders>
            <w:noWrap/>
            <w:vAlign w:val="bottom"/>
            <w:hideMark/>
          </w:tcPr>
          <w:p w14:paraId="29312A45" w14:textId="77777777" w:rsidR="00C44869" w:rsidRPr="006C7979" w:rsidRDefault="00C44869" w:rsidP="007B3453">
            <w:pPr>
              <w:jc w:val="right"/>
              <w:rPr>
                <w:b/>
                <w:bCs/>
                <w:sz w:val="20"/>
                <w:szCs w:val="20"/>
              </w:rPr>
            </w:pPr>
          </w:p>
        </w:tc>
        <w:tc>
          <w:tcPr>
            <w:tcW w:w="741" w:type="pct"/>
            <w:tcBorders>
              <w:top w:val="nil"/>
              <w:left w:val="nil"/>
              <w:bottom w:val="single" w:sz="8" w:space="0" w:color="auto"/>
              <w:right w:val="nil"/>
            </w:tcBorders>
            <w:noWrap/>
            <w:vAlign w:val="bottom"/>
            <w:hideMark/>
          </w:tcPr>
          <w:p w14:paraId="5E2F5C93" w14:textId="77777777" w:rsidR="00C44869" w:rsidRPr="0050514C" w:rsidRDefault="00C44869" w:rsidP="007B3453">
            <w:pPr>
              <w:jc w:val="right"/>
              <w:rPr>
                <w:sz w:val="20"/>
                <w:szCs w:val="20"/>
              </w:rPr>
            </w:pPr>
            <w:r w:rsidRPr="0050514C">
              <w:rPr>
                <w:sz w:val="20"/>
                <w:szCs w:val="20"/>
              </w:rPr>
              <w:t>(0.88)</w:t>
            </w:r>
          </w:p>
        </w:tc>
        <w:tc>
          <w:tcPr>
            <w:tcW w:w="132" w:type="pct"/>
            <w:tcBorders>
              <w:top w:val="nil"/>
              <w:left w:val="nil"/>
              <w:bottom w:val="nil"/>
              <w:right w:val="nil"/>
            </w:tcBorders>
            <w:noWrap/>
            <w:vAlign w:val="bottom"/>
            <w:hideMark/>
          </w:tcPr>
          <w:p w14:paraId="59FF667E" w14:textId="77777777" w:rsidR="00C44869" w:rsidRPr="006C7979" w:rsidRDefault="00C44869" w:rsidP="007B3453">
            <w:pPr>
              <w:jc w:val="right"/>
              <w:rPr>
                <w:sz w:val="20"/>
                <w:szCs w:val="20"/>
              </w:rPr>
            </w:pPr>
          </w:p>
        </w:tc>
      </w:tr>
    </w:tbl>
    <w:p w14:paraId="7D425DB4" w14:textId="77777777" w:rsidR="00C44869" w:rsidRDefault="00C44869" w:rsidP="00C44869">
      <w:pPr>
        <w:spacing w:before="240"/>
        <w:rPr>
          <w:b/>
          <w:bCs/>
        </w:rPr>
      </w:pPr>
    </w:p>
    <w:p w14:paraId="7611C224" w14:textId="77777777" w:rsidR="00C44869" w:rsidRDefault="00C44869" w:rsidP="00C44869">
      <w:pPr>
        <w:spacing w:before="240"/>
        <w:rPr>
          <w:b/>
          <w:bCs/>
        </w:rPr>
      </w:pPr>
    </w:p>
    <w:p w14:paraId="2251D3BE" w14:textId="77777777" w:rsidR="00C44869" w:rsidRDefault="00C44869" w:rsidP="00C44869">
      <w:pPr>
        <w:spacing w:before="240"/>
        <w:rPr>
          <w:b/>
          <w:bCs/>
        </w:rPr>
      </w:pPr>
    </w:p>
    <w:p w14:paraId="3834F2D2" w14:textId="77777777" w:rsidR="00C44869" w:rsidRDefault="00C44869" w:rsidP="00C44869">
      <w:pPr>
        <w:spacing w:before="240"/>
        <w:rPr>
          <w:b/>
          <w:bCs/>
        </w:rPr>
      </w:pPr>
    </w:p>
    <w:p w14:paraId="6254311D" w14:textId="77777777" w:rsidR="00C44869" w:rsidRDefault="00C44869" w:rsidP="00C44869">
      <w:pPr>
        <w:spacing w:before="240"/>
        <w:rPr>
          <w:b/>
          <w:bCs/>
        </w:rPr>
      </w:pPr>
    </w:p>
    <w:p w14:paraId="52ED02AC" w14:textId="77777777" w:rsidR="00C44869" w:rsidRDefault="00C44869" w:rsidP="00C44869">
      <w:pPr>
        <w:spacing w:before="240"/>
        <w:rPr>
          <w:b/>
          <w:bCs/>
        </w:rPr>
      </w:pPr>
    </w:p>
    <w:p w14:paraId="698C51DB" w14:textId="77777777" w:rsidR="00C44869" w:rsidRDefault="00C44869" w:rsidP="00C44869">
      <w:pPr>
        <w:spacing w:before="240"/>
        <w:rPr>
          <w:b/>
          <w:bCs/>
        </w:rPr>
      </w:pPr>
    </w:p>
    <w:p w14:paraId="472D2270" w14:textId="77777777" w:rsidR="00C44869" w:rsidRDefault="00C44869" w:rsidP="00C44869">
      <w:pPr>
        <w:spacing w:before="240"/>
        <w:rPr>
          <w:b/>
          <w:bCs/>
        </w:rPr>
      </w:pPr>
    </w:p>
    <w:p w14:paraId="298F0166" w14:textId="77777777" w:rsidR="00C44869" w:rsidRDefault="00C44869" w:rsidP="00C44869">
      <w:pPr>
        <w:spacing w:before="240"/>
        <w:rPr>
          <w:b/>
          <w:bCs/>
        </w:rPr>
      </w:pPr>
      <w:r>
        <w:rPr>
          <w:b/>
          <w:bCs/>
        </w:rPr>
        <w:lastRenderedPageBreak/>
        <w:br/>
      </w:r>
    </w:p>
    <w:tbl>
      <w:tblPr>
        <w:tblW w:w="5000" w:type="pct"/>
        <w:tblLook w:val="04A0" w:firstRow="1" w:lastRow="0" w:firstColumn="1" w:lastColumn="0" w:noHBand="0" w:noVBand="1"/>
      </w:tblPr>
      <w:tblGrid>
        <w:gridCol w:w="4321"/>
        <w:gridCol w:w="271"/>
        <w:gridCol w:w="1436"/>
        <w:gridCol w:w="271"/>
        <w:gridCol w:w="1450"/>
        <w:gridCol w:w="271"/>
        <w:gridCol w:w="1466"/>
        <w:gridCol w:w="980"/>
      </w:tblGrid>
      <w:tr w:rsidR="00C44869" w:rsidRPr="00D46B6F" w14:paraId="132260C4" w14:textId="77777777" w:rsidTr="007B3453">
        <w:trPr>
          <w:trHeight w:val="300"/>
        </w:trPr>
        <w:tc>
          <w:tcPr>
            <w:tcW w:w="5000" w:type="pct"/>
            <w:gridSpan w:val="8"/>
            <w:tcBorders>
              <w:top w:val="nil"/>
              <w:left w:val="nil"/>
              <w:bottom w:val="nil"/>
              <w:right w:val="nil"/>
            </w:tcBorders>
            <w:noWrap/>
            <w:vAlign w:val="bottom"/>
            <w:hideMark/>
          </w:tcPr>
          <w:p w14:paraId="6E35704E" w14:textId="77777777" w:rsidR="00C44869" w:rsidRPr="00D46B6F" w:rsidRDefault="00C44869" w:rsidP="007B3453">
            <w:pPr>
              <w:jc w:val="center"/>
              <w:rPr>
                <w:b/>
                <w:bCs/>
              </w:rPr>
            </w:pPr>
            <w:bookmarkStart w:id="3" w:name="RANGE!A1:E38"/>
            <w:r w:rsidRPr="00D46B6F">
              <w:rPr>
                <w:b/>
                <w:bCs/>
              </w:rPr>
              <w:t>Chill Brands Group PLC</w:t>
            </w:r>
            <w:bookmarkEnd w:id="3"/>
            <w:r>
              <w:rPr>
                <w:b/>
                <w:bCs/>
              </w:rPr>
              <w:br/>
            </w:r>
            <w:r w:rsidRPr="00D46B6F">
              <w:t>Consolidated Statement of Financial Position (Unaudited)</w:t>
            </w:r>
            <w:r>
              <w:br/>
            </w:r>
            <w:r w:rsidRPr="00D46B6F">
              <w:t>At 30 September 202</w:t>
            </w:r>
            <w:r>
              <w:t>4</w:t>
            </w:r>
            <w:r w:rsidRPr="00D46B6F">
              <w:t xml:space="preserve"> and 202</w:t>
            </w:r>
            <w:r>
              <w:t>3</w:t>
            </w:r>
          </w:p>
        </w:tc>
      </w:tr>
      <w:tr w:rsidR="00C44869" w:rsidRPr="00D46B6F" w14:paraId="25871DB1" w14:textId="77777777" w:rsidTr="007B3453">
        <w:trPr>
          <w:trHeight w:val="255"/>
        </w:trPr>
        <w:tc>
          <w:tcPr>
            <w:tcW w:w="2064" w:type="pct"/>
            <w:tcBorders>
              <w:top w:val="nil"/>
              <w:left w:val="nil"/>
              <w:bottom w:val="single" w:sz="4" w:space="0" w:color="auto"/>
              <w:right w:val="nil"/>
            </w:tcBorders>
            <w:noWrap/>
            <w:vAlign w:val="bottom"/>
            <w:hideMark/>
          </w:tcPr>
          <w:p w14:paraId="28E6FF6B" w14:textId="77777777" w:rsidR="00C44869" w:rsidRPr="00D46B6F" w:rsidRDefault="00C44869" w:rsidP="007B3453">
            <w:pPr>
              <w:rPr>
                <w:sz w:val="22"/>
                <w:szCs w:val="22"/>
              </w:rPr>
            </w:pPr>
            <w:r w:rsidRPr="00D46B6F">
              <w:rPr>
                <w:sz w:val="22"/>
                <w:szCs w:val="22"/>
              </w:rPr>
              <w:t> </w:t>
            </w:r>
          </w:p>
        </w:tc>
        <w:tc>
          <w:tcPr>
            <w:tcW w:w="129" w:type="pct"/>
            <w:tcBorders>
              <w:top w:val="nil"/>
              <w:left w:val="nil"/>
              <w:bottom w:val="single" w:sz="4" w:space="0" w:color="auto"/>
              <w:right w:val="nil"/>
            </w:tcBorders>
            <w:noWrap/>
            <w:vAlign w:val="bottom"/>
            <w:hideMark/>
          </w:tcPr>
          <w:p w14:paraId="40E178E6" w14:textId="77777777" w:rsidR="00C44869" w:rsidRPr="00D46B6F" w:rsidRDefault="00C44869" w:rsidP="007B3453">
            <w:pPr>
              <w:rPr>
                <w:sz w:val="22"/>
                <w:szCs w:val="22"/>
              </w:rPr>
            </w:pPr>
            <w:r w:rsidRPr="00D46B6F">
              <w:rPr>
                <w:sz w:val="22"/>
                <w:szCs w:val="22"/>
              </w:rPr>
              <w:t> </w:t>
            </w:r>
          </w:p>
        </w:tc>
        <w:tc>
          <w:tcPr>
            <w:tcW w:w="687" w:type="pct"/>
            <w:tcBorders>
              <w:top w:val="nil"/>
              <w:left w:val="nil"/>
              <w:bottom w:val="single" w:sz="4" w:space="0" w:color="auto"/>
              <w:right w:val="nil"/>
            </w:tcBorders>
            <w:noWrap/>
            <w:vAlign w:val="bottom"/>
            <w:hideMark/>
          </w:tcPr>
          <w:p w14:paraId="24E7DEE8" w14:textId="77777777" w:rsidR="00C44869" w:rsidRPr="00D46B6F" w:rsidRDefault="00C44869" w:rsidP="007B3453">
            <w:pPr>
              <w:rPr>
                <w:sz w:val="22"/>
                <w:szCs w:val="22"/>
              </w:rPr>
            </w:pPr>
            <w:r w:rsidRPr="00D46B6F">
              <w:rPr>
                <w:sz w:val="22"/>
                <w:szCs w:val="22"/>
              </w:rPr>
              <w:t> </w:t>
            </w:r>
          </w:p>
        </w:tc>
        <w:tc>
          <w:tcPr>
            <w:tcW w:w="129" w:type="pct"/>
            <w:tcBorders>
              <w:top w:val="nil"/>
              <w:left w:val="nil"/>
              <w:bottom w:val="single" w:sz="4" w:space="0" w:color="auto"/>
              <w:right w:val="nil"/>
            </w:tcBorders>
            <w:noWrap/>
            <w:vAlign w:val="bottom"/>
            <w:hideMark/>
          </w:tcPr>
          <w:p w14:paraId="6E5F2B77" w14:textId="77777777" w:rsidR="00C44869" w:rsidRPr="00D46B6F" w:rsidRDefault="00C44869" w:rsidP="007B3453">
            <w:pPr>
              <w:rPr>
                <w:sz w:val="22"/>
                <w:szCs w:val="22"/>
              </w:rPr>
            </w:pPr>
            <w:r w:rsidRPr="00D46B6F">
              <w:rPr>
                <w:sz w:val="22"/>
                <w:szCs w:val="22"/>
              </w:rPr>
              <w:t> </w:t>
            </w:r>
          </w:p>
        </w:tc>
        <w:tc>
          <w:tcPr>
            <w:tcW w:w="693" w:type="pct"/>
            <w:tcBorders>
              <w:top w:val="nil"/>
              <w:left w:val="nil"/>
              <w:bottom w:val="single" w:sz="4" w:space="0" w:color="auto"/>
              <w:right w:val="nil"/>
            </w:tcBorders>
            <w:noWrap/>
            <w:vAlign w:val="bottom"/>
            <w:hideMark/>
          </w:tcPr>
          <w:p w14:paraId="5413757B" w14:textId="77777777" w:rsidR="00C44869" w:rsidRPr="00D46B6F" w:rsidRDefault="00C44869" w:rsidP="007B3453">
            <w:pPr>
              <w:rPr>
                <w:b/>
                <w:bCs/>
                <w:sz w:val="22"/>
                <w:szCs w:val="22"/>
              </w:rPr>
            </w:pPr>
            <w:r w:rsidRPr="00D46B6F">
              <w:rPr>
                <w:b/>
                <w:bCs/>
                <w:sz w:val="22"/>
                <w:szCs w:val="22"/>
              </w:rPr>
              <w:t> </w:t>
            </w:r>
          </w:p>
        </w:tc>
        <w:tc>
          <w:tcPr>
            <w:tcW w:w="129" w:type="pct"/>
            <w:tcBorders>
              <w:top w:val="nil"/>
              <w:left w:val="nil"/>
              <w:bottom w:val="single" w:sz="4" w:space="0" w:color="auto"/>
              <w:right w:val="nil"/>
            </w:tcBorders>
            <w:noWrap/>
            <w:vAlign w:val="bottom"/>
            <w:hideMark/>
          </w:tcPr>
          <w:p w14:paraId="098ED644" w14:textId="77777777" w:rsidR="00C44869" w:rsidRPr="00D46B6F" w:rsidRDefault="00C44869" w:rsidP="007B3453">
            <w:pPr>
              <w:rPr>
                <w:b/>
                <w:bCs/>
                <w:sz w:val="22"/>
                <w:szCs w:val="22"/>
              </w:rPr>
            </w:pPr>
            <w:r w:rsidRPr="00D46B6F">
              <w:rPr>
                <w:b/>
                <w:bCs/>
                <w:sz w:val="22"/>
                <w:szCs w:val="22"/>
              </w:rPr>
              <w:t> </w:t>
            </w:r>
          </w:p>
        </w:tc>
        <w:tc>
          <w:tcPr>
            <w:tcW w:w="700" w:type="pct"/>
            <w:tcBorders>
              <w:top w:val="nil"/>
              <w:left w:val="nil"/>
              <w:bottom w:val="single" w:sz="4" w:space="0" w:color="auto"/>
              <w:right w:val="nil"/>
            </w:tcBorders>
            <w:noWrap/>
            <w:vAlign w:val="bottom"/>
            <w:hideMark/>
          </w:tcPr>
          <w:p w14:paraId="47BE955E" w14:textId="77777777" w:rsidR="00C44869" w:rsidRPr="00D46B6F" w:rsidRDefault="00C44869" w:rsidP="007B3453">
            <w:pPr>
              <w:rPr>
                <w:b/>
                <w:bCs/>
                <w:sz w:val="22"/>
                <w:szCs w:val="22"/>
              </w:rPr>
            </w:pPr>
            <w:r w:rsidRPr="00D46B6F">
              <w:rPr>
                <w:b/>
                <w:bCs/>
                <w:sz w:val="22"/>
                <w:szCs w:val="22"/>
              </w:rPr>
              <w:t> </w:t>
            </w:r>
          </w:p>
        </w:tc>
        <w:tc>
          <w:tcPr>
            <w:tcW w:w="467" w:type="pct"/>
            <w:tcBorders>
              <w:top w:val="nil"/>
              <w:left w:val="nil"/>
              <w:bottom w:val="single" w:sz="4" w:space="0" w:color="auto"/>
              <w:right w:val="nil"/>
            </w:tcBorders>
            <w:noWrap/>
            <w:vAlign w:val="bottom"/>
            <w:hideMark/>
          </w:tcPr>
          <w:p w14:paraId="7575067F" w14:textId="77777777" w:rsidR="00C44869" w:rsidRPr="00D46B6F" w:rsidRDefault="00C44869" w:rsidP="007B3453">
            <w:pPr>
              <w:rPr>
                <w:b/>
                <w:bCs/>
                <w:sz w:val="22"/>
                <w:szCs w:val="22"/>
              </w:rPr>
            </w:pPr>
            <w:r w:rsidRPr="00D46B6F">
              <w:rPr>
                <w:b/>
                <w:bCs/>
                <w:sz w:val="22"/>
                <w:szCs w:val="22"/>
              </w:rPr>
              <w:t> </w:t>
            </w:r>
          </w:p>
        </w:tc>
      </w:tr>
      <w:tr w:rsidR="00C44869" w:rsidRPr="00D46B6F" w14:paraId="29EABCBF" w14:textId="77777777" w:rsidTr="007B3453">
        <w:trPr>
          <w:trHeight w:val="255"/>
        </w:trPr>
        <w:tc>
          <w:tcPr>
            <w:tcW w:w="2064" w:type="pct"/>
            <w:tcBorders>
              <w:top w:val="nil"/>
              <w:left w:val="nil"/>
              <w:bottom w:val="nil"/>
              <w:right w:val="nil"/>
            </w:tcBorders>
            <w:noWrap/>
            <w:vAlign w:val="bottom"/>
            <w:hideMark/>
          </w:tcPr>
          <w:p w14:paraId="4B8AC3D3" w14:textId="77777777" w:rsidR="00C44869" w:rsidRPr="00D46B6F" w:rsidRDefault="00C44869" w:rsidP="007B3453">
            <w:pPr>
              <w:rPr>
                <w:b/>
                <w:bCs/>
                <w:sz w:val="22"/>
                <w:szCs w:val="22"/>
              </w:rPr>
            </w:pPr>
          </w:p>
        </w:tc>
        <w:tc>
          <w:tcPr>
            <w:tcW w:w="129" w:type="pct"/>
            <w:tcBorders>
              <w:top w:val="nil"/>
              <w:left w:val="nil"/>
              <w:bottom w:val="nil"/>
              <w:right w:val="nil"/>
            </w:tcBorders>
            <w:noWrap/>
            <w:vAlign w:val="bottom"/>
            <w:hideMark/>
          </w:tcPr>
          <w:p w14:paraId="25875C28" w14:textId="77777777" w:rsidR="00C44869" w:rsidRPr="00D46B6F" w:rsidRDefault="00C44869" w:rsidP="007B3453">
            <w:pPr>
              <w:rPr>
                <w:sz w:val="20"/>
                <w:szCs w:val="20"/>
              </w:rPr>
            </w:pPr>
          </w:p>
        </w:tc>
        <w:tc>
          <w:tcPr>
            <w:tcW w:w="687" w:type="pct"/>
            <w:tcBorders>
              <w:top w:val="nil"/>
              <w:left w:val="nil"/>
              <w:bottom w:val="nil"/>
              <w:right w:val="nil"/>
            </w:tcBorders>
            <w:noWrap/>
            <w:vAlign w:val="bottom"/>
            <w:hideMark/>
          </w:tcPr>
          <w:p w14:paraId="54E73097" w14:textId="77777777" w:rsidR="00C44869" w:rsidRPr="00D46B6F" w:rsidRDefault="00C44869" w:rsidP="007B3453">
            <w:pPr>
              <w:rPr>
                <w:sz w:val="20"/>
                <w:szCs w:val="20"/>
              </w:rPr>
            </w:pPr>
          </w:p>
        </w:tc>
        <w:tc>
          <w:tcPr>
            <w:tcW w:w="129" w:type="pct"/>
            <w:tcBorders>
              <w:top w:val="nil"/>
              <w:left w:val="nil"/>
              <w:bottom w:val="nil"/>
              <w:right w:val="nil"/>
            </w:tcBorders>
            <w:noWrap/>
            <w:vAlign w:val="bottom"/>
            <w:hideMark/>
          </w:tcPr>
          <w:p w14:paraId="443FE453" w14:textId="77777777" w:rsidR="00C44869" w:rsidRPr="00D46B6F" w:rsidRDefault="00C44869" w:rsidP="007B3453">
            <w:pPr>
              <w:rPr>
                <w:sz w:val="20"/>
                <w:szCs w:val="20"/>
              </w:rPr>
            </w:pPr>
          </w:p>
        </w:tc>
        <w:tc>
          <w:tcPr>
            <w:tcW w:w="693" w:type="pct"/>
            <w:tcBorders>
              <w:top w:val="nil"/>
              <w:left w:val="nil"/>
              <w:bottom w:val="nil"/>
              <w:right w:val="nil"/>
            </w:tcBorders>
            <w:noWrap/>
            <w:vAlign w:val="bottom"/>
            <w:hideMark/>
          </w:tcPr>
          <w:p w14:paraId="62272B54" w14:textId="77777777" w:rsidR="00C44869" w:rsidRPr="00D46B6F" w:rsidRDefault="00C44869" w:rsidP="007B3453">
            <w:pPr>
              <w:rPr>
                <w:sz w:val="20"/>
                <w:szCs w:val="20"/>
              </w:rPr>
            </w:pPr>
          </w:p>
        </w:tc>
        <w:tc>
          <w:tcPr>
            <w:tcW w:w="129" w:type="pct"/>
            <w:tcBorders>
              <w:top w:val="nil"/>
              <w:left w:val="nil"/>
              <w:bottom w:val="nil"/>
              <w:right w:val="nil"/>
            </w:tcBorders>
            <w:noWrap/>
            <w:vAlign w:val="bottom"/>
            <w:hideMark/>
          </w:tcPr>
          <w:p w14:paraId="13B613EE" w14:textId="77777777" w:rsidR="00C44869" w:rsidRPr="00D46B6F" w:rsidRDefault="00C44869" w:rsidP="007B3453">
            <w:pPr>
              <w:rPr>
                <w:sz w:val="20"/>
                <w:szCs w:val="20"/>
              </w:rPr>
            </w:pPr>
          </w:p>
        </w:tc>
        <w:tc>
          <w:tcPr>
            <w:tcW w:w="700" w:type="pct"/>
            <w:tcBorders>
              <w:top w:val="nil"/>
              <w:left w:val="nil"/>
              <w:bottom w:val="nil"/>
              <w:right w:val="nil"/>
            </w:tcBorders>
            <w:noWrap/>
            <w:vAlign w:val="bottom"/>
            <w:hideMark/>
          </w:tcPr>
          <w:p w14:paraId="4B273FD7" w14:textId="77777777" w:rsidR="00C44869" w:rsidRPr="00D46B6F" w:rsidRDefault="00C44869" w:rsidP="007B3453">
            <w:pPr>
              <w:rPr>
                <w:sz w:val="20"/>
                <w:szCs w:val="20"/>
              </w:rPr>
            </w:pPr>
          </w:p>
        </w:tc>
        <w:tc>
          <w:tcPr>
            <w:tcW w:w="467" w:type="pct"/>
            <w:tcBorders>
              <w:top w:val="nil"/>
              <w:left w:val="nil"/>
              <w:bottom w:val="nil"/>
              <w:right w:val="nil"/>
            </w:tcBorders>
            <w:noWrap/>
            <w:vAlign w:val="bottom"/>
            <w:hideMark/>
          </w:tcPr>
          <w:p w14:paraId="3BC905A7" w14:textId="77777777" w:rsidR="00C44869" w:rsidRPr="00D46B6F" w:rsidRDefault="00C44869" w:rsidP="007B3453">
            <w:pPr>
              <w:rPr>
                <w:sz w:val="20"/>
                <w:szCs w:val="20"/>
              </w:rPr>
            </w:pPr>
          </w:p>
        </w:tc>
      </w:tr>
      <w:tr w:rsidR="00C44869" w:rsidRPr="00D46B6F" w14:paraId="35FC0077" w14:textId="77777777" w:rsidTr="007B3453">
        <w:trPr>
          <w:trHeight w:val="1065"/>
        </w:trPr>
        <w:tc>
          <w:tcPr>
            <w:tcW w:w="2064" w:type="pct"/>
            <w:tcBorders>
              <w:top w:val="nil"/>
              <w:left w:val="nil"/>
              <w:bottom w:val="nil"/>
              <w:right w:val="nil"/>
            </w:tcBorders>
            <w:noWrap/>
            <w:vAlign w:val="bottom"/>
            <w:hideMark/>
          </w:tcPr>
          <w:p w14:paraId="2D57C680" w14:textId="77777777" w:rsidR="00C44869" w:rsidRPr="00D46B6F" w:rsidRDefault="00C44869" w:rsidP="007B3453">
            <w:pPr>
              <w:rPr>
                <w:sz w:val="20"/>
                <w:szCs w:val="20"/>
              </w:rPr>
            </w:pPr>
          </w:p>
        </w:tc>
        <w:tc>
          <w:tcPr>
            <w:tcW w:w="129" w:type="pct"/>
            <w:tcBorders>
              <w:top w:val="nil"/>
              <w:left w:val="nil"/>
              <w:bottom w:val="nil"/>
              <w:right w:val="nil"/>
            </w:tcBorders>
            <w:noWrap/>
            <w:vAlign w:val="bottom"/>
            <w:hideMark/>
          </w:tcPr>
          <w:p w14:paraId="1B66F18C" w14:textId="77777777" w:rsidR="00C44869" w:rsidRPr="00D46B6F" w:rsidRDefault="00C44869" w:rsidP="007B3453">
            <w:pPr>
              <w:rPr>
                <w:sz w:val="20"/>
                <w:szCs w:val="20"/>
              </w:rPr>
            </w:pPr>
          </w:p>
        </w:tc>
        <w:tc>
          <w:tcPr>
            <w:tcW w:w="687" w:type="pct"/>
            <w:tcBorders>
              <w:top w:val="nil"/>
              <w:left w:val="nil"/>
              <w:bottom w:val="single" w:sz="4" w:space="0" w:color="auto"/>
              <w:right w:val="nil"/>
            </w:tcBorders>
            <w:vAlign w:val="bottom"/>
            <w:hideMark/>
          </w:tcPr>
          <w:p w14:paraId="574D418E" w14:textId="77777777" w:rsidR="00C44869" w:rsidRPr="00D46B6F" w:rsidRDefault="00C44869" w:rsidP="007B3453">
            <w:pPr>
              <w:jc w:val="center"/>
              <w:rPr>
                <w:b/>
                <w:bCs/>
                <w:sz w:val="20"/>
                <w:szCs w:val="20"/>
              </w:rPr>
            </w:pPr>
            <w:r w:rsidRPr="00D46B6F">
              <w:rPr>
                <w:b/>
                <w:bCs/>
                <w:sz w:val="20"/>
                <w:szCs w:val="20"/>
              </w:rPr>
              <w:t>Unaudited six months ended 30 September 202</w:t>
            </w:r>
            <w:r>
              <w:rPr>
                <w:b/>
                <w:bCs/>
                <w:sz w:val="20"/>
                <w:szCs w:val="20"/>
              </w:rPr>
              <w:t>4</w:t>
            </w:r>
            <w:r w:rsidRPr="00D46B6F">
              <w:rPr>
                <w:b/>
                <w:bCs/>
                <w:sz w:val="20"/>
                <w:szCs w:val="20"/>
              </w:rPr>
              <w:t xml:space="preserve"> </w:t>
            </w:r>
            <w:r w:rsidRPr="00D46B6F">
              <w:rPr>
                <w:rFonts w:ascii="Calibri" w:hAnsi="Calibri" w:cs="Calibri"/>
                <w:b/>
                <w:bCs/>
                <w:sz w:val="20"/>
                <w:szCs w:val="20"/>
              </w:rPr>
              <w:t>£</w:t>
            </w:r>
          </w:p>
        </w:tc>
        <w:tc>
          <w:tcPr>
            <w:tcW w:w="129" w:type="pct"/>
            <w:tcBorders>
              <w:top w:val="nil"/>
              <w:left w:val="nil"/>
              <w:bottom w:val="nil"/>
              <w:right w:val="nil"/>
            </w:tcBorders>
            <w:noWrap/>
            <w:vAlign w:val="bottom"/>
            <w:hideMark/>
          </w:tcPr>
          <w:p w14:paraId="49D8B92E" w14:textId="77777777" w:rsidR="00C44869" w:rsidRPr="00D46B6F" w:rsidRDefault="00C44869" w:rsidP="007B3453">
            <w:pPr>
              <w:jc w:val="center"/>
              <w:rPr>
                <w:b/>
                <w:bCs/>
                <w:sz w:val="20"/>
                <w:szCs w:val="20"/>
              </w:rPr>
            </w:pPr>
          </w:p>
        </w:tc>
        <w:tc>
          <w:tcPr>
            <w:tcW w:w="693" w:type="pct"/>
            <w:tcBorders>
              <w:top w:val="nil"/>
              <w:left w:val="nil"/>
              <w:bottom w:val="single" w:sz="4" w:space="0" w:color="auto"/>
              <w:right w:val="nil"/>
            </w:tcBorders>
            <w:vAlign w:val="bottom"/>
            <w:hideMark/>
          </w:tcPr>
          <w:p w14:paraId="1A44F653" w14:textId="77777777" w:rsidR="00C44869" w:rsidRPr="00D46B6F" w:rsidRDefault="00C44869" w:rsidP="007B3453">
            <w:pPr>
              <w:jc w:val="center"/>
              <w:rPr>
                <w:b/>
                <w:bCs/>
                <w:sz w:val="20"/>
                <w:szCs w:val="20"/>
              </w:rPr>
            </w:pPr>
            <w:r w:rsidRPr="00D46B6F">
              <w:rPr>
                <w:b/>
                <w:bCs/>
                <w:sz w:val="20"/>
                <w:szCs w:val="20"/>
              </w:rPr>
              <w:t>Unaudited six months ended 30 September 202</w:t>
            </w:r>
            <w:r>
              <w:rPr>
                <w:b/>
                <w:bCs/>
                <w:sz w:val="20"/>
                <w:szCs w:val="20"/>
              </w:rPr>
              <w:t>3</w:t>
            </w:r>
            <w:r w:rsidRPr="00D46B6F">
              <w:rPr>
                <w:b/>
                <w:bCs/>
                <w:sz w:val="20"/>
                <w:szCs w:val="20"/>
              </w:rPr>
              <w:t xml:space="preserve"> </w:t>
            </w:r>
            <w:r w:rsidRPr="00D46B6F">
              <w:rPr>
                <w:rFonts w:ascii="Calibri" w:hAnsi="Calibri" w:cs="Calibri"/>
                <w:b/>
                <w:bCs/>
                <w:sz w:val="20"/>
                <w:szCs w:val="20"/>
              </w:rPr>
              <w:t>£</w:t>
            </w:r>
          </w:p>
        </w:tc>
        <w:tc>
          <w:tcPr>
            <w:tcW w:w="129" w:type="pct"/>
            <w:tcBorders>
              <w:top w:val="nil"/>
              <w:left w:val="nil"/>
              <w:bottom w:val="nil"/>
              <w:right w:val="nil"/>
            </w:tcBorders>
            <w:noWrap/>
            <w:vAlign w:val="bottom"/>
            <w:hideMark/>
          </w:tcPr>
          <w:p w14:paraId="62AA951C" w14:textId="77777777" w:rsidR="00C44869" w:rsidRPr="00D46B6F" w:rsidRDefault="00C44869" w:rsidP="007B3453">
            <w:pPr>
              <w:jc w:val="center"/>
              <w:rPr>
                <w:b/>
                <w:bCs/>
                <w:sz w:val="20"/>
                <w:szCs w:val="20"/>
              </w:rPr>
            </w:pPr>
          </w:p>
        </w:tc>
        <w:tc>
          <w:tcPr>
            <w:tcW w:w="700" w:type="pct"/>
            <w:tcBorders>
              <w:top w:val="nil"/>
              <w:left w:val="nil"/>
              <w:bottom w:val="single" w:sz="4" w:space="0" w:color="auto"/>
              <w:right w:val="nil"/>
            </w:tcBorders>
            <w:vAlign w:val="bottom"/>
            <w:hideMark/>
          </w:tcPr>
          <w:p w14:paraId="45272D89" w14:textId="77777777" w:rsidR="00C44869" w:rsidRPr="00D46B6F" w:rsidRDefault="00C44869" w:rsidP="007B3453">
            <w:pPr>
              <w:jc w:val="center"/>
              <w:rPr>
                <w:b/>
                <w:bCs/>
                <w:sz w:val="20"/>
                <w:szCs w:val="20"/>
              </w:rPr>
            </w:pPr>
            <w:r w:rsidRPr="00D46B6F">
              <w:rPr>
                <w:b/>
                <w:bCs/>
                <w:sz w:val="20"/>
                <w:szCs w:val="20"/>
              </w:rPr>
              <w:t>Audited year ended 31 March 202</w:t>
            </w:r>
            <w:r>
              <w:rPr>
                <w:b/>
                <w:bCs/>
                <w:sz w:val="20"/>
                <w:szCs w:val="20"/>
              </w:rPr>
              <w:t>4</w:t>
            </w:r>
            <w:r w:rsidRPr="00D46B6F">
              <w:rPr>
                <w:b/>
                <w:bCs/>
                <w:sz w:val="20"/>
                <w:szCs w:val="20"/>
              </w:rPr>
              <w:t xml:space="preserve"> </w:t>
            </w:r>
            <w:r w:rsidRPr="00D46B6F">
              <w:rPr>
                <w:rFonts w:ascii="Calibri" w:hAnsi="Calibri" w:cs="Calibri"/>
                <w:b/>
                <w:bCs/>
                <w:sz w:val="20"/>
                <w:szCs w:val="20"/>
              </w:rPr>
              <w:t>£</w:t>
            </w:r>
          </w:p>
        </w:tc>
        <w:tc>
          <w:tcPr>
            <w:tcW w:w="467" w:type="pct"/>
            <w:tcBorders>
              <w:top w:val="nil"/>
              <w:left w:val="nil"/>
              <w:bottom w:val="nil"/>
              <w:right w:val="nil"/>
            </w:tcBorders>
            <w:noWrap/>
            <w:vAlign w:val="bottom"/>
            <w:hideMark/>
          </w:tcPr>
          <w:p w14:paraId="0B0ABCDC" w14:textId="77777777" w:rsidR="00C44869" w:rsidRPr="00D46B6F" w:rsidRDefault="00C44869" w:rsidP="007B3453">
            <w:pPr>
              <w:jc w:val="center"/>
              <w:rPr>
                <w:b/>
                <w:bCs/>
                <w:sz w:val="20"/>
                <w:szCs w:val="20"/>
              </w:rPr>
            </w:pPr>
          </w:p>
        </w:tc>
      </w:tr>
      <w:tr w:rsidR="00C44869" w:rsidRPr="00D46B6F" w14:paraId="4AD77148" w14:textId="77777777" w:rsidTr="007B3453">
        <w:trPr>
          <w:trHeight w:val="270"/>
        </w:trPr>
        <w:tc>
          <w:tcPr>
            <w:tcW w:w="2064" w:type="pct"/>
            <w:tcBorders>
              <w:top w:val="nil"/>
              <w:left w:val="nil"/>
              <w:bottom w:val="nil"/>
              <w:right w:val="nil"/>
            </w:tcBorders>
            <w:noWrap/>
            <w:vAlign w:val="bottom"/>
            <w:hideMark/>
          </w:tcPr>
          <w:p w14:paraId="1FAAA615" w14:textId="77777777" w:rsidR="00C44869" w:rsidRPr="00D46B6F" w:rsidRDefault="00C44869" w:rsidP="007B3453">
            <w:pPr>
              <w:rPr>
                <w:b/>
                <w:bCs/>
                <w:sz w:val="20"/>
                <w:szCs w:val="20"/>
              </w:rPr>
            </w:pPr>
            <w:r w:rsidRPr="00D46B6F">
              <w:rPr>
                <w:b/>
                <w:bCs/>
                <w:sz w:val="20"/>
                <w:szCs w:val="20"/>
              </w:rPr>
              <w:t>Non-Current Assets</w:t>
            </w:r>
          </w:p>
        </w:tc>
        <w:tc>
          <w:tcPr>
            <w:tcW w:w="129" w:type="pct"/>
            <w:tcBorders>
              <w:top w:val="nil"/>
              <w:left w:val="nil"/>
              <w:bottom w:val="nil"/>
              <w:right w:val="nil"/>
            </w:tcBorders>
            <w:noWrap/>
            <w:vAlign w:val="bottom"/>
            <w:hideMark/>
          </w:tcPr>
          <w:p w14:paraId="70B226BA" w14:textId="77777777" w:rsidR="00C44869" w:rsidRPr="00D46B6F" w:rsidRDefault="00C44869" w:rsidP="007B3453">
            <w:pPr>
              <w:rPr>
                <w:b/>
                <w:bCs/>
                <w:sz w:val="20"/>
                <w:szCs w:val="20"/>
              </w:rPr>
            </w:pPr>
          </w:p>
        </w:tc>
        <w:tc>
          <w:tcPr>
            <w:tcW w:w="687" w:type="pct"/>
            <w:tcBorders>
              <w:top w:val="nil"/>
              <w:left w:val="nil"/>
              <w:bottom w:val="nil"/>
              <w:right w:val="nil"/>
            </w:tcBorders>
            <w:noWrap/>
            <w:vAlign w:val="bottom"/>
            <w:hideMark/>
          </w:tcPr>
          <w:p w14:paraId="7D84A920" w14:textId="77777777" w:rsidR="00C44869" w:rsidRPr="00D46B6F" w:rsidRDefault="00C44869" w:rsidP="007B3453">
            <w:pPr>
              <w:rPr>
                <w:sz w:val="20"/>
                <w:szCs w:val="20"/>
              </w:rPr>
            </w:pPr>
          </w:p>
        </w:tc>
        <w:tc>
          <w:tcPr>
            <w:tcW w:w="129" w:type="pct"/>
            <w:tcBorders>
              <w:top w:val="nil"/>
              <w:left w:val="nil"/>
              <w:bottom w:val="nil"/>
              <w:right w:val="nil"/>
            </w:tcBorders>
            <w:noWrap/>
            <w:vAlign w:val="bottom"/>
            <w:hideMark/>
          </w:tcPr>
          <w:p w14:paraId="65591EB1" w14:textId="77777777" w:rsidR="00C44869" w:rsidRPr="00D46B6F" w:rsidRDefault="00C44869" w:rsidP="007B3453">
            <w:pPr>
              <w:rPr>
                <w:sz w:val="20"/>
                <w:szCs w:val="20"/>
              </w:rPr>
            </w:pPr>
          </w:p>
        </w:tc>
        <w:tc>
          <w:tcPr>
            <w:tcW w:w="693" w:type="pct"/>
            <w:tcBorders>
              <w:top w:val="nil"/>
              <w:left w:val="nil"/>
              <w:bottom w:val="nil"/>
              <w:right w:val="nil"/>
            </w:tcBorders>
            <w:noWrap/>
            <w:vAlign w:val="bottom"/>
            <w:hideMark/>
          </w:tcPr>
          <w:p w14:paraId="26FB6610" w14:textId="77777777" w:rsidR="00C44869" w:rsidRPr="00D46B6F" w:rsidRDefault="00C44869" w:rsidP="007B3453">
            <w:pPr>
              <w:rPr>
                <w:sz w:val="20"/>
                <w:szCs w:val="20"/>
              </w:rPr>
            </w:pPr>
          </w:p>
        </w:tc>
        <w:tc>
          <w:tcPr>
            <w:tcW w:w="129" w:type="pct"/>
            <w:tcBorders>
              <w:top w:val="nil"/>
              <w:left w:val="nil"/>
              <w:bottom w:val="nil"/>
              <w:right w:val="nil"/>
            </w:tcBorders>
            <w:noWrap/>
            <w:vAlign w:val="bottom"/>
            <w:hideMark/>
          </w:tcPr>
          <w:p w14:paraId="15872DA9" w14:textId="77777777" w:rsidR="00C44869" w:rsidRPr="00D46B6F" w:rsidRDefault="00C44869" w:rsidP="007B3453">
            <w:pPr>
              <w:rPr>
                <w:sz w:val="20"/>
                <w:szCs w:val="20"/>
              </w:rPr>
            </w:pPr>
          </w:p>
        </w:tc>
        <w:tc>
          <w:tcPr>
            <w:tcW w:w="700" w:type="pct"/>
            <w:tcBorders>
              <w:top w:val="nil"/>
              <w:left w:val="nil"/>
              <w:bottom w:val="nil"/>
              <w:right w:val="nil"/>
            </w:tcBorders>
            <w:noWrap/>
            <w:vAlign w:val="bottom"/>
            <w:hideMark/>
          </w:tcPr>
          <w:p w14:paraId="7DEF688F" w14:textId="77777777" w:rsidR="00C44869" w:rsidRPr="00D46B6F" w:rsidRDefault="00C44869" w:rsidP="007B3453">
            <w:pPr>
              <w:rPr>
                <w:sz w:val="20"/>
                <w:szCs w:val="20"/>
              </w:rPr>
            </w:pPr>
          </w:p>
        </w:tc>
        <w:tc>
          <w:tcPr>
            <w:tcW w:w="467" w:type="pct"/>
            <w:tcBorders>
              <w:top w:val="nil"/>
              <w:left w:val="nil"/>
              <w:bottom w:val="nil"/>
              <w:right w:val="nil"/>
            </w:tcBorders>
            <w:noWrap/>
            <w:vAlign w:val="bottom"/>
            <w:hideMark/>
          </w:tcPr>
          <w:p w14:paraId="648B30AE" w14:textId="77777777" w:rsidR="00C44869" w:rsidRPr="00D46B6F" w:rsidRDefault="00C44869" w:rsidP="007B3453">
            <w:pPr>
              <w:rPr>
                <w:sz w:val="20"/>
                <w:szCs w:val="20"/>
              </w:rPr>
            </w:pPr>
          </w:p>
        </w:tc>
      </w:tr>
      <w:tr w:rsidR="00C44869" w:rsidRPr="00D46B6F" w14:paraId="18A72463" w14:textId="77777777" w:rsidTr="007B3453">
        <w:trPr>
          <w:trHeight w:val="270"/>
        </w:trPr>
        <w:tc>
          <w:tcPr>
            <w:tcW w:w="2064" w:type="pct"/>
            <w:tcBorders>
              <w:top w:val="nil"/>
              <w:left w:val="nil"/>
              <w:bottom w:val="nil"/>
              <w:right w:val="nil"/>
            </w:tcBorders>
            <w:noWrap/>
            <w:vAlign w:val="bottom"/>
            <w:hideMark/>
          </w:tcPr>
          <w:p w14:paraId="4621AA7A" w14:textId="77777777" w:rsidR="00C44869" w:rsidRPr="00D46B6F" w:rsidRDefault="00C44869" w:rsidP="007B3453">
            <w:pPr>
              <w:ind w:firstLineChars="100" w:firstLine="200"/>
              <w:rPr>
                <w:sz w:val="20"/>
                <w:szCs w:val="20"/>
              </w:rPr>
            </w:pPr>
            <w:r w:rsidRPr="00D46B6F">
              <w:rPr>
                <w:sz w:val="20"/>
                <w:szCs w:val="20"/>
              </w:rPr>
              <w:t>Tangible assets</w:t>
            </w:r>
          </w:p>
        </w:tc>
        <w:tc>
          <w:tcPr>
            <w:tcW w:w="129" w:type="pct"/>
            <w:tcBorders>
              <w:top w:val="nil"/>
              <w:left w:val="nil"/>
              <w:bottom w:val="nil"/>
              <w:right w:val="nil"/>
            </w:tcBorders>
            <w:noWrap/>
            <w:vAlign w:val="bottom"/>
            <w:hideMark/>
          </w:tcPr>
          <w:p w14:paraId="1495E390"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5547CB9A" w14:textId="77777777" w:rsidR="00C44869" w:rsidRPr="00D46B6F" w:rsidRDefault="00C44869" w:rsidP="007B3453">
            <w:pPr>
              <w:jc w:val="right"/>
              <w:rPr>
                <w:b/>
                <w:bCs/>
                <w:sz w:val="20"/>
                <w:szCs w:val="20"/>
              </w:rPr>
            </w:pPr>
            <w:r>
              <w:rPr>
                <w:b/>
                <w:bCs/>
                <w:sz w:val="20"/>
                <w:szCs w:val="20"/>
              </w:rPr>
              <w:t>-</w:t>
            </w:r>
          </w:p>
        </w:tc>
        <w:tc>
          <w:tcPr>
            <w:tcW w:w="129" w:type="pct"/>
            <w:tcBorders>
              <w:top w:val="nil"/>
              <w:left w:val="nil"/>
              <w:bottom w:val="nil"/>
              <w:right w:val="nil"/>
            </w:tcBorders>
            <w:noWrap/>
            <w:vAlign w:val="bottom"/>
            <w:hideMark/>
          </w:tcPr>
          <w:p w14:paraId="3E5AA6F1"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36C336C8" w14:textId="77777777" w:rsidR="00C44869" w:rsidRPr="00355DF1" w:rsidRDefault="00C44869" w:rsidP="007B3453">
            <w:pPr>
              <w:jc w:val="right"/>
              <w:rPr>
                <w:sz w:val="20"/>
                <w:szCs w:val="20"/>
              </w:rPr>
            </w:pPr>
            <w:r w:rsidRPr="00355DF1">
              <w:rPr>
                <w:sz w:val="20"/>
                <w:szCs w:val="20"/>
              </w:rPr>
              <w:t xml:space="preserve">           36,510 </w:t>
            </w:r>
          </w:p>
        </w:tc>
        <w:tc>
          <w:tcPr>
            <w:tcW w:w="129" w:type="pct"/>
            <w:tcBorders>
              <w:top w:val="nil"/>
              <w:left w:val="nil"/>
              <w:bottom w:val="nil"/>
              <w:right w:val="nil"/>
            </w:tcBorders>
            <w:noWrap/>
            <w:vAlign w:val="bottom"/>
            <w:hideMark/>
          </w:tcPr>
          <w:p w14:paraId="7A195837"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395A33B6" w14:textId="77777777" w:rsidR="00C44869" w:rsidRPr="00D46B6F" w:rsidRDefault="00C44869" w:rsidP="007B3453">
            <w:pPr>
              <w:jc w:val="right"/>
              <w:rPr>
                <w:sz w:val="20"/>
                <w:szCs w:val="20"/>
              </w:rPr>
            </w:pPr>
            <w:r w:rsidRPr="00D46B6F">
              <w:rPr>
                <w:sz w:val="20"/>
                <w:szCs w:val="20"/>
              </w:rPr>
              <w:t xml:space="preserve">           </w:t>
            </w:r>
            <w:r>
              <w:rPr>
                <w:sz w:val="20"/>
                <w:szCs w:val="20"/>
              </w:rPr>
              <w:t>28,780</w:t>
            </w:r>
            <w:r w:rsidRPr="00D46B6F">
              <w:rPr>
                <w:sz w:val="20"/>
                <w:szCs w:val="20"/>
              </w:rPr>
              <w:t xml:space="preserve"> </w:t>
            </w:r>
          </w:p>
        </w:tc>
        <w:tc>
          <w:tcPr>
            <w:tcW w:w="467" w:type="pct"/>
            <w:tcBorders>
              <w:top w:val="nil"/>
              <w:left w:val="nil"/>
              <w:bottom w:val="nil"/>
              <w:right w:val="nil"/>
            </w:tcBorders>
            <w:noWrap/>
            <w:vAlign w:val="bottom"/>
            <w:hideMark/>
          </w:tcPr>
          <w:p w14:paraId="547E9F03" w14:textId="77777777" w:rsidR="00C44869" w:rsidRPr="00D46B6F" w:rsidRDefault="00C44869" w:rsidP="007B3453">
            <w:pPr>
              <w:rPr>
                <w:sz w:val="20"/>
                <w:szCs w:val="20"/>
              </w:rPr>
            </w:pPr>
          </w:p>
        </w:tc>
      </w:tr>
      <w:tr w:rsidR="00C44869" w:rsidRPr="00D46B6F" w14:paraId="4645852D" w14:textId="77777777" w:rsidTr="007B3453">
        <w:trPr>
          <w:trHeight w:val="270"/>
        </w:trPr>
        <w:tc>
          <w:tcPr>
            <w:tcW w:w="2064" w:type="pct"/>
            <w:tcBorders>
              <w:top w:val="nil"/>
              <w:left w:val="nil"/>
              <w:bottom w:val="nil"/>
              <w:right w:val="nil"/>
            </w:tcBorders>
            <w:noWrap/>
            <w:vAlign w:val="bottom"/>
            <w:hideMark/>
          </w:tcPr>
          <w:p w14:paraId="5F2BABD3" w14:textId="77777777" w:rsidR="00C44869" w:rsidRPr="00D46B6F" w:rsidRDefault="00C44869" w:rsidP="007B3453">
            <w:pPr>
              <w:ind w:firstLineChars="100" w:firstLine="200"/>
              <w:rPr>
                <w:sz w:val="20"/>
                <w:szCs w:val="20"/>
              </w:rPr>
            </w:pPr>
            <w:r w:rsidRPr="00D46B6F">
              <w:rPr>
                <w:sz w:val="20"/>
                <w:szCs w:val="20"/>
              </w:rPr>
              <w:t>Right of use lease asset</w:t>
            </w:r>
          </w:p>
        </w:tc>
        <w:tc>
          <w:tcPr>
            <w:tcW w:w="129" w:type="pct"/>
            <w:tcBorders>
              <w:top w:val="nil"/>
              <w:left w:val="nil"/>
              <w:bottom w:val="nil"/>
              <w:right w:val="nil"/>
            </w:tcBorders>
            <w:noWrap/>
            <w:vAlign w:val="bottom"/>
            <w:hideMark/>
          </w:tcPr>
          <w:p w14:paraId="296BB0E5"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236E029B" w14:textId="77777777" w:rsidR="00C44869" w:rsidRPr="00D46B6F" w:rsidRDefault="00C44869" w:rsidP="007B3453">
            <w:pPr>
              <w:jc w:val="right"/>
              <w:rPr>
                <w:b/>
                <w:bCs/>
                <w:sz w:val="20"/>
                <w:szCs w:val="20"/>
              </w:rPr>
            </w:pPr>
            <w:r>
              <w:rPr>
                <w:b/>
                <w:bCs/>
                <w:sz w:val="20"/>
                <w:szCs w:val="20"/>
              </w:rPr>
              <w:t>81,141</w:t>
            </w:r>
          </w:p>
        </w:tc>
        <w:tc>
          <w:tcPr>
            <w:tcW w:w="129" w:type="pct"/>
            <w:tcBorders>
              <w:top w:val="nil"/>
              <w:left w:val="nil"/>
              <w:bottom w:val="nil"/>
              <w:right w:val="nil"/>
            </w:tcBorders>
            <w:noWrap/>
            <w:vAlign w:val="bottom"/>
            <w:hideMark/>
          </w:tcPr>
          <w:p w14:paraId="4E66BDBD"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5689D5CC" w14:textId="77777777" w:rsidR="00C44869" w:rsidRPr="00355DF1" w:rsidRDefault="00C44869" w:rsidP="007B3453">
            <w:pPr>
              <w:jc w:val="right"/>
              <w:rPr>
                <w:sz w:val="20"/>
                <w:szCs w:val="20"/>
              </w:rPr>
            </w:pPr>
            <w:r w:rsidRPr="00355DF1">
              <w:rPr>
                <w:sz w:val="20"/>
                <w:szCs w:val="20"/>
              </w:rPr>
              <w:t xml:space="preserve">244,879 </w:t>
            </w:r>
          </w:p>
        </w:tc>
        <w:tc>
          <w:tcPr>
            <w:tcW w:w="129" w:type="pct"/>
            <w:tcBorders>
              <w:top w:val="nil"/>
              <w:left w:val="nil"/>
              <w:bottom w:val="nil"/>
              <w:right w:val="nil"/>
            </w:tcBorders>
            <w:noWrap/>
            <w:vAlign w:val="bottom"/>
            <w:hideMark/>
          </w:tcPr>
          <w:p w14:paraId="00DBE0A9"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0E4655F1" w14:textId="77777777" w:rsidR="00C44869" w:rsidRPr="00D46B6F" w:rsidRDefault="00C44869" w:rsidP="007B3453">
            <w:pPr>
              <w:jc w:val="right"/>
              <w:rPr>
                <w:sz w:val="20"/>
                <w:szCs w:val="20"/>
              </w:rPr>
            </w:pPr>
            <w:r w:rsidRPr="00D46B6F">
              <w:rPr>
                <w:sz w:val="20"/>
                <w:szCs w:val="20"/>
              </w:rPr>
              <w:t xml:space="preserve">         </w:t>
            </w:r>
            <w:r>
              <w:rPr>
                <w:sz w:val="20"/>
                <w:szCs w:val="20"/>
              </w:rPr>
              <w:t>178,118</w:t>
            </w:r>
            <w:r w:rsidRPr="00D46B6F">
              <w:rPr>
                <w:sz w:val="20"/>
                <w:szCs w:val="20"/>
              </w:rPr>
              <w:t xml:space="preserve"> </w:t>
            </w:r>
          </w:p>
        </w:tc>
        <w:tc>
          <w:tcPr>
            <w:tcW w:w="467" w:type="pct"/>
            <w:tcBorders>
              <w:top w:val="nil"/>
              <w:left w:val="nil"/>
              <w:bottom w:val="nil"/>
              <w:right w:val="nil"/>
            </w:tcBorders>
            <w:noWrap/>
            <w:vAlign w:val="bottom"/>
            <w:hideMark/>
          </w:tcPr>
          <w:p w14:paraId="3B5BA7EA" w14:textId="77777777" w:rsidR="00C44869" w:rsidRPr="00D46B6F" w:rsidRDefault="00C44869" w:rsidP="007B3453">
            <w:pPr>
              <w:rPr>
                <w:sz w:val="20"/>
                <w:szCs w:val="20"/>
              </w:rPr>
            </w:pPr>
          </w:p>
        </w:tc>
      </w:tr>
      <w:tr w:rsidR="00C44869" w:rsidRPr="00D46B6F" w14:paraId="01710D01" w14:textId="77777777" w:rsidTr="007B3453">
        <w:trPr>
          <w:trHeight w:val="270"/>
        </w:trPr>
        <w:tc>
          <w:tcPr>
            <w:tcW w:w="2064" w:type="pct"/>
            <w:tcBorders>
              <w:top w:val="nil"/>
              <w:left w:val="nil"/>
              <w:bottom w:val="nil"/>
              <w:right w:val="nil"/>
            </w:tcBorders>
            <w:noWrap/>
            <w:vAlign w:val="bottom"/>
            <w:hideMark/>
          </w:tcPr>
          <w:p w14:paraId="7412E450" w14:textId="77777777" w:rsidR="00C44869" w:rsidRPr="00D46B6F" w:rsidRDefault="00C44869" w:rsidP="007B3453">
            <w:pPr>
              <w:ind w:firstLineChars="100" w:firstLine="200"/>
              <w:rPr>
                <w:sz w:val="20"/>
                <w:szCs w:val="20"/>
              </w:rPr>
            </w:pPr>
            <w:r w:rsidRPr="00D46B6F">
              <w:rPr>
                <w:sz w:val="20"/>
                <w:szCs w:val="20"/>
              </w:rPr>
              <w:t>Intangible assets</w:t>
            </w:r>
          </w:p>
        </w:tc>
        <w:tc>
          <w:tcPr>
            <w:tcW w:w="129" w:type="pct"/>
            <w:tcBorders>
              <w:top w:val="nil"/>
              <w:left w:val="nil"/>
              <w:bottom w:val="nil"/>
              <w:right w:val="nil"/>
            </w:tcBorders>
            <w:noWrap/>
            <w:vAlign w:val="bottom"/>
            <w:hideMark/>
          </w:tcPr>
          <w:p w14:paraId="13CDD085"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59C530BE" w14:textId="77777777" w:rsidR="00C44869" w:rsidRPr="00D46B6F" w:rsidRDefault="00C44869" w:rsidP="007B3453">
            <w:pPr>
              <w:jc w:val="right"/>
              <w:rPr>
                <w:b/>
                <w:bCs/>
                <w:sz w:val="20"/>
                <w:szCs w:val="20"/>
              </w:rPr>
            </w:pPr>
            <w:r>
              <w:rPr>
                <w:b/>
                <w:bCs/>
                <w:sz w:val="20"/>
                <w:szCs w:val="20"/>
              </w:rPr>
              <w:t>1,109,737</w:t>
            </w:r>
          </w:p>
        </w:tc>
        <w:tc>
          <w:tcPr>
            <w:tcW w:w="129" w:type="pct"/>
            <w:tcBorders>
              <w:top w:val="nil"/>
              <w:left w:val="nil"/>
              <w:bottom w:val="nil"/>
              <w:right w:val="nil"/>
            </w:tcBorders>
            <w:noWrap/>
            <w:vAlign w:val="bottom"/>
            <w:hideMark/>
          </w:tcPr>
          <w:p w14:paraId="7CEBCC3A"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7D06B9CA" w14:textId="77777777" w:rsidR="00C44869" w:rsidRPr="00355DF1" w:rsidRDefault="00C44869" w:rsidP="007B3453">
            <w:pPr>
              <w:jc w:val="right"/>
              <w:rPr>
                <w:sz w:val="20"/>
                <w:szCs w:val="20"/>
              </w:rPr>
            </w:pPr>
            <w:r w:rsidRPr="00355DF1">
              <w:rPr>
                <w:sz w:val="20"/>
                <w:szCs w:val="20"/>
              </w:rPr>
              <w:t xml:space="preserve">1,201,062 </w:t>
            </w:r>
          </w:p>
        </w:tc>
        <w:tc>
          <w:tcPr>
            <w:tcW w:w="129" w:type="pct"/>
            <w:tcBorders>
              <w:top w:val="nil"/>
              <w:left w:val="nil"/>
              <w:bottom w:val="nil"/>
              <w:right w:val="nil"/>
            </w:tcBorders>
            <w:noWrap/>
            <w:vAlign w:val="bottom"/>
            <w:hideMark/>
          </w:tcPr>
          <w:p w14:paraId="061269CE"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0B71BB36" w14:textId="77777777" w:rsidR="00C44869" w:rsidRPr="00D46B6F" w:rsidRDefault="00C44869" w:rsidP="007B3453">
            <w:pPr>
              <w:jc w:val="right"/>
              <w:rPr>
                <w:sz w:val="20"/>
                <w:szCs w:val="20"/>
              </w:rPr>
            </w:pPr>
            <w:r w:rsidRPr="00D46B6F">
              <w:rPr>
                <w:sz w:val="20"/>
                <w:szCs w:val="20"/>
              </w:rPr>
              <w:t xml:space="preserve">       </w:t>
            </w:r>
            <w:r>
              <w:rPr>
                <w:sz w:val="20"/>
                <w:szCs w:val="20"/>
              </w:rPr>
              <w:t>1,135,947</w:t>
            </w:r>
            <w:r w:rsidRPr="00D46B6F">
              <w:rPr>
                <w:sz w:val="20"/>
                <w:szCs w:val="20"/>
              </w:rPr>
              <w:t xml:space="preserve"> </w:t>
            </w:r>
          </w:p>
        </w:tc>
        <w:tc>
          <w:tcPr>
            <w:tcW w:w="467" w:type="pct"/>
            <w:tcBorders>
              <w:top w:val="nil"/>
              <w:left w:val="nil"/>
              <w:bottom w:val="nil"/>
              <w:right w:val="nil"/>
            </w:tcBorders>
            <w:noWrap/>
            <w:vAlign w:val="bottom"/>
            <w:hideMark/>
          </w:tcPr>
          <w:p w14:paraId="2527C303" w14:textId="77777777" w:rsidR="00C44869" w:rsidRPr="00D46B6F" w:rsidRDefault="00C44869" w:rsidP="007B3453">
            <w:pPr>
              <w:rPr>
                <w:sz w:val="20"/>
                <w:szCs w:val="20"/>
              </w:rPr>
            </w:pPr>
          </w:p>
        </w:tc>
      </w:tr>
      <w:tr w:rsidR="00C44869" w:rsidRPr="00D46B6F" w14:paraId="3FD06A42" w14:textId="77777777" w:rsidTr="007B3453">
        <w:trPr>
          <w:trHeight w:val="270"/>
        </w:trPr>
        <w:tc>
          <w:tcPr>
            <w:tcW w:w="2064" w:type="pct"/>
            <w:tcBorders>
              <w:top w:val="nil"/>
              <w:left w:val="nil"/>
              <w:bottom w:val="nil"/>
              <w:right w:val="nil"/>
            </w:tcBorders>
            <w:noWrap/>
            <w:vAlign w:val="bottom"/>
            <w:hideMark/>
          </w:tcPr>
          <w:p w14:paraId="690C9AB4" w14:textId="77777777" w:rsidR="00C44869" w:rsidRPr="00D46B6F" w:rsidRDefault="00C44869" w:rsidP="007B3453">
            <w:pPr>
              <w:rPr>
                <w:b/>
                <w:bCs/>
                <w:sz w:val="20"/>
                <w:szCs w:val="20"/>
              </w:rPr>
            </w:pPr>
            <w:r w:rsidRPr="00D46B6F">
              <w:rPr>
                <w:b/>
                <w:bCs/>
                <w:sz w:val="20"/>
                <w:szCs w:val="20"/>
              </w:rPr>
              <w:t xml:space="preserve">   Total Noncurrent Assets</w:t>
            </w:r>
          </w:p>
        </w:tc>
        <w:tc>
          <w:tcPr>
            <w:tcW w:w="129" w:type="pct"/>
            <w:tcBorders>
              <w:top w:val="nil"/>
              <w:left w:val="nil"/>
              <w:bottom w:val="nil"/>
              <w:right w:val="nil"/>
            </w:tcBorders>
            <w:noWrap/>
            <w:vAlign w:val="bottom"/>
            <w:hideMark/>
          </w:tcPr>
          <w:p w14:paraId="2397E634" w14:textId="77777777" w:rsidR="00C44869" w:rsidRPr="00D46B6F" w:rsidRDefault="00C44869" w:rsidP="007B3453">
            <w:pPr>
              <w:rPr>
                <w:b/>
                <w:bCs/>
                <w:sz w:val="20"/>
                <w:szCs w:val="20"/>
              </w:rPr>
            </w:pPr>
          </w:p>
        </w:tc>
        <w:tc>
          <w:tcPr>
            <w:tcW w:w="687" w:type="pct"/>
            <w:tcBorders>
              <w:top w:val="single" w:sz="4" w:space="0" w:color="auto"/>
              <w:left w:val="nil"/>
              <w:bottom w:val="nil"/>
              <w:right w:val="nil"/>
            </w:tcBorders>
            <w:noWrap/>
            <w:vAlign w:val="bottom"/>
          </w:tcPr>
          <w:p w14:paraId="15670CAB" w14:textId="77777777" w:rsidR="00C44869" w:rsidRPr="00D46B6F" w:rsidRDefault="00C44869" w:rsidP="007B3453">
            <w:pPr>
              <w:jc w:val="right"/>
              <w:rPr>
                <w:b/>
                <w:bCs/>
                <w:sz w:val="20"/>
                <w:szCs w:val="20"/>
              </w:rPr>
            </w:pPr>
            <w:r>
              <w:rPr>
                <w:b/>
                <w:bCs/>
                <w:sz w:val="20"/>
                <w:szCs w:val="20"/>
              </w:rPr>
              <w:t>1,190,878</w:t>
            </w:r>
          </w:p>
        </w:tc>
        <w:tc>
          <w:tcPr>
            <w:tcW w:w="129" w:type="pct"/>
            <w:tcBorders>
              <w:top w:val="nil"/>
              <w:left w:val="nil"/>
              <w:bottom w:val="nil"/>
              <w:right w:val="nil"/>
            </w:tcBorders>
            <w:noWrap/>
            <w:vAlign w:val="bottom"/>
            <w:hideMark/>
          </w:tcPr>
          <w:p w14:paraId="2D5DC34E" w14:textId="77777777" w:rsidR="00C44869" w:rsidRPr="00D46B6F"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011A503F" w14:textId="77777777" w:rsidR="00C44869" w:rsidRPr="00355DF1" w:rsidRDefault="00C44869" w:rsidP="007B3453">
            <w:pPr>
              <w:jc w:val="right"/>
              <w:rPr>
                <w:sz w:val="20"/>
                <w:szCs w:val="20"/>
              </w:rPr>
            </w:pPr>
            <w:r w:rsidRPr="00355DF1">
              <w:rPr>
                <w:sz w:val="20"/>
                <w:szCs w:val="20"/>
              </w:rPr>
              <w:t xml:space="preserve">       1,482,451 </w:t>
            </w:r>
          </w:p>
        </w:tc>
        <w:tc>
          <w:tcPr>
            <w:tcW w:w="129" w:type="pct"/>
            <w:tcBorders>
              <w:top w:val="nil"/>
              <w:left w:val="nil"/>
              <w:bottom w:val="nil"/>
              <w:right w:val="nil"/>
            </w:tcBorders>
            <w:noWrap/>
            <w:vAlign w:val="bottom"/>
            <w:hideMark/>
          </w:tcPr>
          <w:p w14:paraId="69852A3F" w14:textId="77777777" w:rsidR="00C44869" w:rsidRPr="00D46B6F" w:rsidRDefault="00C44869" w:rsidP="007B3453">
            <w:pPr>
              <w:jc w:val="right"/>
              <w:rPr>
                <w:sz w:val="20"/>
                <w:szCs w:val="20"/>
              </w:rPr>
            </w:pPr>
          </w:p>
        </w:tc>
        <w:tc>
          <w:tcPr>
            <w:tcW w:w="700" w:type="pct"/>
            <w:tcBorders>
              <w:top w:val="single" w:sz="4" w:space="0" w:color="auto"/>
              <w:left w:val="nil"/>
              <w:bottom w:val="nil"/>
              <w:right w:val="nil"/>
            </w:tcBorders>
            <w:noWrap/>
            <w:vAlign w:val="bottom"/>
            <w:hideMark/>
          </w:tcPr>
          <w:p w14:paraId="34B296EB" w14:textId="77777777" w:rsidR="00C44869" w:rsidRPr="00D46B6F" w:rsidRDefault="00C44869" w:rsidP="007B3453">
            <w:pPr>
              <w:jc w:val="right"/>
              <w:rPr>
                <w:sz w:val="20"/>
                <w:szCs w:val="20"/>
              </w:rPr>
            </w:pPr>
            <w:r w:rsidRPr="00D46B6F">
              <w:rPr>
                <w:sz w:val="20"/>
                <w:szCs w:val="20"/>
              </w:rPr>
              <w:t xml:space="preserve">       1,</w:t>
            </w:r>
            <w:r>
              <w:rPr>
                <w:sz w:val="20"/>
                <w:szCs w:val="20"/>
              </w:rPr>
              <w:t>342,395</w:t>
            </w:r>
            <w:r w:rsidRPr="00D46B6F">
              <w:rPr>
                <w:sz w:val="20"/>
                <w:szCs w:val="20"/>
              </w:rPr>
              <w:t xml:space="preserve"> </w:t>
            </w:r>
          </w:p>
        </w:tc>
        <w:tc>
          <w:tcPr>
            <w:tcW w:w="467" w:type="pct"/>
            <w:tcBorders>
              <w:top w:val="nil"/>
              <w:left w:val="nil"/>
              <w:bottom w:val="nil"/>
              <w:right w:val="nil"/>
            </w:tcBorders>
            <w:noWrap/>
            <w:vAlign w:val="bottom"/>
            <w:hideMark/>
          </w:tcPr>
          <w:p w14:paraId="4254871E" w14:textId="77777777" w:rsidR="00C44869" w:rsidRPr="00D46B6F" w:rsidRDefault="00C44869" w:rsidP="007B3453">
            <w:pPr>
              <w:rPr>
                <w:sz w:val="20"/>
                <w:szCs w:val="20"/>
              </w:rPr>
            </w:pPr>
          </w:p>
        </w:tc>
      </w:tr>
      <w:tr w:rsidR="00C44869" w:rsidRPr="00D46B6F" w14:paraId="6DAB9D31" w14:textId="77777777" w:rsidTr="007B3453">
        <w:trPr>
          <w:trHeight w:val="270"/>
        </w:trPr>
        <w:tc>
          <w:tcPr>
            <w:tcW w:w="2064" w:type="pct"/>
            <w:tcBorders>
              <w:top w:val="nil"/>
              <w:left w:val="nil"/>
              <w:bottom w:val="nil"/>
              <w:right w:val="nil"/>
            </w:tcBorders>
            <w:noWrap/>
            <w:vAlign w:val="bottom"/>
            <w:hideMark/>
          </w:tcPr>
          <w:p w14:paraId="39893015" w14:textId="77777777" w:rsidR="00C44869" w:rsidRPr="00D46B6F" w:rsidRDefault="00C44869" w:rsidP="007B3453">
            <w:pPr>
              <w:rPr>
                <w:b/>
                <w:bCs/>
                <w:sz w:val="20"/>
                <w:szCs w:val="20"/>
              </w:rPr>
            </w:pPr>
            <w:r w:rsidRPr="00D46B6F">
              <w:rPr>
                <w:b/>
                <w:bCs/>
                <w:sz w:val="20"/>
                <w:szCs w:val="20"/>
              </w:rPr>
              <w:t>Current Assets</w:t>
            </w:r>
          </w:p>
        </w:tc>
        <w:tc>
          <w:tcPr>
            <w:tcW w:w="129" w:type="pct"/>
            <w:tcBorders>
              <w:top w:val="nil"/>
              <w:left w:val="nil"/>
              <w:bottom w:val="nil"/>
              <w:right w:val="nil"/>
            </w:tcBorders>
            <w:noWrap/>
            <w:vAlign w:val="bottom"/>
            <w:hideMark/>
          </w:tcPr>
          <w:p w14:paraId="5F0661C1" w14:textId="77777777" w:rsidR="00C44869" w:rsidRPr="00D46B6F" w:rsidRDefault="00C44869" w:rsidP="007B3453">
            <w:pPr>
              <w:rPr>
                <w:b/>
                <w:bCs/>
                <w:sz w:val="20"/>
                <w:szCs w:val="20"/>
              </w:rPr>
            </w:pPr>
          </w:p>
        </w:tc>
        <w:tc>
          <w:tcPr>
            <w:tcW w:w="687" w:type="pct"/>
            <w:tcBorders>
              <w:top w:val="nil"/>
              <w:left w:val="nil"/>
              <w:bottom w:val="nil"/>
              <w:right w:val="nil"/>
            </w:tcBorders>
            <w:noWrap/>
            <w:vAlign w:val="bottom"/>
          </w:tcPr>
          <w:p w14:paraId="12E117EF" w14:textId="77777777" w:rsidR="00C44869" w:rsidRPr="00D46B6F" w:rsidRDefault="00C44869" w:rsidP="007B3453">
            <w:pPr>
              <w:jc w:val="right"/>
              <w:rPr>
                <w:sz w:val="20"/>
                <w:szCs w:val="20"/>
              </w:rPr>
            </w:pPr>
          </w:p>
        </w:tc>
        <w:tc>
          <w:tcPr>
            <w:tcW w:w="129" w:type="pct"/>
            <w:tcBorders>
              <w:top w:val="nil"/>
              <w:left w:val="nil"/>
              <w:bottom w:val="nil"/>
              <w:right w:val="nil"/>
            </w:tcBorders>
            <w:noWrap/>
            <w:vAlign w:val="bottom"/>
            <w:hideMark/>
          </w:tcPr>
          <w:p w14:paraId="605FF819" w14:textId="77777777" w:rsidR="00C44869" w:rsidRPr="00D46B6F" w:rsidRDefault="00C44869" w:rsidP="007B3453">
            <w:pPr>
              <w:jc w:val="right"/>
              <w:rPr>
                <w:sz w:val="20"/>
                <w:szCs w:val="20"/>
              </w:rPr>
            </w:pPr>
          </w:p>
        </w:tc>
        <w:tc>
          <w:tcPr>
            <w:tcW w:w="693" w:type="pct"/>
            <w:tcBorders>
              <w:top w:val="nil"/>
              <w:left w:val="nil"/>
              <w:bottom w:val="nil"/>
              <w:right w:val="nil"/>
            </w:tcBorders>
            <w:noWrap/>
            <w:vAlign w:val="bottom"/>
            <w:hideMark/>
          </w:tcPr>
          <w:p w14:paraId="5CBDD3D6" w14:textId="77777777" w:rsidR="00C44869" w:rsidRPr="00355DF1" w:rsidRDefault="00C44869" w:rsidP="007B3453">
            <w:pPr>
              <w:jc w:val="right"/>
              <w:rPr>
                <w:sz w:val="20"/>
                <w:szCs w:val="20"/>
              </w:rPr>
            </w:pPr>
          </w:p>
        </w:tc>
        <w:tc>
          <w:tcPr>
            <w:tcW w:w="129" w:type="pct"/>
            <w:tcBorders>
              <w:top w:val="nil"/>
              <w:left w:val="nil"/>
              <w:bottom w:val="nil"/>
              <w:right w:val="nil"/>
            </w:tcBorders>
            <w:noWrap/>
            <w:vAlign w:val="bottom"/>
            <w:hideMark/>
          </w:tcPr>
          <w:p w14:paraId="7974A323"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0AA37339" w14:textId="77777777" w:rsidR="00C44869" w:rsidRPr="00D46B6F" w:rsidRDefault="00C44869" w:rsidP="007B3453">
            <w:pPr>
              <w:jc w:val="right"/>
              <w:rPr>
                <w:sz w:val="20"/>
                <w:szCs w:val="20"/>
              </w:rPr>
            </w:pPr>
          </w:p>
        </w:tc>
        <w:tc>
          <w:tcPr>
            <w:tcW w:w="467" w:type="pct"/>
            <w:tcBorders>
              <w:top w:val="nil"/>
              <w:left w:val="nil"/>
              <w:bottom w:val="nil"/>
              <w:right w:val="nil"/>
            </w:tcBorders>
            <w:noWrap/>
            <w:vAlign w:val="bottom"/>
            <w:hideMark/>
          </w:tcPr>
          <w:p w14:paraId="3B880EC6" w14:textId="77777777" w:rsidR="00C44869" w:rsidRPr="00D46B6F" w:rsidRDefault="00C44869" w:rsidP="007B3453">
            <w:pPr>
              <w:rPr>
                <w:sz w:val="20"/>
                <w:szCs w:val="20"/>
              </w:rPr>
            </w:pPr>
          </w:p>
        </w:tc>
      </w:tr>
      <w:tr w:rsidR="00C44869" w:rsidRPr="00D46B6F" w14:paraId="745E462D" w14:textId="77777777" w:rsidTr="007B3453">
        <w:trPr>
          <w:trHeight w:val="270"/>
        </w:trPr>
        <w:tc>
          <w:tcPr>
            <w:tcW w:w="2064" w:type="pct"/>
            <w:tcBorders>
              <w:top w:val="nil"/>
              <w:left w:val="nil"/>
              <w:bottom w:val="nil"/>
              <w:right w:val="nil"/>
            </w:tcBorders>
            <w:noWrap/>
            <w:vAlign w:val="bottom"/>
            <w:hideMark/>
          </w:tcPr>
          <w:p w14:paraId="6BBA43C7" w14:textId="77777777" w:rsidR="00C44869" w:rsidRPr="00D46B6F" w:rsidRDefault="00C44869" w:rsidP="007B3453">
            <w:pPr>
              <w:ind w:firstLineChars="100" w:firstLine="200"/>
              <w:rPr>
                <w:sz w:val="20"/>
                <w:szCs w:val="20"/>
              </w:rPr>
            </w:pPr>
            <w:r w:rsidRPr="00D46B6F">
              <w:rPr>
                <w:sz w:val="20"/>
                <w:szCs w:val="20"/>
              </w:rPr>
              <w:t>Inventories, net</w:t>
            </w:r>
            <w:r>
              <w:rPr>
                <w:sz w:val="20"/>
                <w:szCs w:val="20"/>
              </w:rPr>
              <w:t xml:space="preserve"> of provisions</w:t>
            </w:r>
          </w:p>
        </w:tc>
        <w:tc>
          <w:tcPr>
            <w:tcW w:w="129" w:type="pct"/>
            <w:tcBorders>
              <w:top w:val="nil"/>
              <w:left w:val="nil"/>
              <w:bottom w:val="nil"/>
              <w:right w:val="nil"/>
            </w:tcBorders>
            <w:noWrap/>
            <w:vAlign w:val="bottom"/>
            <w:hideMark/>
          </w:tcPr>
          <w:p w14:paraId="63C7278C"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6A45023E" w14:textId="77777777" w:rsidR="00C44869" w:rsidRPr="00D46B6F" w:rsidRDefault="00C44869" w:rsidP="007B3453">
            <w:pPr>
              <w:jc w:val="right"/>
              <w:rPr>
                <w:b/>
                <w:bCs/>
                <w:sz w:val="20"/>
                <w:szCs w:val="20"/>
              </w:rPr>
            </w:pPr>
            <w:r>
              <w:rPr>
                <w:b/>
                <w:bCs/>
                <w:sz w:val="20"/>
                <w:szCs w:val="20"/>
              </w:rPr>
              <w:t>83,503</w:t>
            </w:r>
          </w:p>
        </w:tc>
        <w:tc>
          <w:tcPr>
            <w:tcW w:w="129" w:type="pct"/>
            <w:tcBorders>
              <w:top w:val="nil"/>
              <w:left w:val="nil"/>
              <w:bottom w:val="nil"/>
              <w:right w:val="nil"/>
            </w:tcBorders>
            <w:noWrap/>
            <w:vAlign w:val="bottom"/>
            <w:hideMark/>
          </w:tcPr>
          <w:p w14:paraId="7474034D"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21AF87B4" w14:textId="77777777" w:rsidR="00C44869" w:rsidRPr="00355DF1" w:rsidRDefault="00C44869" w:rsidP="007B3453">
            <w:pPr>
              <w:jc w:val="right"/>
              <w:rPr>
                <w:sz w:val="20"/>
                <w:szCs w:val="20"/>
              </w:rPr>
            </w:pPr>
            <w:r w:rsidRPr="00355DF1">
              <w:rPr>
                <w:sz w:val="20"/>
                <w:szCs w:val="20"/>
              </w:rPr>
              <w:t xml:space="preserve">622,197 </w:t>
            </w:r>
          </w:p>
        </w:tc>
        <w:tc>
          <w:tcPr>
            <w:tcW w:w="129" w:type="pct"/>
            <w:tcBorders>
              <w:top w:val="nil"/>
              <w:left w:val="nil"/>
              <w:bottom w:val="nil"/>
              <w:right w:val="nil"/>
            </w:tcBorders>
            <w:noWrap/>
            <w:vAlign w:val="bottom"/>
            <w:hideMark/>
          </w:tcPr>
          <w:p w14:paraId="65F5B910"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1EC98F41" w14:textId="77777777" w:rsidR="00C44869" w:rsidRPr="00D46B6F" w:rsidRDefault="00C44869" w:rsidP="007B3453">
            <w:pPr>
              <w:jc w:val="right"/>
              <w:rPr>
                <w:sz w:val="20"/>
                <w:szCs w:val="20"/>
              </w:rPr>
            </w:pPr>
            <w:r w:rsidRPr="00D46B6F">
              <w:rPr>
                <w:sz w:val="20"/>
                <w:szCs w:val="20"/>
              </w:rPr>
              <w:t xml:space="preserve">         </w:t>
            </w:r>
            <w:r>
              <w:rPr>
                <w:sz w:val="20"/>
                <w:szCs w:val="20"/>
              </w:rPr>
              <w:t>139,838</w:t>
            </w:r>
            <w:r w:rsidRPr="00D46B6F">
              <w:rPr>
                <w:sz w:val="20"/>
                <w:szCs w:val="20"/>
              </w:rPr>
              <w:t xml:space="preserve"> </w:t>
            </w:r>
          </w:p>
        </w:tc>
        <w:tc>
          <w:tcPr>
            <w:tcW w:w="467" w:type="pct"/>
            <w:tcBorders>
              <w:top w:val="nil"/>
              <w:left w:val="nil"/>
              <w:bottom w:val="nil"/>
              <w:right w:val="nil"/>
            </w:tcBorders>
            <w:noWrap/>
            <w:vAlign w:val="bottom"/>
            <w:hideMark/>
          </w:tcPr>
          <w:p w14:paraId="35896E6E" w14:textId="77777777" w:rsidR="00C44869" w:rsidRPr="00D46B6F" w:rsidRDefault="00C44869" w:rsidP="007B3453">
            <w:pPr>
              <w:rPr>
                <w:sz w:val="20"/>
                <w:szCs w:val="20"/>
              </w:rPr>
            </w:pPr>
          </w:p>
        </w:tc>
      </w:tr>
      <w:tr w:rsidR="00C44869" w:rsidRPr="00D46B6F" w14:paraId="0764D50B" w14:textId="77777777" w:rsidTr="007B3453">
        <w:trPr>
          <w:trHeight w:val="270"/>
        </w:trPr>
        <w:tc>
          <w:tcPr>
            <w:tcW w:w="2064" w:type="pct"/>
            <w:tcBorders>
              <w:top w:val="nil"/>
              <w:left w:val="nil"/>
              <w:bottom w:val="nil"/>
              <w:right w:val="nil"/>
            </w:tcBorders>
            <w:noWrap/>
            <w:vAlign w:val="bottom"/>
            <w:hideMark/>
          </w:tcPr>
          <w:p w14:paraId="5FB732D8" w14:textId="77777777" w:rsidR="00C44869" w:rsidRPr="00D46B6F" w:rsidRDefault="00C44869" w:rsidP="007B3453">
            <w:pPr>
              <w:ind w:firstLineChars="100" w:firstLine="200"/>
              <w:rPr>
                <w:sz w:val="20"/>
                <w:szCs w:val="20"/>
              </w:rPr>
            </w:pPr>
            <w:r w:rsidRPr="00D46B6F">
              <w:rPr>
                <w:sz w:val="20"/>
                <w:szCs w:val="20"/>
              </w:rPr>
              <w:t>Trade and other receivables</w:t>
            </w:r>
          </w:p>
        </w:tc>
        <w:tc>
          <w:tcPr>
            <w:tcW w:w="129" w:type="pct"/>
            <w:tcBorders>
              <w:top w:val="nil"/>
              <w:left w:val="nil"/>
              <w:bottom w:val="nil"/>
              <w:right w:val="nil"/>
            </w:tcBorders>
            <w:noWrap/>
            <w:vAlign w:val="bottom"/>
            <w:hideMark/>
          </w:tcPr>
          <w:p w14:paraId="1226641C"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65DB3F44" w14:textId="77777777" w:rsidR="00C44869" w:rsidRPr="00D46B6F" w:rsidRDefault="00C44869" w:rsidP="007B3453">
            <w:pPr>
              <w:jc w:val="right"/>
              <w:rPr>
                <w:b/>
                <w:bCs/>
                <w:sz w:val="20"/>
                <w:szCs w:val="20"/>
              </w:rPr>
            </w:pPr>
            <w:r>
              <w:rPr>
                <w:b/>
                <w:bCs/>
                <w:sz w:val="20"/>
                <w:szCs w:val="20"/>
              </w:rPr>
              <w:t>1,175,463</w:t>
            </w:r>
          </w:p>
        </w:tc>
        <w:tc>
          <w:tcPr>
            <w:tcW w:w="129" w:type="pct"/>
            <w:tcBorders>
              <w:top w:val="nil"/>
              <w:left w:val="nil"/>
              <w:bottom w:val="nil"/>
              <w:right w:val="nil"/>
            </w:tcBorders>
            <w:noWrap/>
            <w:vAlign w:val="bottom"/>
            <w:hideMark/>
          </w:tcPr>
          <w:p w14:paraId="2716FD47"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37FF6403" w14:textId="77777777" w:rsidR="00C44869" w:rsidRPr="00355DF1" w:rsidRDefault="00C44869" w:rsidP="007B3453">
            <w:pPr>
              <w:jc w:val="right"/>
              <w:rPr>
                <w:sz w:val="20"/>
                <w:szCs w:val="20"/>
              </w:rPr>
            </w:pPr>
            <w:r w:rsidRPr="00355DF1">
              <w:rPr>
                <w:sz w:val="20"/>
                <w:szCs w:val="20"/>
              </w:rPr>
              <w:t xml:space="preserve">391,879 </w:t>
            </w:r>
          </w:p>
        </w:tc>
        <w:tc>
          <w:tcPr>
            <w:tcW w:w="129" w:type="pct"/>
            <w:tcBorders>
              <w:top w:val="nil"/>
              <w:left w:val="nil"/>
              <w:bottom w:val="nil"/>
              <w:right w:val="nil"/>
            </w:tcBorders>
            <w:noWrap/>
            <w:vAlign w:val="bottom"/>
            <w:hideMark/>
          </w:tcPr>
          <w:p w14:paraId="5BAC8B0C"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055F41E6" w14:textId="77777777" w:rsidR="00C44869" w:rsidRPr="00D46B6F" w:rsidRDefault="00C44869" w:rsidP="007B3453">
            <w:pPr>
              <w:jc w:val="right"/>
              <w:rPr>
                <w:sz w:val="20"/>
                <w:szCs w:val="20"/>
              </w:rPr>
            </w:pPr>
            <w:r w:rsidRPr="00D46B6F">
              <w:rPr>
                <w:sz w:val="20"/>
                <w:szCs w:val="20"/>
              </w:rPr>
              <w:t xml:space="preserve">         </w:t>
            </w:r>
            <w:r>
              <w:rPr>
                <w:sz w:val="20"/>
                <w:szCs w:val="20"/>
              </w:rPr>
              <w:t>2,647,703</w:t>
            </w:r>
            <w:r w:rsidRPr="00D46B6F">
              <w:rPr>
                <w:sz w:val="20"/>
                <w:szCs w:val="20"/>
              </w:rPr>
              <w:t xml:space="preserve"> </w:t>
            </w:r>
          </w:p>
        </w:tc>
        <w:tc>
          <w:tcPr>
            <w:tcW w:w="467" w:type="pct"/>
            <w:tcBorders>
              <w:top w:val="nil"/>
              <w:left w:val="nil"/>
              <w:bottom w:val="nil"/>
              <w:right w:val="nil"/>
            </w:tcBorders>
            <w:noWrap/>
            <w:vAlign w:val="bottom"/>
            <w:hideMark/>
          </w:tcPr>
          <w:p w14:paraId="326FD5AB" w14:textId="77777777" w:rsidR="00C44869" w:rsidRPr="00D46B6F" w:rsidRDefault="00C44869" w:rsidP="007B3453">
            <w:pPr>
              <w:rPr>
                <w:sz w:val="20"/>
                <w:szCs w:val="20"/>
              </w:rPr>
            </w:pPr>
          </w:p>
        </w:tc>
      </w:tr>
      <w:tr w:rsidR="00C44869" w:rsidRPr="00D46B6F" w14:paraId="029D353D" w14:textId="77777777" w:rsidTr="007B3453">
        <w:trPr>
          <w:trHeight w:val="270"/>
        </w:trPr>
        <w:tc>
          <w:tcPr>
            <w:tcW w:w="2064" w:type="pct"/>
            <w:tcBorders>
              <w:top w:val="nil"/>
              <w:left w:val="nil"/>
              <w:bottom w:val="nil"/>
              <w:right w:val="nil"/>
            </w:tcBorders>
            <w:noWrap/>
            <w:vAlign w:val="bottom"/>
            <w:hideMark/>
          </w:tcPr>
          <w:p w14:paraId="424DCB42" w14:textId="77777777" w:rsidR="00C44869" w:rsidRPr="00D46B6F" w:rsidRDefault="00C44869" w:rsidP="007B3453">
            <w:pPr>
              <w:ind w:firstLineChars="100" w:firstLine="200"/>
              <w:rPr>
                <w:sz w:val="20"/>
                <w:szCs w:val="20"/>
              </w:rPr>
            </w:pPr>
            <w:bookmarkStart w:id="4" w:name="RANGE!A15:D17"/>
            <w:r w:rsidRPr="00D46B6F">
              <w:rPr>
                <w:sz w:val="20"/>
                <w:szCs w:val="20"/>
              </w:rPr>
              <w:t>Cash and cash equivalents</w:t>
            </w:r>
            <w:bookmarkEnd w:id="4"/>
          </w:p>
        </w:tc>
        <w:tc>
          <w:tcPr>
            <w:tcW w:w="129" w:type="pct"/>
            <w:tcBorders>
              <w:top w:val="nil"/>
              <w:left w:val="nil"/>
              <w:bottom w:val="nil"/>
              <w:right w:val="nil"/>
            </w:tcBorders>
            <w:noWrap/>
            <w:vAlign w:val="bottom"/>
            <w:hideMark/>
          </w:tcPr>
          <w:p w14:paraId="3D7B68A9"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426AF263" w14:textId="77777777" w:rsidR="00C44869" w:rsidRPr="00D46B6F" w:rsidRDefault="00C44869" w:rsidP="007B3453">
            <w:pPr>
              <w:jc w:val="right"/>
              <w:rPr>
                <w:b/>
                <w:bCs/>
                <w:sz w:val="20"/>
                <w:szCs w:val="20"/>
              </w:rPr>
            </w:pPr>
            <w:r>
              <w:rPr>
                <w:b/>
                <w:bCs/>
                <w:sz w:val="20"/>
                <w:szCs w:val="20"/>
              </w:rPr>
              <w:t>326,666</w:t>
            </w:r>
          </w:p>
        </w:tc>
        <w:tc>
          <w:tcPr>
            <w:tcW w:w="129" w:type="pct"/>
            <w:tcBorders>
              <w:top w:val="nil"/>
              <w:left w:val="nil"/>
              <w:bottom w:val="nil"/>
              <w:right w:val="nil"/>
            </w:tcBorders>
            <w:noWrap/>
            <w:vAlign w:val="bottom"/>
            <w:hideMark/>
          </w:tcPr>
          <w:p w14:paraId="1BE19563"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382CAD24" w14:textId="77777777" w:rsidR="00C44869" w:rsidRPr="00355DF1" w:rsidRDefault="00C44869" w:rsidP="007B3453">
            <w:pPr>
              <w:jc w:val="right"/>
              <w:rPr>
                <w:sz w:val="20"/>
                <w:szCs w:val="20"/>
              </w:rPr>
            </w:pPr>
            <w:r w:rsidRPr="00355DF1">
              <w:rPr>
                <w:sz w:val="20"/>
                <w:szCs w:val="20"/>
              </w:rPr>
              <w:t xml:space="preserve">1,954,306 </w:t>
            </w:r>
          </w:p>
        </w:tc>
        <w:tc>
          <w:tcPr>
            <w:tcW w:w="129" w:type="pct"/>
            <w:tcBorders>
              <w:top w:val="nil"/>
              <w:left w:val="nil"/>
              <w:bottom w:val="nil"/>
              <w:right w:val="nil"/>
            </w:tcBorders>
            <w:noWrap/>
            <w:vAlign w:val="bottom"/>
            <w:hideMark/>
          </w:tcPr>
          <w:p w14:paraId="24FAFE12"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4BF1B0A9" w14:textId="77777777" w:rsidR="00C44869" w:rsidRPr="00D46B6F" w:rsidRDefault="00C44869" w:rsidP="007B3453">
            <w:pPr>
              <w:jc w:val="right"/>
              <w:rPr>
                <w:sz w:val="20"/>
                <w:szCs w:val="20"/>
              </w:rPr>
            </w:pPr>
            <w:r w:rsidRPr="00D46B6F">
              <w:rPr>
                <w:sz w:val="20"/>
                <w:szCs w:val="20"/>
              </w:rPr>
              <w:t xml:space="preserve">       </w:t>
            </w:r>
            <w:r>
              <w:rPr>
                <w:sz w:val="20"/>
                <w:szCs w:val="20"/>
              </w:rPr>
              <w:t>1,315,289</w:t>
            </w:r>
            <w:r w:rsidRPr="00D46B6F">
              <w:rPr>
                <w:sz w:val="20"/>
                <w:szCs w:val="20"/>
              </w:rPr>
              <w:t xml:space="preserve"> </w:t>
            </w:r>
          </w:p>
        </w:tc>
        <w:tc>
          <w:tcPr>
            <w:tcW w:w="467" w:type="pct"/>
            <w:tcBorders>
              <w:top w:val="nil"/>
              <w:left w:val="nil"/>
              <w:bottom w:val="nil"/>
              <w:right w:val="nil"/>
            </w:tcBorders>
            <w:noWrap/>
            <w:vAlign w:val="bottom"/>
            <w:hideMark/>
          </w:tcPr>
          <w:p w14:paraId="12131F1C" w14:textId="77777777" w:rsidR="00C44869" w:rsidRPr="00D46B6F" w:rsidRDefault="00C44869" w:rsidP="007B3453">
            <w:pPr>
              <w:rPr>
                <w:sz w:val="20"/>
                <w:szCs w:val="20"/>
              </w:rPr>
            </w:pPr>
          </w:p>
        </w:tc>
      </w:tr>
      <w:tr w:rsidR="00C44869" w:rsidRPr="00D46B6F" w14:paraId="18C05D05" w14:textId="77777777" w:rsidTr="007B3453">
        <w:trPr>
          <w:trHeight w:val="300"/>
        </w:trPr>
        <w:tc>
          <w:tcPr>
            <w:tcW w:w="2064" w:type="pct"/>
            <w:tcBorders>
              <w:top w:val="nil"/>
              <w:left w:val="nil"/>
              <w:bottom w:val="nil"/>
              <w:right w:val="nil"/>
            </w:tcBorders>
            <w:noWrap/>
            <w:vAlign w:val="bottom"/>
            <w:hideMark/>
          </w:tcPr>
          <w:p w14:paraId="6410243F" w14:textId="77777777" w:rsidR="00C44869" w:rsidRPr="00D46B6F" w:rsidRDefault="00C44869" w:rsidP="007B3453">
            <w:pPr>
              <w:rPr>
                <w:b/>
                <w:bCs/>
                <w:sz w:val="20"/>
                <w:szCs w:val="20"/>
              </w:rPr>
            </w:pPr>
            <w:r w:rsidRPr="00D46B6F">
              <w:rPr>
                <w:b/>
                <w:bCs/>
                <w:sz w:val="20"/>
                <w:szCs w:val="20"/>
              </w:rPr>
              <w:t xml:space="preserve">   Total Current Assets</w:t>
            </w:r>
          </w:p>
        </w:tc>
        <w:tc>
          <w:tcPr>
            <w:tcW w:w="129" w:type="pct"/>
            <w:tcBorders>
              <w:top w:val="nil"/>
              <w:left w:val="nil"/>
              <w:bottom w:val="nil"/>
              <w:right w:val="nil"/>
            </w:tcBorders>
            <w:noWrap/>
            <w:vAlign w:val="bottom"/>
            <w:hideMark/>
          </w:tcPr>
          <w:p w14:paraId="5A4B82D8" w14:textId="77777777" w:rsidR="00C44869" w:rsidRPr="00D46B6F" w:rsidRDefault="00C44869" w:rsidP="007B3453">
            <w:pPr>
              <w:rPr>
                <w:b/>
                <w:bCs/>
                <w:sz w:val="20"/>
                <w:szCs w:val="20"/>
              </w:rPr>
            </w:pPr>
          </w:p>
        </w:tc>
        <w:tc>
          <w:tcPr>
            <w:tcW w:w="687" w:type="pct"/>
            <w:tcBorders>
              <w:top w:val="single" w:sz="4" w:space="0" w:color="auto"/>
              <w:left w:val="nil"/>
              <w:bottom w:val="nil"/>
              <w:right w:val="nil"/>
            </w:tcBorders>
            <w:noWrap/>
            <w:vAlign w:val="bottom"/>
          </w:tcPr>
          <w:p w14:paraId="1DE76FEA" w14:textId="77777777" w:rsidR="00C44869" w:rsidRPr="00D46B6F" w:rsidRDefault="00C44869" w:rsidP="007B3453">
            <w:pPr>
              <w:jc w:val="right"/>
              <w:rPr>
                <w:b/>
                <w:bCs/>
                <w:sz w:val="20"/>
                <w:szCs w:val="20"/>
              </w:rPr>
            </w:pPr>
            <w:r>
              <w:rPr>
                <w:b/>
                <w:bCs/>
                <w:sz w:val="20"/>
                <w:szCs w:val="20"/>
              </w:rPr>
              <w:t>1,585,632</w:t>
            </w:r>
          </w:p>
        </w:tc>
        <w:tc>
          <w:tcPr>
            <w:tcW w:w="129" w:type="pct"/>
            <w:tcBorders>
              <w:top w:val="nil"/>
              <w:left w:val="nil"/>
              <w:bottom w:val="nil"/>
              <w:right w:val="nil"/>
            </w:tcBorders>
            <w:noWrap/>
            <w:vAlign w:val="bottom"/>
            <w:hideMark/>
          </w:tcPr>
          <w:p w14:paraId="52BD1682" w14:textId="77777777" w:rsidR="00C44869" w:rsidRPr="00D46B6F"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3B156367" w14:textId="77777777" w:rsidR="00C44869" w:rsidRPr="00355DF1" w:rsidRDefault="00C44869" w:rsidP="007B3453">
            <w:pPr>
              <w:jc w:val="right"/>
              <w:rPr>
                <w:sz w:val="20"/>
                <w:szCs w:val="20"/>
              </w:rPr>
            </w:pPr>
            <w:r w:rsidRPr="00355DF1">
              <w:rPr>
                <w:sz w:val="20"/>
                <w:szCs w:val="20"/>
              </w:rPr>
              <w:t xml:space="preserve">       2,968,382 </w:t>
            </w:r>
          </w:p>
        </w:tc>
        <w:tc>
          <w:tcPr>
            <w:tcW w:w="129" w:type="pct"/>
            <w:tcBorders>
              <w:top w:val="nil"/>
              <w:left w:val="nil"/>
              <w:bottom w:val="nil"/>
              <w:right w:val="nil"/>
            </w:tcBorders>
            <w:noWrap/>
            <w:vAlign w:val="bottom"/>
            <w:hideMark/>
          </w:tcPr>
          <w:p w14:paraId="3E9328A8" w14:textId="77777777" w:rsidR="00C44869" w:rsidRPr="00D46B6F" w:rsidRDefault="00C44869" w:rsidP="007B3453">
            <w:pPr>
              <w:jc w:val="right"/>
              <w:rPr>
                <w:sz w:val="20"/>
                <w:szCs w:val="20"/>
              </w:rPr>
            </w:pPr>
          </w:p>
        </w:tc>
        <w:tc>
          <w:tcPr>
            <w:tcW w:w="700" w:type="pct"/>
            <w:tcBorders>
              <w:top w:val="single" w:sz="4" w:space="0" w:color="auto"/>
              <w:left w:val="nil"/>
              <w:bottom w:val="nil"/>
              <w:right w:val="nil"/>
            </w:tcBorders>
            <w:noWrap/>
            <w:vAlign w:val="bottom"/>
            <w:hideMark/>
          </w:tcPr>
          <w:p w14:paraId="2E8B7E63" w14:textId="77777777" w:rsidR="00C44869" w:rsidRPr="00D46B6F" w:rsidRDefault="00C44869" w:rsidP="007B3453">
            <w:pPr>
              <w:jc w:val="right"/>
              <w:rPr>
                <w:sz w:val="20"/>
                <w:szCs w:val="20"/>
              </w:rPr>
            </w:pPr>
            <w:r w:rsidRPr="00D46B6F">
              <w:rPr>
                <w:sz w:val="20"/>
                <w:szCs w:val="20"/>
              </w:rPr>
              <w:t xml:space="preserve">       </w:t>
            </w:r>
            <w:r>
              <w:rPr>
                <w:sz w:val="20"/>
                <w:szCs w:val="20"/>
              </w:rPr>
              <w:t>4,102,830</w:t>
            </w:r>
            <w:r w:rsidRPr="00D46B6F">
              <w:rPr>
                <w:sz w:val="20"/>
                <w:szCs w:val="20"/>
              </w:rPr>
              <w:t xml:space="preserve"> </w:t>
            </w:r>
          </w:p>
        </w:tc>
        <w:tc>
          <w:tcPr>
            <w:tcW w:w="467" w:type="pct"/>
            <w:tcBorders>
              <w:top w:val="nil"/>
              <w:left w:val="nil"/>
              <w:bottom w:val="nil"/>
              <w:right w:val="nil"/>
            </w:tcBorders>
            <w:noWrap/>
            <w:vAlign w:val="bottom"/>
            <w:hideMark/>
          </w:tcPr>
          <w:p w14:paraId="387C6F23" w14:textId="77777777" w:rsidR="00C44869" w:rsidRPr="00D46B6F" w:rsidRDefault="00C44869" w:rsidP="007B3453">
            <w:pPr>
              <w:rPr>
                <w:sz w:val="20"/>
                <w:szCs w:val="20"/>
              </w:rPr>
            </w:pPr>
          </w:p>
        </w:tc>
      </w:tr>
      <w:tr w:rsidR="00C44869" w:rsidRPr="00D46B6F" w14:paraId="45990C27" w14:textId="77777777" w:rsidTr="007B3453">
        <w:trPr>
          <w:trHeight w:val="300"/>
        </w:trPr>
        <w:tc>
          <w:tcPr>
            <w:tcW w:w="2064" w:type="pct"/>
            <w:tcBorders>
              <w:top w:val="nil"/>
              <w:left w:val="nil"/>
              <w:bottom w:val="nil"/>
              <w:right w:val="nil"/>
            </w:tcBorders>
            <w:noWrap/>
            <w:vAlign w:val="bottom"/>
            <w:hideMark/>
          </w:tcPr>
          <w:p w14:paraId="26BD5159" w14:textId="77777777" w:rsidR="00C44869" w:rsidRPr="00D46B6F" w:rsidRDefault="00C44869" w:rsidP="007B3453">
            <w:pPr>
              <w:rPr>
                <w:b/>
                <w:bCs/>
                <w:sz w:val="20"/>
                <w:szCs w:val="20"/>
              </w:rPr>
            </w:pPr>
            <w:r w:rsidRPr="00D46B6F">
              <w:rPr>
                <w:b/>
                <w:bCs/>
                <w:sz w:val="20"/>
                <w:szCs w:val="20"/>
              </w:rPr>
              <w:t xml:space="preserve">   Total Assets</w:t>
            </w:r>
          </w:p>
        </w:tc>
        <w:tc>
          <w:tcPr>
            <w:tcW w:w="129" w:type="pct"/>
            <w:tcBorders>
              <w:top w:val="nil"/>
              <w:left w:val="nil"/>
              <w:bottom w:val="nil"/>
              <w:right w:val="nil"/>
            </w:tcBorders>
            <w:noWrap/>
            <w:vAlign w:val="bottom"/>
            <w:hideMark/>
          </w:tcPr>
          <w:p w14:paraId="47E69694" w14:textId="77777777" w:rsidR="00C44869" w:rsidRPr="00D46B6F" w:rsidRDefault="00C44869" w:rsidP="007B3453">
            <w:pPr>
              <w:rPr>
                <w:b/>
                <w:bCs/>
                <w:sz w:val="20"/>
                <w:szCs w:val="20"/>
              </w:rPr>
            </w:pPr>
          </w:p>
        </w:tc>
        <w:tc>
          <w:tcPr>
            <w:tcW w:w="687" w:type="pct"/>
            <w:tcBorders>
              <w:top w:val="single" w:sz="4" w:space="0" w:color="auto"/>
              <w:left w:val="nil"/>
              <w:bottom w:val="double" w:sz="6" w:space="0" w:color="auto"/>
              <w:right w:val="nil"/>
            </w:tcBorders>
            <w:noWrap/>
            <w:vAlign w:val="bottom"/>
          </w:tcPr>
          <w:p w14:paraId="742B7E09" w14:textId="77777777" w:rsidR="00C44869" w:rsidRPr="00D46B6F" w:rsidRDefault="00C44869" w:rsidP="007B3453">
            <w:pPr>
              <w:jc w:val="right"/>
              <w:rPr>
                <w:b/>
                <w:bCs/>
                <w:sz w:val="20"/>
                <w:szCs w:val="20"/>
              </w:rPr>
            </w:pPr>
            <w:r>
              <w:rPr>
                <w:b/>
                <w:bCs/>
                <w:sz w:val="20"/>
                <w:szCs w:val="20"/>
              </w:rPr>
              <w:t>2,776,510</w:t>
            </w:r>
          </w:p>
        </w:tc>
        <w:tc>
          <w:tcPr>
            <w:tcW w:w="129" w:type="pct"/>
            <w:tcBorders>
              <w:top w:val="nil"/>
              <w:left w:val="nil"/>
              <w:bottom w:val="nil"/>
              <w:right w:val="nil"/>
            </w:tcBorders>
            <w:noWrap/>
            <w:vAlign w:val="bottom"/>
            <w:hideMark/>
          </w:tcPr>
          <w:p w14:paraId="438F0A0B" w14:textId="77777777" w:rsidR="00C44869" w:rsidRPr="00D46B6F" w:rsidRDefault="00C44869" w:rsidP="007B3453">
            <w:pPr>
              <w:jc w:val="right"/>
              <w:rPr>
                <w:b/>
                <w:bCs/>
                <w:sz w:val="20"/>
                <w:szCs w:val="20"/>
              </w:rPr>
            </w:pPr>
          </w:p>
        </w:tc>
        <w:tc>
          <w:tcPr>
            <w:tcW w:w="693" w:type="pct"/>
            <w:tcBorders>
              <w:top w:val="single" w:sz="4" w:space="0" w:color="auto"/>
              <w:left w:val="nil"/>
              <w:bottom w:val="double" w:sz="6" w:space="0" w:color="auto"/>
              <w:right w:val="nil"/>
            </w:tcBorders>
            <w:noWrap/>
            <w:vAlign w:val="bottom"/>
            <w:hideMark/>
          </w:tcPr>
          <w:p w14:paraId="61811BB0" w14:textId="77777777" w:rsidR="00C44869" w:rsidRPr="00355DF1" w:rsidRDefault="00C44869" w:rsidP="007B3453">
            <w:pPr>
              <w:jc w:val="right"/>
              <w:rPr>
                <w:sz w:val="20"/>
                <w:szCs w:val="20"/>
              </w:rPr>
            </w:pPr>
            <w:r w:rsidRPr="00355DF1">
              <w:rPr>
                <w:sz w:val="20"/>
                <w:szCs w:val="20"/>
              </w:rPr>
              <w:t xml:space="preserve">       4,450,833 </w:t>
            </w:r>
          </w:p>
        </w:tc>
        <w:tc>
          <w:tcPr>
            <w:tcW w:w="129" w:type="pct"/>
            <w:tcBorders>
              <w:top w:val="nil"/>
              <w:left w:val="nil"/>
              <w:bottom w:val="nil"/>
              <w:right w:val="nil"/>
            </w:tcBorders>
            <w:noWrap/>
            <w:vAlign w:val="bottom"/>
            <w:hideMark/>
          </w:tcPr>
          <w:p w14:paraId="31102B05" w14:textId="77777777" w:rsidR="00C44869" w:rsidRPr="00D46B6F" w:rsidRDefault="00C44869" w:rsidP="007B3453">
            <w:pPr>
              <w:jc w:val="right"/>
              <w:rPr>
                <w:sz w:val="20"/>
                <w:szCs w:val="20"/>
              </w:rPr>
            </w:pPr>
          </w:p>
        </w:tc>
        <w:tc>
          <w:tcPr>
            <w:tcW w:w="700" w:type="pct"/>
            <w:tcBorders>
              <w:top w:val="single" w:sz="4" w:space="0" w:color="auto"/>
              <w:left w:val="nil"/>
              <w:bottom w:val="double" w:sz="6" w:space="0" w:color="auto"/>
              <w:right w:val="nil"/>
            </w:tcBorders>
            <w:noWrap/>
            <w:vAlign w:val="bottom"/>
            <w:hideMark/>
          </w:tcPr>
          <w:p w14:paraId="544F30DD" w14:textId="77777777" w:rsidR="00C44869" w:rsidRPr="00D46B6F" w:rsidRDefault="00C44869" w:rsidP="007B3453">
            <w:pPr>
              <w:jc w:val="right"/>
              <w:rPr>
                <w:sz w:val="20"/>
                <w:szCs w:val="20"/>
              </w:rPr>
            </w:pPr>
            <w:r w:rsidRPr="00D46B6F">
              <w:rPr>
                <w:sz w:val="20"/>
                <w:szCs w:val="20"/>
              </w:rPr>
              <w:t xml:space="preserve">       </w:t>
            </w:r>
            <w:r>
              <w:rPr>
                <w:sz w:val="20"/>
                <w:szCs w:val="20"/>
              </w:rPr>
              <w:t>5,445,225</w:t>
            </w:r>
            <w:r w:rsidRPr="00D46B6F">
              <w:rPr>
                <w:sz w:val="20"/>
                <w:szCs w:val="20"/>
              </w:rPr>
              <w:t xml:space="preserve"> </w:t>
            </w:r>
          </w:p>
        </w:tc>
        <w:tc>
          <w:tcPr>
            <w:tcW w:w="467" w:type="pct"/>
            <w:tcBorders>
              <w:top w:val="nil"/>
              <w:left w:val="nil"/>
              <w:bottom w:val="nil"/>
              <w:right w:val="nil"/>
            </w:tcBorders>
            <w:noWrap/>
            <w:vAlign w:val="bottom"/>
            <w:hideMark/>
          </w:tcPr>
          <w:p w14:paraId="7D126426" w14:textId="77777777" w:rsidR="00C44869" w:rsidRPr="00D46B6F" w:rsidRDefault="00C44869" w:rsidP="007B3453">
            <w:pPr>
              <w:rPr>
                <w:sz w:val="20"/>
                <w:szCs w:val="20"/>
              </w:rPr>
            </w:pPr>
          </w:p>
        </w:tc>
      </w:tr>
      <w:tr w:rsidR="00C44869" w:rsidRPr="00D46B6F" w14:paraId="4FC1D86F" w14:textId="77777777" w:rsidTr="007B3453">
        <w:trPr>
          <w:trHeight w:val="300"/>
        </w:trPr>
        <w:tc>
          <w:tcPr>
            <w:tcW w:w="2064" w:type="pct"/>
            <w:tcBorders>
              <w:top w:val="nil"/>
              <w:left w:val="nil"/>
              <w:bottom w:val="nil"/>
              <w:right w:val="nil"/>
            </w:tcBorders>
            <w:noWrap/>
            <w:vAlign w:val="bottom"/>
            <w:hideMark/>
          </w:tcPr>
          <w:p w14:paraId="1B7401DF" w14:textId="77777777" w:rsidR="00C44869" w:rsidRPr="00D46B6F" w:rsidRDefault="00C44869" w:rsidP="007B3453">
            <w:pPr>
              <w:rPr>
                <w:b/>
                <w:bCs/>
                <w:sz w:val="20"/>
                <w:szCs w:val="20"/>
              </w:rPr>
            </w:pPr>
            <w:r w:rsidRPr="00D46B6F">
              <w:rPr>
                <w:b/>
                <w:bCs/>
                <w:sz w:val="20"/>
                <w:szCs w:val="20"/>
              </w:rPr>
              <w:t>Non-Current Liabilities</w:t>
            </w:r>
          </w:p>
        </w:tc>
        <w:tc>
          <w:tcPr>
            <w:tcW w:w="129" w:type="pct"/>
            <w:tcBorders>
              <w:top w:val="nil"/>
              <w:left w:val="nil"/>
              <w:bottom w:val="nil"/>
              <w:right w:val="nil"/>
            </w:tcBorders>
            <w:noWrap/>
            <w:vAlign w:val="bottom"/>
            <w:hideMark/>
          </w:tcPr>
          <w:p w14:paraId="4C788959" w14:textId="77777777" w:rsidR="00C44869" w:rsidRPr="00D46B6F" w:rsidRDefault="00C44869" w:rsidP="007B3453">
            <w:pPr>
              <w:rPr>
                <w:b/>
                <w:bCs/>
                <w:sz w:val="20"/>
                <w:szCs w:val="20"/>
              </w:rPr>
            </w:pPr>
          </w:p>
        </w:tc>
        <w:tc>
          <w:tcPr>
            <w:tcW w:w="687" w:type="pct"/>
            <w:tcBorders>
              <w:top w:val="nil"/>
              <w:left w:val="nil"/>
              <w:bottom w:val="nil"/>
              <w:right w:val="nil"/>
            </w:tcBorders>
            <w:noWrap/>
            <w:vAlign w:val="bottom"/>
            <w:hideMark/>
          </w:tcPr>
          <w:p w14:paraId="473A0428" w14:textId="77777777" w:rsidR="00C44869" w:rsidRPr="00D46B6F" w:rsidRDefault="00C44869" w:rsidP="007B3453">
            <w:pPr>
              <w:jc w:val="right"/>
              <w:rPr>
                <w:sz w:val="20"/>
                <w:szCs w:val="20"/>
              </w:rPr>
            </w:pPr>
          </w:p>
        </w:tc>
        <w:tc>
          <w:tcPr>
            <w:tcW w:w="129" w:type="pct"/>
            <w:tcBorders>
              <w:top w:val="nil"/>
              <w:left w:val="nil"/>
              <w:bottom w:val="nil"/>
              <w:right w:val="nil"/>
            </w:tcBorders>
            <w:noWrap/>
            <w:vAlign w:val="bottom"/>
            <w:hideMark/>
          </w:tcPr>
          <w:p w14:paraId="17BE50CB" w14:textId="77777777" w:rsidR="00C44869" w:rsidRPr="00D46B6F" w:rsidRDefault="00C44869" w:rsidP="007B3453">
            <w:pPr>
              <w:jc w:val="right"/>
              <w:rPr>
                <w:sz w:val="20"/>
                <w:szCs w:val="20"/>
              </w:rPr>
            </w:pPr>
          </w:p>
        </w:tc>
        <w:tc>
          <w:tcPr>
            <w:tcW w:w="693" w:type="pct"/>
            <w:tcBorders>
              <w:top w:val="nil"/>
              <w:left w:val="nil"/>
              <w:bottom w:val="nil"/>
              <w:right w:val="nil"/>
            </w:tcBorders>
            <w:noWrap/>
            <w:vAlign w:val="bottom"/>
            <w:hideMark/>
          </w:tcPr>
          <w:p w14:paraId="7B2E428D" w14:textId="77777777" w:rsidR="00C44869" w:rsidRPr="00355DF1" w:rsidRDefault="00C44869" w:rsidP="007B3453">
            <w:pPr>
              <w:jc w:val="right"/>
              <w:rPr>
                <w:sz w:val="20"/>
                <w:szCs w:val="20"/>
              </w:rPr>
            </w:pPr>
          </w:p>
        </w:tc>
        <w:tc>
          <w:tcPr>
            <w:tcW w:w="129" w:type="pct"/>
            <w:tcBorders>
              <w:top w:val="nil"/>
              <w:left w:val="nil"/>
              <w:bottom w:val="nil"/>
              <w:right w:val="nil"/>
            </w:tcBorders>
            <w:noWrap/>
            <w:vAlign w:val="bottom"/>
            <w:hideMark/>
          </w:tcPr>
          <w:p w14:paraId="38BC0E03"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21726D6C" w14:textId="77777777" w:rsidR="00C44869" w:rsidRPr="00D46B6F" w:rsidRDefault="00C44869" w:rsidP="007B3453">
            <w:pPr>
              <w:jc w:val="right"/>
              <w:rPr>
                <w:sz w:val="20"/>
                <w:szCs w:val="20"/>
              </w:rPr>
            </w:pPr>
          </w:p>
        </w:tc>
        <w:tc>
          <w:tcPr>
            <w:tcW w:w="467" w:type="pct"/>
            <w:tcBorders>
              <w:top w:val="nil"/>
              <w:left w:val="nil"/>
              <w:bottom w:val="nil"/>
              <w:right w:val="nil"/>
            </w:tcBorders>
            <w:noWrap/>
            <w:vAlign w:val="bottom"/>
            <w:hideMark/>
          </w:tcPr>
          <w:p w14:paraId="3DDC8407" w14:textId="77777777" w:rsidR="00C44869" w:rsidRPr="00D46B6F" w:rsidRDefault="00C44869" w:rsidP="007B3453">
            <w:pPr>
              <w:rPr>
                <w:sz w:val="20"/>
                <w:szCs w:val="20"/>
              </w:rPr>
            </w:pPr>
          </w:p>
        </w:tc>
      </w:tr>
      <w:tr w:rsidR="00C44869" w:rsidRPr="00D46B6F" w14:paraId="12D3623F" w14:textId="77777777" w:rsidTr="007B3453">
        <w:trPr>
          <w:trHeight w:val="300"/>
        </w:trPr>
        <w:tc>
          <w:tcPr>
            <w:tcW w:w="2064" w:type="pct"/>
            <w:tcBorders>
              <w:top w:val="nil"/>
              <w:left w:val="nil"/>
              <w:bottom w:val="nil"/>
              <w:right w:val="nil"/>
            </w:tcBorders>
            <w:noWrap/>
            <w:vAlign w:val="bottom"/>
            <w:hideMark/>
          </w:tcPr>
          <w:p w14:paraId="5A98F6A2" w14:textId="77777777" w:rsidR="00C44869" w:rsidRPr="00D46B6F" w:rsidRDefault="00C44869" w:rsidP="007B3453">
            <w:pPr>
              <w:ind w:firstLineChars="100" w:firstLine="200"/>
              <w:rPr>
                <w:sz w:val="20"/>
                <w:szCs w:val="20"/>
              </w:rPr>
            </w:pPr>
            <w:r w:rsidRPr="00D46B6F">
              <w:rPr>
                <w:sz w:val="20"/>
                <w:szCs w:val="20"/>
              </w:rPr>
              <w:t>Loans, excluding current maturities</w:t>
            </w:r>
          </w:p>
        </w:tc>
        <w:tc>
          <w:tcPr>
            <w:tcW w:w="129" w:type="pct"/>
            <w:tcBorders>
              <w:top w:val="nil"/>
              <w:left w:val="nil"/>
              <w:bottom w:val="nil"/>
              <w:right w:val="nil"/>
            </w:tcBorders>
            <w:noWrap/>
            <w:vAlign w:val="bottom"/>
            <w:hideMark/>
          </w:tcPr>
          <w:p w14:paraId="393A9CAA"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1898EA3F" w14:textId="77777777" w:rsidR="00C44869" w:rsidRPr="00D46B6F" w:rsidRDefault="00C44869" w:rsidP="007B3453">
            <w:pPr>
              <w:jc w:val="right"/>
              <w:rPr>
                <w:b/>
                <w:bCs/>
                <w:sz w:val="20"/>
                <w:szCs w:val="20"/>
              </w:rPr>
            </w:pPr>
            <w:r>
              <w:rPr>
                <w:b/>
                <w:bCs/>
                <w:sz w:val="20"/>
                <w:szCs w:val="20"/>
              </w:rPr>
              <w:t>1,400,921</w:t>
            </w:r>
          </w:p>
        </w:tc>
        <w:tc>
          <w:tcPr>
            <w:tcW w:w="129" w:type="pct"/>
            <w:tcBorders>
              <w:top w:val="nil"/>
              <w:left w:val="nil"/>
              <w:bottom w:val="nil"/>
              <w:right w:val="nil"/>
            </w:tcBorders>
            <w:noWrap/>
            <w:vAlign w:val="bottom"/>
            <w:hideMark/>
          </w:tcPr>
          <w:p w14:paraId="3D5F271D"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066C4E2B" w14:textId="77777777" w:rsidR="00C44869" w:rsidRPr="00355DF1" w:rsidRDefault="00C44869" w:rsidP="007B3453">
            <w:pPr>
              <w:jc w:val="right"/>
              <w:rPr>
                <w:sz w:val="20"/>
                <w:szCs w:val="20"/>
              </w:rPr>
            </w:pPr>
            <w:r w:rsidRPr="00355DF1">
              <w:rPr>
                <w:sz w:val="20"/>
                <w:szCs w:val="20"/>
              </w:rPr>
              <w:t xml:space="preserve">1,426,168 </w:t>
            </w:r>
          </w:p>
        </w:tc>
        <w:tc>
          <w:tcPr>
            <w:tcW w:w="129" w:type="pct"/>
            <w:tcBorders>
              <w:top w:val="nil"/>
              <w:left w:val="nil"/>
              <w:bottom w:val="nil"/>
              <w:right w:val="nil"/>
            </w:tcBorders>
            <w:noWrap/>
            <w:vAlign w:val="bottom"/>
            <w:hideMark/>
          </w:tcPr>
          <w:p w14:paraId="03FF77CE"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7AA3C571" w14:textId="77777777" w:rsidR="00C44869" w:rsidRPr="00D46B6F" w:rsidRDefault="00C44869" w:rsidP="007B3453">
            <w:pPr>
              <w:jc w:val="right"/>
              <w:rPr>
                <w:sz w:val="20"/>
                <w:szCs w:val="20"/>
              </w:rPr>
            </w:pPr>
            <w:r w:rsidRPr="00D46B6F">
              <w:rPr>
                <w:sz w:val="20"/>
                <w:szCs w:val="20"/>
              </w:rPr>
              <w:t xml:space="preserve">       </w:t>
            </w:r>
            <w:r>
              <w:rPr>
                <w:sz w:val="20"/>
                <w:szCs w:val="20"/>
              </w:rPr>
              <w:t>1,411,755</w:t>
            </w:r>
            <w:r w:rsidRPr="00D46B6F">
              <w:rPr>
                <w:sz w:val="20"/>
                <w:szCs w:val="20"/>
              </w:rPr>
              <w:t xml:space="preserve"> </w:t>
            </w:r>
          </w:p>
        </w:tc>
        <w:tc>
          <w:tcPr>
            <w:tcW w:w="467" w:type="pct"/>
            <w:tcBorders>
              <w:top w:val="nil"/>
              <w:left w:val="nil"/>
              <w:bottom w:val="nil"/>
              <w:right w:val="nil"/>
            </w:tcBorders>
            <w:noWrap/>
            <w:vAlign w:val="bottom"/>
            <w:hideMark/>
          </w:tcPr>
          <w:p w14:paraId="77DA754F" w14:textId="77777777" w:rsidR="00C44869" w:rsidRPr="00D46B6F" w:rsidRDefault="00C44869" w:rsidP="007B3453">
            <w:pPr>
              <w:rPr>
                <w:sz w:val="20"/>
                <w:szCs w:val="20"/>
              </w:rPr>
            </w:pPr>
          </w:p>
        </w:tc>
      </w:tr>
      <w:tr w:rsidR="00C44869" w:rsidRPr="00D46B6F" w14:paraId="6B8787DF" w14:textId="77777777" w:rsidTr="007B3453">
        <w:trPr>
          <w:trHeight w:val="300"/>
        </w:trPr>
        <w:tc>
          <w:tcPr>
            <w:tcW w:w="2064" w:type="pct"/>
            <w:tcBorders>
              <w:top w:val="nil"/>
              <w:left w:val="nil"/>
              <w:bottom w:val="nil"/>
              <w:right w:val="nil"/>
            </w:tcBorders>
            <w:noWrap/>
            <w:vAlign w:val="bottom"/>
            <w:hideMark/>
          </w:tcPr>
          <w:p w14:paraId="526CB8D1" w14:textId="77777777" w:rsidR="00C44869" w:rsidRPr="00D46B6F" w:rsidRDefault="00C44869" w:rsidP="007B3453">
            <w:pPr>
              <w:ind w:firstLineChars="100" w:firstLine="200"/>
              <w:rPr>
                <w:sz w:val="20"/>
                <w:szCs w:val="20"/>
              </w:rPr>
            </w:pPr>
            <w:r w:rsidRPr="00D46B6F">
              <w:rPr>
                <w:sz w:val="20"/>
                <w:szCs w:val="20"/>
              </w:rPr>
              <w:t>Right of use lease liability, net of current portion</w:t>
            </w:r>
          </w:p>
        </w:tc>
        <w:tc>
          <w:tcPr>
            <w:tcW w:w="129" w:type="pct"/>
            <w:tcBorders>
              <w:top w:val="nil"/>
              <w:left w:val="nil"/>
              <w:bottom w:val="nil"/>
              <w:right w:val="nil"/>
            </w:tcBorders>
            <w:noWrap/>
            <w:vAlign w:val="bottom"/>
            <w:hideMark/>
          </w:tcPr>
          <w:p w14:paraId="2FFB1107"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4DC910FC" w14:textId="77777777" w:rsidR="00C44869" w:rsidRPr="00D46B6F" w:rsidRDefault="00C44869" w:rsidP="007B3453">
            <w:pPr>
              <w:jc w:val="right"/>
              <w:rPr>
                <w:b/>
                <w:bCs/>
                <w:sz w:val="20"/>
                <w:szCs w:val="20"/>
              </w:rPr>
            </w:pPr>
            <w:r>
              <w:rPr>
                <w:b/>
                <w:bCs/>
                <w:sz w:val="20"/>
                <w:szCs w:val="20"/>
              </w:rPr>
              <w:t>-</w:t>
            </w:r>
          </w:p>
        </w:tc>
        <w:tc>
          <w:tcPr>
            <w:tcW w:w="129" w:type="pct"/>
            <w:tcBorders>
              <w:top w:val="nil"/>
              <w:left w:val="nil"/>
              <w:bottom w:val="nil"/>
              <w:right w:val="nil"/>
            </w:tcBorders>
            <w:noWrap/>
            <w:vAlign w:val="bottom"/>
            <w:hideMark/>
          </w:tcPr>
          <w:p w14:paraId="359D6C6A"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7354E251" w14:textId="77777777" w:rsidR="00C44869" w:rsidRPr="00355DF1" w:rsidRDefault="00C44869" w:rsidP="007B3453">
            <w:pPr>
              <w:jc w:val="right"/>
              <w:rPr>
                <w:sz w:val="20"/>
                <w:szCs w:val="20"/>
              </w:rPr>
            </w:pPr>
            <w:r w:rsidRPr="00355DF1">
              <w:rPr>
                <w:sz w:val="20"/>
                <w:szCs w:val="20"/>
              </w:rPr>
              <w:t xml:space="preserve">114,341 </w:t>
            </w:r>
          </w:p>
        </w:tc>
        <w:tc>
          <w:tcPr>
            <w:tcW w:w="129" w:type="pct"/>
            <w:tcBorders>
              <w:top w:val="nil"/>
              <w:left w:val="nil"/>
              <w:bottom w:val="nil"/>
              <w:right w:val="nil"/>
            </w:tcBorders>
            <w:noWrap/>
            <w:vAlign w:val="bottom"/>
            <w:hideMark/>
          </w:tcPr>
          <w:p w14:paraId="1A7B2607" w14:textId="77777777" w:rsidR="00C44869" w:rsidRPr="00D46B6F" w:rsidRDefault="00C44869" w:rsidP="007B3453">
            <w:pPr>
              <w:jc w:val="right"/>
              <w:rPr>
                <w:sz w:val="20"/>
                <w:szCs w:val="20"/>
              </w:rPr>
            </w:pPr>
          </w:p>
        </w:tc>
        <w:tc>
          <w:tcPr>
            <w:tcW w:w="700" w:type="pct"/>
            <w:tcBorders>
              <w:top w:val="nil"/>
              <w:left w:val="nil"/>
              <w:bottom w:val="single" w:sz="4" w:space="0" w:color="auto"/>
              <w:right w:val="nil"/>
            </w:tcBorders>
            <w:noWrap/>
            <w:vAlign w:val="bottom"/>
            <w:hideMark/>
          </w:tcPr>
          <w:p w14:paraId="016EA3E7" w14:textId="77777777" w:rsidR="00C44869" w:rsidRPr="00D46B6F" w:rsidRDefault="00C44869" w:rsidP="007B3453">
            <w:pPr>
              <w:jc w:val="right"/>
              <w:rPr>
                <w:sz w:val="20"/>
                <w:szCs w:val="20"/>
              </w:rPr>
            </w:pPr>
            <w:r w:rsidRPr="00D46B6F">
              <w:rPr>
                <w:sz w:val="20"/>
                <w:szCs w:val="20"/>
              </w:rPr>
              <w:t xml:space="preserve">         </w:t>
            </w:r>
            <w:r>
              <w:rPr>
                <w:sz w:val="20"/>
                <w:szCs w:val="20"/>
              </w:rPr>
              <w:t>92,243</w:t>
            </w:r>
            <w:r w:rsidRPr="00D46B6F">
              <w:rPr>
                <w:sz w:val="20"/>
                <w:szCs w:val="20"/>
              </w:rPr>
              <w:t xml:space="preserve"> </w:t>
            </w:r>
          </w:p>
        </w:tc>
        <w:tc>
          <w:tcPr>
            <w:tcW w:w="467" w:type="pct"/>
            <w:tcBorders>
              <w:top w:val="nil"/>
              <w:left w:val="nil"/>
              <w:bottom w:val="nil"/>
              <w:right w:val="nil"/>
            </w:tcBorders>
            <w:noWrap/>
            <w:vAlign w:val="bottom"/>
            <w:hideMark/>
          </w:tcPr>
          <w:p w14:paraId="0C9281BB" w14:textId="77777777" w:rsidR="00C44869" w:rsidRPr="00D46B6F" w:rsidRDefault="00C44869" w:rsidP="007B3453">
            <w:pPr>
              <w:rPr>
                <w:sz w:val="20"/>
                <w:szCs w:val="20"/>
              </w:rPr>
            </w:pPr>
          </w:p>
        </w:tc>
      </w:tr>
      <w:tr w:rsidR="00C44869" w:rsidRPr="00D46B6F" w14:paraId="2B8ECA25" w14:textId="77777777" w:rsidTr="007B3453">
        <w:trPr>
          <w:trHeight w:val="270"/>
        </w:trPr>
        <w:tc>
          <w:tcPr>
            <w:tcW w:w="2064" w:type="pct"/>
            <w:tcBorders>
              <w:top w:val="nil"/>
              <w:left w:val="nil"/>
              <w:bottom w:val="nil"/>
              <w:right w:val="nil"/>
            </w:tcBorders>
            <w:noWrap/>
            <w:vAlign w:val="bottom"/>
            <w:hideMark/>
          </w:tcPr>
          <w:p w14:paraId="49747068" w14:textId="77777777" w:rsidR="00C44869" w:rsidRPr="00D46B6F" w:rsidRDefault="00C44869" w:rsidP="007B3453">
            <w:pPr>
              <w:rPr>
                <w:b/>
                <w:bCs/>
                <w:sz w:val="20"/>
                <w:szCs w:val="20"/>
              </w:rPr>
            </w:pPr>
            <w:r w:rsidRPr="00D46B6F">
              <w:rPr>
                <w:b/>
                <w:bCs/>
                <w:sz w:val="20"/>
                <w:szCs w:val="20"/>
              </w:rPr>
              <w:t xml:space="preserve">   Total Noncurrent Liabilities</w:t>
            </w:r>
          </w:p>
        </w:tc>
        <w:tc>
          <w:tcPr>
            <w:tcW w:w="129" w:type="pct"/>
            <w:tcBorders>
              <w:top w:val="nil"/>
              <w:left w:val="nil"/>
              <w:bottom w:val="nil"/>
              <w:right w:val="nil"/>
            </w:tcBorders>
            <w:noWrap/>
            <w:vAlign w:val="bottom"/>
            <w:hideMark/>
          </w:tcPr>
          <w:p w14:paraId="130927B7" w14:textId="77777777" w:rsidR="00C44869" w:rsidRPr="00D46B6F" w:rsidRDefault="00C44869" w:rsidP="007B3453">
            <w:pPr>
              <w:rPr>
                <w:b/>
                <w:bCs/>
                <w:sz w:val="20"/>
                <w:szCs w:val="20"/>
              </w:rPr>
            </w:pPr>
          </w:p>
        </w:tc>
        <w:tc>
          <w:tcPr>
            <w:tcW w:w="687" w:type="pct"/>
            <w:tcBorders>
              <w:top w:val="single" w:sz="4" w:space="0" w:color="auto"/>
              <w:left w:val="nil"/>
              <w:bottom w:val="nil"/>
              <w:right w:val="nil"/>
            </w:tcBorders>
            <w:noWrap/>
            <w:vAlign w:val="bottom"/>
          </w:tcPr>
          <w:p w14:paraId="61455A77" w14:textId="77777777" w:rsidR="00C44869" w:rsidRPr="00D46B6F" w:rsidRDefault="00C44869" w:rsidP="007B3453">
            <w:pPr>
              <w:jc w:val="right"/>
              <w:rPr>
                <w:b/>
                <w:bCs/>
                <w:sz w:val="20"/>
                <w:szCs w:val="20"/>
              </w:rPr>
            </w:pPr>
            <w:r>
              <w:rPr>
                <w:b/>
                <w:bCs/>
                <w:sz w:val="20"/>
                <w:szCs w:val="20"/>
              </w:rPr>
              <w:t>1,400,921</w:t>
            </w:r>
          </w:p>
        </w:tc>
        <w:tc>
          <w:tcPr>
            <w:tcW w:w="129" w:type="pct"/>
            <w:tcBorders>
              <w:top w:val="nil"/>
              <w:left w:val="nil"/>
              <w:bottom w:val="nil"/>
              <w:right w:val="nil"/>
            </w:tcBorders>
            <w:noWrap/>
            <w:vAlign w:val="bottom"/>
            <w:hideMark/>
          </w:tcPr>
          <w:p w14:paraId="3CAC6FE8" w14:textId="77777777" w:rsidR="00C44869" w:rsidRPr="00D46B6F"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3E4DE79B" w14:textId="77777777" w:rsidR="00C44869" w:rsidRPr="00355DF1" w:rsidRDefault="00C44869" w:rsidP="007B3453">
            <w:pPr>
              <w:jc w:val="right"/>
              <w:rPr>
                <w:sz w:val="20"/>
                <w:szCs w:val="20"/>
              </w:rPr>
            </w:pPr>
            <w:r w:rsidRPr="00355DF1">
              <w:rPr>
                <w:sz w:val="20"/>
                <w:szCs w:val="20"/>
              </w:rPr>
              <w:t xml:space="preserve">       1,540,509 </w:t>
            </w:r>
          </w:p>
        </w:tc>
        <w:tc>
          <w:tcPr>
            <w:tcW w:w="129" w:type="pct"/>
            <w:tcBorders>
              <w:top w:val="nil"/>
              <w:left w:val="nil"/>
              <w:bottom w:val="nil"/>
              <w:right w:val="nil"/>
            </w:tcBorders>
            <w:noWrap/>
            <w:vAlign w:val="bottom"/>
            <w:hideMark/>
          </w:tcPr>
          <w:p w14:paraId="4DBAF45C"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183D391A" w14:textId="77777777" w:rsidR="00C44869" w:rsidRPr="00D46B6F" w:rsidRDefault="00C44869" w:rsidP="007B3453">
            <w:pPr>
              <w:jc w:val="right"/>
              <w:rPr>
                <w:sz w:val="20"/>
                <w:szCs w:val="20"/>
              </w:rPr>
            </w:pPr>
            <w:r w:rsidRPr="00D46B6F">
              <w:rPr>
                <w:sz w:val="20"/>
                <w:szCs w:val="20"/>
              </w:rPr>
              <w:t xml:space="preserve">       </w:t>
            </w:r>
            <w:r>
              <w:rPr>
                <w:sz w:val="20"/>
                <w:szCs w:val="20"/>
              </w:rPr>
              <w:t>1,503,998</w:t>
            </w:r>
            <w:r w:rsidRPr="00D46B6F">
              <w:rPr>
                <w:sz w:val="20"/>
                <w:szCs w:val="20"/>
              </w:rPr>
              <w:t xml:space="preserve"> </w:t>
            </w:r>
          </w:p>
        </w:tc>
        <w:tc>
          <w:tcPr>
            <w:tcW w:w="467" w:type="pct"/>
            <w:tcBorders>
              <w:top w:val="nil"/>
              <w:left w:val="nil"/>
              <w:bottom w:val="nil"/>
              <w:right w:val="nil"/>
            </w:tcBorders>
            <w:noWrap/>
            <w:vAlign w:val="bottom"/>
            <w:hideMark/>
          </w:tcPr>
          <w:p w14:paraId="7FC45F73" w14:textId="77777777" w:rsidR="00C44869" w:rsidRPr="00D46B6F" w:rsidRDefault="00C44869" w:rsidP="007B3453">
            <w:pPr>
              <w:rPr>
                <w:sz w:val="20"/>
                <w:szCs w:val="20"/>
              </w:rPr>
            </w:pPr>
          </w:p>
        </w:tc>
      </w:tr>
      <w:tr w:rsidR="00C44869" w:rsidRPr="00D46B6F" w14:paraId="2F93E2FA" w14:textId="77777777" w:rsidTr="007B3453">
        <w:trPr>
          <w:trHeight w:val="270"/>
        </w:trPr>
        <w:tc>
          <w:tcPr>
            <w:tcW w:w="2064" w:type="pct"/>
            <w:tcBorders>
              <w:top w:val="nil"/>
              <w:left w:val="nil"/>
              <w:bottom w:val="nil"/>
              <w:right w:val="nil"/>
            </w:tcBorders>
            <w:noWrap/>
            <w:vAlign w:val="bottom"/>
            <w:hideMark/>
          </w:tcPr>
          <w:p w14:paraId="1FEDC197" w14:textId="77777777" w:rsidR="00C44869" w:rsidRPr="00D46B6F" w:rsidRDefault="00C44869" w:rsidP="007B3453">
            <w:pPr>
              <w:rPr>
                <w:b/>
                <w:bCs/>
                <w:sz w:val="20"/>
                <w:szCs w:val="20"/>
              </w:rPr>
            </w:pPr>
            <w:r w:rsidRPr="00D46B6F">
              <w:rPr>
                <w:b/>
                <w:bCs/>
                <w:sz w:val="20"/>
                <w:szCs w:val="20"/>
              </w:rPr>
              <w:t>Current Liabilities</w:t>
            </w:r>
          </w:p>
        </w:tc>
        <w:tc>
          <w:tcPr>
            <w:tcW w:w="129" w:type="pct"/>
            <w:tcBorders>
              <w:top w:val="nil"/>
              <w:left w:val="nil"/>
              <w:bottom w:val="nil"/>
              <w:right w:val="nil"/>
            </w:tcBorders>
            <w:noWrap/>
            <w:vAlign w:val="bottom"/>
            <w:hideMark/>
          </w:tcPr>
          <w:p w14:paraId="7F2870A7" w14:textId="77777777" w:rsidR="00C44869" w:rsidRPr="00D46B6F" w:rsidRDefault="00C44869" w:rsidP="007B3453">
            <w:pPr>
              <w:rPr>
                <w:b/>
                <w:bCs/>
                <w:sz w:val="20"/>
                <w:szCs w:val="20"/>
              </w:rPr>
            </w:pPr>
          </w:p>
        </w:tc>
        <w:tc>
          <w:tcPr>
            <w:tcW w:w="687" w:type="pct"/>
            <w:tcBorders>
              <w:top w:val="nil"/>
              <w:left w:val="nil"/>
              <w:bottom w:val="nil"/>
              <w:right w:val="nil"/>
            </w:tcBorders>
            <w:noWrap/>
            <w:vAlign w:val="bottom"/>
          </w:tcPr>
          <w:p w14:paraId="4D76BCB7" w14:textId="77777777" w:rsidR="00C44869" w:rsidRPr="00D46B6F" w:rsidRDefault="00C44869" w:rsidP="007B3453">
            <w:pPr>
              <w:jc w:val="right"/>
              <w:rPr>
                <w:sz w:val="20"/>
                <w:szCs w:val="20"/>
              </w:rPr>
            </w:pPr>
          </w:p>
        </w:tc>
        <w:tc>
          <w:tcPr>
            <w:tcW w:w="129" w:type="pct"/>
            <w:tcBorders>
              <w:top w:val="nil"/>
              <w:left w:val="nil"/>
              <w:bottom w:val="nil"/>
              <w:right w:val="nil"/>
            </w:tcBorders>
            <w:noWrap/>
            <w:vAlign w:val="bottom"/>
            <w:hideMark/>
          </w:tcPr>
          <w:p w14:paraId="5F3290AB" w14:textId="77777777" w:rsidR="00C44869" w:rsidRPr="00D46B6F" w:rsidRDefault="00C44869" w:rsidP="007B3453">
            <w:pPr>
              <w:jc w:val="right"/>
              <w:rPr>
                <w:sz w:val="20"/>
                <w:szCs w:val="20"/>
              </w:rPr>
            </w:pPr>
          </w:p>
        </w:tc>
        <w:tc>
          <w:tcPr>
            <w:tcW w:w="693" w:type="pct"/>
            <w:tcBorders>
              <w:top w:val="nil"/>
              <w:left w:val="nil"/>
              <w:bottom w:val="nil"/>
              <w:right w:val="nil"/>
            </w:tcBorders>
            <w:noWrap/>
            <w:vAlign w:val="bottom"/>
            <w:hideMark/>
          </w:tcPr>
          <w:p w14:paraId="31E4E84F" w14:textId="77777777" w:rsidR="00C44869" w:rsidRPr="00355DF1" w:rsidRDefault="00C44869" w:rsidP="007B3453">
            <w:pPr>
              <w:jc w:val="right"/>
              <w:rPr>
                <w:sz w:val="20"/>
                <w:szCs w:val="20"/>
              </w:rPr>
            </w:pPr>
          </w:p>
        </w:tc>
        <w:tc>
          <w:tcPr>
            <w:tcW w:w="129" w:type="pct"/>
            <w:tcBorders>
              <w:top w:val="nil"/>
              <w:left w:val="nil"/>
              <w:bottom w:val="nil"/>
              <w:right w:val="nil"/>
            </w:tcBorders>
            <w:noWrap/>
            <w:vAlign w:val="bottom"/>
            <w:hideMark/>
          </w:tcPr>
          <w:p w14:paraId="35B0DFAA"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5D8142BD" w14:textId="77777777" w:rsidR="00C44869" w:rsidRPr="00D46B6F" w:rsidRDefault="00C44869" w:rsidP="007B3453">
            <w:pPr>
              <w:jc w:val="right"/>
              <w:rPr>
                <w:sz w:val="20"/>
                <w:szCs w:val="20"/>
              </w:rPr>
            </w:pPr>
          </w:p>
        </w:tc>
        <w:tc>
          <w:tcPr>
            <w:tcW w:w="467" w:type="pct"/>
            <w:tcBorders>
              <w:top w:val="nil"/>
              <w:left w:val="nil"/>
              <w:bottom w:val="nil"/>
              <w:right w:val="nil"/>
            </w:tcBorders>
            <w:noWrap/>
            <w:vAlign w:val="bottom"/>
            <w:hideMark/>
          </w:tcPr>
          <w:p w14:paraId="42EA3F86" w14:textId="77777777" w:rsidR="00C44869" w:rsidRPr="00D46B6F" w:rsidRDefault="00C44869" w:rsidP="007B3453">
            <w:pPr>
              <w:rPr>
                <w:sz w:val="20"/>
                <w:szCs w:val="20"/>
              </w:rPr>
            </w:pPr>
          </w:p>
        </w:tc>
      </w:tr>
      <w:tr w:rsidR="00C44869" w:rsidRPr="00D46B6F" w14:paraId="1236B564" w14:textId="77777777" w:rsidTr="007B3453">
        <w:trPr>
          <w:trHeight w:val="270"/>
        </w:trPr>
        <w:tc>
          <w:tcPr>
            <w:tcW w:w="2064" w:type="pct"/>
            <w:tcBorders>
              <w:top w:val="nil"/>
              <w:left w:val="nil"/>
              <w:bottom w:val="nil"/>
              <w:right w:val="nil"/>
            </w:tcBorders>
            <w:noWrap/>
            <w:vAlign w:val="bottom"/>
            <w:hideMark/>
          </w:tcPr>
          <w:p w14:paraId="57776EDB" w14:textId="77777777" w:rsidR="00C44869" w:rsidRPr="00D46B6F" w:rsidRDefault="00C44869" w:rsidP="007B3453">
            <w:pPr>
              <w:ind w:firstLineChars="100" w:firstLine="200"/>
              <w:rPr>
                <w:sz w:val="20"/>
                <w:szCs w:val="20"/>
              </w:rPr>
            </w:pPr>
            <w:r w:rsidRPr="00D46B6F">
              <w:rPr>
                <w:sz w:val="20"/>
                <w:szCs w:val="20"/>
              </w:rPr>
              <w:t>Current maturities of loans</w:t>
            </w:r>
          </w:p>
        </w:tc>
        <w:tc>
          <w:tcPr>
            <w:tcW w:w="129" w:type="pct"/>
            <w:tcBorders>
              <w:top w:val="nil"/>
              <w:left w:val="nil"/>
              <w:bottom w:val="nil"/>
              <w:right w:val="nil"/>
            </w:tcBorders>
            <w:noWrap/>
            <w:vAlign w:val="bottom"/>
            <w:hideMark/>
          </w:tcPr>
          <w:p w14:paraId="1BE49FD4"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2CD43A72" w14:textId="77777777" w:rsidR="00C44869" w:rsidRPr="00D46B6F" w:rsidRDefault="00C44869" w:rsidP="007B3453">
            <w:pPr>
              <w:jc w:val="right"/>
              <w:rPr>
                <w:b/>
                <w:bCs/>
                <w:sz w:val="20"/>
                <w:szCs w:val="20"/>
              </w:rPr>
            </w:pPr>
            <w:r>
              <w:rPr>
                <w:b/>
                <w:bCs/>
                <w:sz w:val="20"/>
                <w:szCs w:val="20"/>
              </w:rPr>
              <w:t>211,017</w:t>
            </w:r>
          </w:p>
        </w:tc>
        <w:tc>
          <w:tcPr>
            <w:tcW w:w="129" w:type="pct"/>
            <w:tcBorders>
              <w:top w:val="nil"/>
              <w:left w:val="nil"/>
              <w:bottom w:val="nil"/>
              <w:right w:val="nil"/>
            </w:tcBorders>
            <w:noWrap/>
            <w:vAlign w:val="bottom"/>
            <w:hideMark/>
          </w:tcPr>
          <w:p w14:paraId="64D2E441"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098B7E56" w14:textId="77777777" w:rsidR="00C44869" w:rsidRPr="00355DF1" w:rsidRDefault="00C44869" w:rsidP="007B3453">
            <w:pPr>
              <w:jc w:val="right"/>
              <w:rPr>
                <w:sz w:val="20"/>
                <w:szCs w:val="20"/>
              </w:rPr>
            </w:pPr>
            <w:r w:rsidRPr="00355DF1">
              <w:rPr>
                <w:sz w:val="20"/>
                <w:szCs w:val="20"/>
              </w:rPr>
              <w:t xml:space="preserve">3,179,164 </w:t>
            </w:r>
          </w:p>
        </w:tc>
        <w:tc>
          <w:tcPr>
            <w:tcW w:w="129" w:type="pct"/>
            <w:tcBorders>
              <w:top w:val="nil"/>
              <w:left w:val="nil"/>
              <w:bottom w:val="nil"/>
              <w:right w:val="nil"/>
            </w:tcBorders>
            <w:noWrap/>
            <w:vAlign w:val="bottom"/>
            <w:hideMark/>
          </w:tcPr>
          <w:p w14:paraId="477A7239"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3F7CCB66" w14:textId="77777777" w:rsidR="00C44869" w:rsidRPr="00D46B6F" w:rsidRDefault="00C44869" w:rsidP="007B3453">
            <w:pPr>
              <w:jc w:val="right"/>
              <w:rPr>
                <w:sz w:val="20"/>
                <w:szCs w:val="20"/>
              </w:rPr>
            </w:pPr>
            <w:r w:rsidRPr="00D46B6F">
              <w:rPr>
                <w:sz w:val="20"/>
                <w:szCs w:val="20"/>
              </w:rPr>
              <w:t xml:space="preserve">         </w:t>
            </w:r>
            <w:r>
              <w:rPr>
                <w:sz w:val="20"/>
                <w:szCs w:val="20"/>
              </w:rPr>
              <w:t>211,017</w:t>
            </w:r>
            <w:r w:rsidRPr="00D46B6F">
              <w:rPr>
                <w:sz w:val="20"/>
                <w:szCs w:val="20"/>
              </w:rPr>
              <w:t xml:space="preserve"> </w:t>
            </w:r>
          </w:p>
        </w:tc>
        <w:tc>
          <w:tcPr>
            <w:tcW w:w="467" w:type="pct"/>
            <w:tcBorders>
              <w:top w:val="nil"/>
              <w:left w:val="nil"/>
              <w:bottom w:val="nil"/>
              <w:right w:val="nil"/>
            </w:tcBorders>
            <w:noWrap/>
            <w:vAlign w:val="bottom"/>
            <w:hideMark/>
          </w:tcPr>
          <w:p w14:paraId="3193E7F7" w14:textId="77777777" w:rsidR="00C44869" w:rsidRPr="00D46B6F" w:rsidRDefault="00C44869" w:rsidP="007B3453">
            <w:pPr>
              <w:rPr>
                <w:sz w:val="20"/>
                <w:szCs w:val="20"/>
              </w:rPr>
            </w:pPr>
          </w:p>
        </w:tc>
      </w:tr>
      <w:tr w:rsidR="00C44869" w:rsidRPr="00D46B6F" w14:paraId="3A37C406" w14:textId="77777777" w:rsidTr="007B3453">
        <w:trPr>
          <w:trHeight w:val="270"/>
        </w:trPr>
        <w:tc>
          <w:tcPr>
            <w:tcW w:w="2064" w:type="pct"/>
            <w:tcBorders>
              <w:top w:val="nil"/>
              <w:left w:val="nil"/>
              <w:bottom w:val="nil"/>
              <w:right w:val="nil"/>
            </w:tcBorders>
            <w:noWrap/>
            <w:vAlign w:val="bottom"/>
            <w:hideMark/>
          </w:tcPr>
          <w:p w14:paraId="57D97BD1" w14:textId="77777777" w:rsidR="00C44869" w:rsidRPr="00D46B6F" w:rsidRDefault="00C44869" w:rsidP="007B3453">
            <w:pPr>
              <w:ind w:firstLineChars="100" w:firstLine="200"/>
              <w:rPr>
                <w:sz w:val="20"/>
                <w:szCs w:val="20"/>
              </w:rPr>
            </w:pPr>
            <w:r w:rsidRPr="00D46B6F">
              <w:rPr>
                <w:sz w:val="20"/>
                <w:szCs w:val="20"/>
              </w:rPr>
              <w:t>Trade and other payables</w:t>
            </w:r>
          </w:p>
        </w:tc>
        <w:tc>
          <w:tcPr>
            <w:tcW w:w="129" w:type="pct"/>
            <w:tcBorders>
              <w:top w:val="nil"/>
              <w:left w:val="nil"/>
              <w:bottom w:val="nil"/>
              <w:right w:val="nil"/>
            </w:tcBorders>
            <w:noWrap/>
            <w:vAlign w:val="bottom"/>
            <w:hideMark/>
          </w:tcPr>
          <w:p w14:paraId="4D6FED7F"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59F7028B" w14:textId="77777777" w:rsidR="00C44869" w:rsidRPr="00D46B6F" w:rsidRDefault="00C44869" w:rsidP="007B3453">
            <w:pPr>
              <w:jc w:val="right"/>
              <w:rPr>
                <w:b/>
                <w:bCs/>
                <w:sz w:val="20"/>
                <w:szCs w:val="20"/>
              </w:rPr>
            </w:pPr>
            <w:r>
              <w:rPr>
                <w:b/>
                <w:bCs/>
                <w:sz w:val="20"/>
                <w:szCs w:val="20"/>
              </w:rPr>
              <w:t>990,780</w:t>
            </w:r>
          </w:p>
        </w:tc>
        <w:tc>
          <w:tcPr>
            <w:tcW w:w="129" w:type="pct"/>
            <w:tcBorders>
              <w:top w:val="nil"/>
              <w:left w:val="nil"/>
              <w:bottom w:val="nil"/>
              <w:right w:val="nil"/>
            </w:tcBorders>
            <w:noWrap/>
            <w:vAlign w:val="bottom"/>
            <w:hideMark/>
          </w:tcPr>
          <w:p w14:paraId="74296D6D"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7457F41E" w14:textId="77777777" w:rsidR="00C44869" w:rsidRPr="00355DF1" w:rsidRDefault="00C44869" w:rsidP="007B3453">
            <w:pPr>
              <w:jc w:val="right"/>
              <w:rPr>
                <w:sz w:val="20"/>
                <w:szCs w:val="20"/>
              </w:rPr>
            </w:pPr>
            <w:r w:rsidRPr="00355DF1">
              <w:rPr>
                <w:sz w:val="20"/>
                <w:szCs w:val="20"/>
              </w:rPr>
              <w:t xml:space="preserve">294,937 </w:t>
            </w:r>
          </w:p>
        </w:tc>
        <w:tc>
          <w:tcPr>
            <w:tcW w:w="129" w:type="pct"/>
            <w:tcBorders>
              <w:top w:val="nil"/>
              <w:left w:val="nil"/>
              <w:bottom w:val="nil"/>
              <w:right w:val="nil"/>
            </w:tcBorders>
            <w:noWrap/>
            <w:vAlign w:val="bottom"/>
            <w:hideMark/>
          </w:tcPr>
          <w:p w14:paraId="6D3D16F6"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5BA6C324" w14:textId="77777777" w:rsidR="00C44869" w:rsidRPr="00D46B6F" w:rsidRDefault="00C44869" w:rsidP="007B3453">
            <w:pPr>
              <w:jc w:val="right"/>
              <w:rPr>
                <w:sz w:val="20"/>
                <w:szCs w:val="20"/>
              </w:rPr>
            </w:pPr>
            <w:r w:rsidRPr="00D46B6F">
              <w:rPr>
                <w:sz w:val="20"/>
                <w:szCs w:val="20"/>
              </w:rPr>
              <w:t xml:space="preserve">         </w:t>
            </w:r>
            <w:r>
              <w:rPr>
                <w:sz w:val="20"/>
                <w:szCs w:val="20"/>
              </w:rPr>
              <w:t>886,941</w:t>
            </w:r>
            <w:r w:rsidRPr="00D46B6F">
              <w:rPr>
                <w:sz w:val="20"/>
                <w:szCs w:val="20"/>
              </w:rPr>
              <w:t xml:space="preserve"> </w:t>
            </w:r>
          </w:p>
        </w:tc>
        <w:tc>
          <w:tcPr>
            <w:tcW w:w="467" w:type="pct"/>
            <w:tcBorders>
              <w:top w:val="nil"/>
              <w:left w:val="nil"/>
              <w:bottom w:val="nil"/>
              <w:right w:val="nil"/>
            </w:tcBorders>
            <w:noWrap/>
            <w:vAlign w:val="bottom"/>
            <w:hideMark/>
          </w:tcPr>
          <w:p w14:paraId="27992BF3" w14:textId="77777777" w:rsidR="00C44869" w:rsidRPr="00D46B6F" w:rsidRDefault="00C44869" w:rsidP="007B3453">
            <w:pPr>
              <w:rPr>
                <w:sz w:val="20"/>
                <w:szCs w:val="20"/>
              </w:rPr>
            </w:pPr>
          </w:p>
        </w:tc>
      </w:tr>
      <w:tr w:rsidR="00C44869" w:rsidRPr="00D46B6F" w14:paraId="6FBB9107" w14:textId="77777777" w:rsidTr="007B3453">
        <w:trPr>
          <w:trHeight w:val="270"/>
        </w:trPr>
        <w:tc>
          <w:tcPr>
            <w:tcW w:w="2064" w:type="pct"/>
            <w:tcBorders>
              <w:top w:val="nil"/>
              <w:left w:val="nil"/>
              <w:bottom w:val="nil"/>
              <w:right w:val="nil"/>
            </w:tcBorders>
            <w:noWrap/>
            <w:vAlign w:val="bottom"/>
            <w:hideMark/>
          </w:tcPr>
          <w:p w14:paraId="0867DD3F" w14:textId="77777777" w:rsidR="00C44869" w:rsidRPr="00D46B6F" w:rsidRDefault="00C44869" w:rsidP="007B3453">
            <w:pPr>
              <w:ind w:firstLineChars="100" w:firstLine="200"/>
              <w:rPr>
                <w:sz w:val="20"/>
                <w:szCs w:val="20"/>
              </w:rPr>
            </w:pPr>
            <w:r w:rsidRPr="00D46B6F">
              <w:rPr>
                <w:sz w:val="20"/>
                <w:szCs w:val="20"/>
              </w:rPr>
              <w:t>Current portion of right of use lease liability</w:t>
            </w:r>
          </w:p>
        </w:tc>
        <w:tc>
          <w:tcPr>
            <w:tcW w:w="129" w:type="pct"/>
            <w:tcBorders>
              <w:top w:val="nil"/>
              <w:left w:val="nil"/>
              <w:bottom w:val="nil"/>
              <w:right w:val="nil"/>
            </w:tcBorders>
            <w:noWrap/>
            <w:vAlign w:val="bottom"/>
            <w:hideMark/>
          </w:tcPr>
          <w:p w14:paraId="139F5CCE"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63B81709" w14:textId="77777777" w:rsidR="00C44869" w:rsidRPr="00D46B6F" w:rsidRDefault="00C44869" w:rsidP="007B3453">
            <w:pPr>
              <w:jc w:val="right"/>
              <w:rPr>
                <w:b/>
                <w:bCs/>
                <w:sz w:val="20"/>
                <w:szCs w:val="20"/>
              </w:rPr>
            </w:pPr>
            <w:r>
              <w:rPr>
                <w:b/>
                <w:bCs/>
                <w:sz w:val="20"/>
                <w:szCs w:val="20"/>
              </w:rPr>
              <w:t>178,355</w:t>
            </w:r>
          </w:p>
        </w:tc>
        <w:tc>
          <w:tcPr>
            <w:tcW w:w="129" w:type="pct"/>
            <w:tcBorders>
              <w:top w:val="nil"/>
              <w:left w:val="nil"/>
              <w:bottom w:val="nil"/>
              <w:right w:val="nil"/>
            </w:tcBorders>
            <w:noWrap/>
            <w:vAlign w:val="bottom"/>
            <w:hideMark/>
          </w:tcPr>
          <w:p w14:paraId="2858AA0F"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6C80C99A" w14:textId="77777777" w:rsidR="00C44869" w:rsidRPr="00355DF1" w:rsidRDefault="00C44869" w:rsidP="007B3453">
            <w:pPr>
              <w:jc w:val="right"/>
              <w:rPr>
                <w:sz w:val="20"/>
                <w:szCs w:val="20"/>
              </w:rPr>
            </w:pPr>
            <w:r w:rsidRPr="00355DF1">
              <w:rPr>
                <w:sz w:val="20"/>
                <w:szCs w:val="20"/>
              </w:rPr>
              <w:t xml:space="preserve">135,949 </w:t>
            </w:r>
          </w:p>
        </w:tc>
        <w:tc>
          <w:tcPr>
            <w:tcW w:w="129" w:type="pct"/>
            <w:tcBorders>
              <w:top w:val="nil"/>
              <w:left w:val="nil"/>
              <w:bottom w:val="nil"/>
              <w:right w:val="nil"/>
            </w:tcBorders>
            <w:noWrap/>
            <w:vAlign w:val="bottom"/>
            <w:hideMark/>
          </w:tcPr>
          <w:p w14:paraId="23C31614"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0E32BDC8" w14:textId="77777777" w:rsidR="00C44869" w:rsidRPr="00D46B6F" w:rsidRDefault="00C44869" w:rsidP="007B3453">
            <w:pPr>
              <w:jc w:val="right"/>
              <w:rPr>
                <w:sz w:val="20"/>
                <w:szCs w:val="20"/>
              </w:rPr>
            </w:pPr>
            <w:r w:rsidRPr="00D46B6F">
              <w:rPr>
                <w:sz w:val="20"/>
                <w:szCs w:val="20"/>
              </w:rPr>
              <w:t xml:space="preserve">           </w:t>
            </w:r>
            <w:r>
              <w:rPr>
                <w:sz w:val="20"/>
                <w:szCs w:val="20"/>
              </w:rPr>
              <w:t>92,393</w:t>
            </w:r>
            <w:r w:rsidRPr="00D46B6F">
              <w:rPr>
                <w:sz w:val="20"/>
                <w:szCs w:val="20"/>
              </w:rPr>
              <w:t xml:space="preserve"> </w:t>
            </w:r>
          </w:p>
        </w:tc>
        <w:tc>
          <w:tcPr>
            <w:tcW w:w="467" w:type="pct"/>
            <w:tcBorders>
              <w:top w:val="nil"/>
              <w:left w:val="nil"/>
              <w:bottom w:val="nil"/>
              <w:right w:val="nil"/>
            </w:tcBorders>
            <w:noWrap/>
            <w:vAlign w:val="bottom"/>
            <w:hideMark/>
          </w:tcPr>
          <w:p w14:paraId="4BA76431" w14:textId="77777777" w:rsidR="00C44869" w:rsidRPr="00D46B6F" w:rsidRDefault="00C44869" w:rsidP="007B3453">
            <w:pPr>
              <w:rPr>
                <w:sz w:val="20"/>
                <w:szCs w:val="20"/>
              </w:rPr>
            </w:pPr>
          </w:p>
        </w:tc>
      </w:tr>
      <w:tr w:rsidR="00C44869" w:rsidRPr="00D46B6F" w14:paraId="49DBC7E8" w14:textId="77777777" w:rsidTr="007B3453">
        <w:trPr>
          <w:trHeight w:val="270"/>
        </w:trPr>
        <w:tc>
          <w:tcPr>
            <w:tcW w:w="2064" w:type="pct"/>
            <w:tcBorders>
              <w:top w:val="nil"/>
              <w:left w:val="nil"/>
              <w:bottom w:val="nil"/>
              <w:right w:val="nil"/>
            </w:tcBorders>
            <w:noWrap/>
            <w:vAlign w:val="bottom"/>
            <w:hideMark/>
          </w:tcPr>
          <w:p w14:paraId="09B7A299" w14:textId="77777777" w:rsidR="00C44869" w:rsidRPr="00D46B6F" w:rsidRDefault="00C44869" w:rsidP="007B3453">
            <w:pPr>
              <w:rPr>
                <w:b/>
                <w:bCs/>
                <w:sz w:val="20"/>
                <w:szCs w:val="20"/>
              </w:rPr>
            </w:pPr>
            <w:r w:rsidRPr="00D46B6F">
              <w:rPr>
                <w:b/>
                <w:bCs/>
                <w:sz w:val="20"/>
                <w:szCs w:val="20"/>
              </w:rPr>
              <w:t xml:space="preserve">   Total Current Liabilities</w:t>
            </w:r>
          </w:p>
        </w:tc>
        <w:tc>
          <w:tcPr>
            <w:tcW w:w="129" w:type="pct"/>
            <w:tcBorders>
              <w:top w:val="nil"/>
              <w:left w:val="nil"/>
              <w:bottom w:val="nil"/>
              <w:right w:val="nil"/>
            </w:tcBorders>
            <w:noWrap/>
            <w:vAlign w:val="bottom"/>
            <w:hideMark/>
          </w:tcPr>
          <w:p w14:paraId="64E56E05" w14:textId="77777777" w:rsidR="00C44869" w:rsidRPr="00D46B6F" w:rsidRDefault="00C44869" w:rsidP="007B3453">
            <w:pPr>
              <w:rPr>
                <w:b/>
                <w:bCs/>
                <w:sz w:val="20"/>
                <w:szCs w:val="20"/>
              </w:rPr>
            </w:pPr>
          </w:p>
        </w:tc>
        <w:tc>
          <w:tcPr>
            <w:tcW w:w="687" w:type="pct"/>
            <w:tcBorders>
              <w:top w:val="single" w:sz="4" w:space="0" w:color="auto"/>
              <w:left w:val="nil"/>
              <w:bottom w:val="nil"/>
              <w:right w:val="nil"/>
            </w:tcBorders>
            <w:noWrap/>
            <w:vAlign w:val="bottom"/>
          </w:tcPr>
          <w:p w14:paraId="50BA96A0" w14:textId="77777777" w:rsidR="00C44869" w:rsidRPr="00D46B6F" w:rsidRDefault="00C44869" w:rsidP="007B3453">
            <w:pPr>
              <w:jc w:val="right"/>
              <w:rPr>
                <w:b/>
                <w:bCs/>
                <w:sz w:val="20"/>
                <w:szCs w:val="20"/>
              </w:rPr>
            </w:pPr>
            <w:r>
              <w:rPr>
                <w:b/>
                <w:bCs/>
                <w:sz w:val="20"/>
                <w:szCs w:val="20"/>
              </w:rPr>
              <w:t>1,380,152</w:t>
            </w:r>
          </w:p>
        </w:tc>
        <w:tc>
          <w:tcPr>
            <w:tcW w:w="129" w:type="pct"/>
            <w:tcBorders>
              <w:top w:val="nil"/>
              <w:left w:val="nil"/>
              <w:bottom w:val="nil"/>
              <w:right w:val="nil"/>
            </w:tcBorders>
            <w:noWrap/>
            <w:vAlign w:val="bottom"/>
            <w:hideMark/>
          </w:tcPr>
          <w:p w14:paraId="213145AE" w14:textId="77777777" w:rsidR="00C44869" w:rsidRPr="00D46B6F"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7A4AD79C" w14:textId="77777777" w:rsidR="00C44869" w:rsidRPr="00355DF1" w:rsidRDefault="00C44869" w:rsidP="007B3453">
            <w:pPr>
              <w:jc w:val="right"/>
              <w:rPr>
                <w:sz w:val="20"/>
                <w:szCs w:val="20"/>
              </w:rPr>
            </w:pPr>
            <w:r w:rsidRPr="00355DF1">
              <w:rPr>
                <w:sz w:val="20"/>
                <w:szCs w:val="20"/>
              </w:rPr>
              <w:t xml:space="preserve">       3,610,050 </w:t>
            </w:r>
          </w:p>
        </w:tc>
        <w:tc>
          <w:tcPr>
            <w:tcW w:w="129" w:type="pct"/>
            <w:tcBorders>
              <w:top w:val="nil"/>
              <w:left w:val="nil"/>
              <w:bottom w:val="nil"/>
              <w:right w:val="nil"/>
            </w:tcBorders>
            <w:noWrap/>
            <w:vAlign w:val="bottom"/>
            <w:hideMark/>
          </w:tcPr>
          <w:p w14:paraId="243E6CBE" w14:textId="77777777" w:rsidR="00C44869" w:rsidRPr="00D46B6F" w:rsidRDefault="00C44869" w:rsidP="007B3453">
            <w:pPr>
              <w:jc w:val="right"/>
              <w:rPr>
                <w:sz w:val="20"/>
                <w:szCs w:val="20"/>
              </w:rPr>
            </w:pPr>
          </w:p>
        </w:tc>
        <w:tc>
          <w:tcPr>
            <w:tcW w:w="700" w:type="pct"/>
            <w:tcBorders>
              <w:top w:val="single" w:sz="4" w:space="0" w:color="auto"/>
              <w:left w:val="nil"/>
              <w:bottom w:val="nil"/>
              <w:right w:val="nil"/>
            </w:tcBorders>
            <w:noWrap/>
            <w:vAlign w:val="bottom"/>
            <w:hideMark/>
          </w:tcPr>
          <w:p w14:paraId="09DE6C40" w14:textId="77777777" w:rsidR="00C44869" w:rsidRPr="00D46B6F" w:rsidRDefault="00C44869" w:rsidP="007B3453">
            <w:pPr>
              <w:jc w:val="right"/>
              <w:rPr>
                <w:sz w:val="20"/>
                <w:szCs w:val="20"/>
              </w:rPr>
            </w:pPr>
            <w:r w:rsidRPr="00D46B6F">
              <w:rPr>
                <w:sz w:val="20"/>
                <w:szCs w:val="20"/>
              </w:rPr>
              <w:t xml:space="preserve">       </w:t>
            </w:r>
            <w:r>
              <w:rPr>
                <w:sz w:val="20"/>
                <w:szCs w:val="20"/>
              </w:rPr>
              <w:t>1,190,351</w:t>
            </w:r>
            <w:r w:rsidRPr="00D46B6F">
              <w:rPr>
                <w:sz w:val="20"/>
                <w:szCs w:val="20"/>
              </w:rPr>
              <w:t xml:space="preserve"> </w:t>
            </w:r>
          </w:p>
        </w:tc>
        <w:tc>
          <w:tcPr>
            <w:tcW w:w="467" w:type="pct"/>
            <w:tcBorders>
              <w:top w:val="nil"/>
              <w:left w:val="nil"/>
              <w:bottom w:val="nil"/>
              <w:right w:val="nil"/>
            </w:tcBorders>
            <w:noWrap/>
            <w:vAlign w:val="bottom"/>
            <w:hideMark/>
          </w:tcPr>
          <w:p w14:paraId="34EB81B5" w14:textId="77777777" w:rsidR="00C44869" w:rsidRPr="00D46B6F" w:rsidRDefault="00C44869" w:rsidP="007B3453">
            <w:pPr>
              <w:rPr>
                <w:sz w:val="20"/>
                <w:szCs w:val="20"/>
              </w:rPr>
            </w:pPr>
          </w:p>
        </w:tc>
      </w:tr>
      <w:tr w:rsidR="00C44869" w:rsidRPr="00D46B6F" w14:paraId="5AC0A715" w14:textId="77777777" w:rsidTr="007B3453">
        <w:trPr>
          <w:trHeight w:val="270"/>
        </w:trPr>
        <w:tc>
          <w:tcPr>
            <w:tcW w:w="2064" w:type="pct"/>
            <w:tcBorders>
              <w:top w:val="nil"/>
              <w:left w:val="nil"/>
              <w:bottom w:val="nil"/>
              <w:right w:val="nil"/>
            </w:tcBorders>
            <w:noWrap/>
            <w:vAlign w:val="bottom"/>
            <w:hideMark/>
          </w:tcPr>
          <w:p w14:paraId="0F90F03E" w14:textId="77777777" w:rsidR="00C44869" w:rsidRPr="00D46B6F" w:rsidRDefault="00C44869" w:rsidP="007B3453">
            <w:pPr>
              <w:rPr>
                <w:b/>
                <w:bCs/>
                <w:sz w:val="20"/>
                <w:szCs w:val="20"/>
              </w:rPr>
            </w:pPr>
            <w:r w:rsidRPr="00D46B6F">
              <w:rPr>
                <w:b/>
                <w:bCs/>
                <w:sz w:val="20"/>
                <w:szCs w:val="20"/>
              </w:rPr>
              <w:t xml:space="preserve">   Total Liabilities</w:t>
            </w:r>
          </w:p>
        </w:tc>
        <w:tc>
          <w:tcPr>
            <w:tcW w:w="129" w:type="pct"/>
            <w:tcBorders>
              <w:top w:val="nil"/>
              <w:left w:val="nil"/>
              <w:bottom w:val="nil"/>
              <w:right w:val="nil"/>
            </w:tcBorders>
            <w:noWrap/>
            <w:vAlign w:val="bottom"/>
            <w:hideMark/>
          </w:tcPr>
          <w:p w14:paraId="465D2FA6" w14:textId="77777777" w:rsidR="00C44869" w:rsidRPr="00D46B6F" w:rsidRDefault="00C44869" w:rsidP="007B3453">
            <w:pPr>
              <w:rPr>
                <w:b/>
                <w:bCs/>
                <w:sz w:val="20"/>
                <w:szCs w:val="20"/>
              </w:rPr>
            </w:pPr>
          </w:p>
        </w:tc>
        <w:tc>
          <w:tcPr>
            <w:tcW w:w="687" w:type="pct"/>
            <w:tcBorders>
              <w:top w:val="single" w:sz="4" w:space="0" w:color="auto"/>
              <w:left w:val="nil"/>
              <w:bottom w:val="nil"/>
              <w:right w:val="nil"/>
            </w:tcBorders>
            <w:noWrap/>
            <w:vAlign w:val="bottom"/>
          </w:tcPr>
          <w:p w14:paraId="7FF9C4D3" w14:textId="77777777" w:rsidR="00C44869" w:rsidRPr="00D46B6F" w:rsidRDefault="00C44869" w:rsidP="007B3453">
            <w:pPr>
              <w:jc w:val="right"/>
              <w:rPr>
                <w:b/>
                <w:bCs/>
                <w:sz w:val="20"/>
                <w:szCs w:val="20"/>
              </w:rPr>
            </w:pPr>
            <w:r>
              <w:rPr>
                <w:b/>
                <w:bCs/>
                <w:sz w:val="20"/>
                <w:szCs w:val="20"/>
              </w:rPr>
              <w:t>2,781,073</w:t>
            </w:r>
          </w:p>
        </w:tc>
        <w:tc>
          <w:tcPr>
            <w:tcW w:w="129" w:type="pct"/>
            <w:tcBorders>
              <w:top w:val="nil"/>
              <w:left w:val="nil"/>
              <w:bottom w:val="nil"/>
              <w:right w:val="nil"/>
            </w:tcBorders>
            <w:noWrap/>
            <w:vAlign w:val="bottom"/>
            <w:hideMark/>
          </w:tcPr>
          <w:p w14:paraId="2C00C478" w14:textId="77777777" w:rsidR="00C44869" w:rsidRPr="00D46B6F" w:rsidRDefault="00C44869" w:rsidP="007B3453">
            <w:pPr>
              <w:jc w:val="right"/>
              <w:rPr>
                <w:b/>
                <w:bCs/>
                <w:sz w:val="20"/>
                <w:szCs w:val="20"/>
              </w:rPr>
            </w:pPr>
          </w:p>
        </w:tc>
        <w:tc>
          <w:tcPr>
            <w:tcW w:w="693" w:type="pct"/>
            <w:tcBorders>
              <w:top w:val="single" w:sz="4" w:space="0" w:color="auto"/>
              <w:left w:val="nil"/>
              <w:bottom w:val="nil"/>
              <w:right w:val="nil"/>
            </w:tcBorders>
            <w:noWrap/>
            <w:vAlign w:val="bottom"/>
            <w:hideMark/>
          </w:tcPr>
          <w:p w14:paraId="347E0623" w14:textId="77777777" w:rsidR="00C44869" w:rsidRPr="00355DF1" w:rsidRDefault="00C44869" w:rsidP="007B3453">
            <w:pPr>
              <w:jc w:val="right"/>
              <w:rPr>
                <w:sz w:val="20"/>
                <w:szCs w:val="20"/>
              </w:rPr>
            </w:pPr>
            <w:r w:rsidRPr="00355DF1">
              <w:rPr>
                <w:sz w:val="20"/>
                <w:szCs w:val="20"/>
              </w:rPr>
              <w:t xml:space="preserve">       5,150,559 </w:t>
            </w:r>
          </w:p>
        </w:tc>
        <w:tc>
          <w:tcPr>
            <w:tcW w:w="129" w:type="pct"/>
            <w:tcBorders>
              <w:top w:val="nil"/>
              <w:left w:val="nil"/>
              <w:bottom w:val="nil"/>
              <w:right w:val="nil"/>
            </w:tcBorders>
            <w:noWrap/>
            <w:vAlign w:val="bottom"/>
            <w:hideMark/>
          </w:tcPr>
          <w:p w14:paraId="61BE3EAF" w14:textId="77777777" w:rsidR="00C44869" w:rsidRPr="00D46B6F" w:rsidRDefault="00C44869" w:rsidP="007B3453">
            <w:pPr>
              <w:jc w:val="right"/>
              <w:rPr>
                <w:sz w:val="20"/>
                <w:szCs w:val="20"/>
              </w:rPr>
            </w:pPr>
          </w:p>
        </w:tc>
        <w:tc>
          <w:tcPr>
            <w:tcW w:w="700" w:type="pct"/>
            <w:tcBorders>
              <w:top w:val="single" w:sz="4" w:space="0" w:color="auto"/>
              <w:left w:val="nil"/>
              <w:bottom w:val="single" w:sz="4" w:space="0" w:color="auto"/>
              <w:right w:val="nil"/>
            </w:tcBorders>
            <w:noWrap/>
            <w:vAlign w:val="bottom"/>
            <w:hideMark/>
          </w:tcPr>
          <w:p w14:paraId="5A77B4D6" w14:textId="77777777" w:rsidR="00C44869" w:rsidRPr="00D46B6F" w:rsidRDefault="00C44869" w:rsidP="007B3453">
            <w:pPr>
              <w:jc w:val="right"/>
              <w:rPr>
                <w:sz w:val="20"/>
                <w:szCs w:val="20"/>
              </w:rPr>
            </w:pPr>
            <w:r w:rsidRPr="00D46B6F">
              <w:rPr>
                <w:sz w:val="20"/>
                <w:szCs w:val="20"/>
              </w:rPr>
              <w:t xml:space="preserve">       </w:t>
            </w:r>
            <w:r>
              <w:rPr>
                <w:sz w:val="20"/>
                <w:szCs w:val="20"/>
              </w:rPr>
              <w:t>2,694,349</w:t>
            </w:r>
            <w:r w:rsidRPr="00D46B6F">
              <w:rPr>
                <w:sz w:val="20"/>
                <w:szCs w:val="20"/>
              </w:rPr>
              <w:t xml:space="preserve"> </w:t>
            </w:r>
          </w:p>
        </w:tc>
        <w:tc>
          <w:tcPr>
            <w:tcW w:w="467" w:type="pct"/>
            <w:tcBorders>
              <w:top w:val="nil"/>
              <w:left w:val="nil"/>
              <w:bottom w:val="nil"/>
              <w:right w:val="nil"/>
            </w:tcBorders>
            <w:noWrap/>
            <w:vAlign w:val="bottom"/>
            <w:hideMark/>
          </w:tcPr>
          <w:p w14:paraId="3D6159D9" w14:textId="77777777" w:rsidR="00C44869" w:rsidRPr="00D46B6F" w:rsidRDefault="00C44869" w:rsidP="007B3453">
            <w:pPr>
              <w:rPr>
                <w:sz w:val="20"/>
                <w:szCs w:val="20"/>
              </w:rPr>
            </w:pPr>
          </w:p>
        </w:tc>
      </w:tr>
      <w:tr w:rsidR="00C44869" w:rsidRPr="00D46B6F" w14:paraId="2609FFCB" w14:textId="77777777" w:rsidTr="007B3453">
        <w:trPr>
          <w:trHeight w:val="270"/>
        </w:trPr>
        <w:tc>
          <w:tcPr>
            <w:tcW w:w="2064" w:type="pct"/>
            <w:tcBorders>
              <w:top w:val="nil"/>
              <w:left w:val="nil"/>
              <w:bottom w:val="nil"/>
              <w:right w:val="nil"/>
            </w:tcBorders>
            <w:noWrap/>
            <w:vAlign w:val="bottom"/>
            <w:hideMark/>
          </w:tcPr>
          <w:p w14:paraId="2BD6B4E2" w14:textId="77777777" w:rsidR="00C44869" w:rsidRPr="00D46B6F" w:rsidRDefault="00C44869" w:rsidP="007B3453">
            <w:pPr>
              <w:rPr>
                <w:b/>
                <w:bCs/>
                <w:sz w:val="20"/>
                <w:szCs w:val="20"/>
              </w:rPr>
            </w:pPr>
            <w:r w:rsidRPr="00D46B6F">
              <w:rPr>
                <w:b/>
                <w:bCs/>
                <w:sz w:val="20"/>
                <w:szCs w:val="20"/>
              </w:rPr>
              <w:t xml:space="preserve">   Net </w:t>
            </w:r>
            <w:r>
              <w:rPr>
                <w:b/>
                <w:bCs/>
                <w:sz w:val="20"/>
                <w:szCs w:val="20"/>
              </w:rPr>
              <w:t xml:space="preserve">(Liabilities) / </w:t>
            </w:r>
            <w:r w:rsidRPr="00D46B6F">
              <w:rPr>
                <w:b/>
                <w:bCs/>
                <w:sz w:val="20"/>
                <w:szCs w:val="20"/>
              </w:rPr>
              <w:t>Assets</w:t>
            </w:r>
          </w:p>
        </w:tc>
        <w:tc>
          <w:tcPr>
            <w:tcW w:w="129" w:type="pct"/>
            <w:tcBorders>
              <w:top w:val="nil"/>
              <w:left w:val="nil"/>
              <w:bottom w:val="nil"/>
              <w:right w:val="nil"/>
            </w:tcBorders>
            <w:noWrap/>
            <w:vAlign w:val="bottom"/>
            <w:hideMark/>
          </w:tcPr>
          <w:p w14:paraId="66E61D4A" w14:textId="77777777" w:rsidR="00C44869" w:rsidRPr="00D46B6F" w:rsidRDefault="00C44869" w:rsidP="007B3453">
            <w:pPr>
              <w:rPr>
                <w:b/>
                <w:bCs/>
                <w:sz w:val="20"/>
                <w:szCs w:val="20"/>
              </w:rPr>
            </w:pPr>
          </w:p>
        </w:tc>
        <w:tc>
          <w:tcPr>
            <w:tcW w:w="687" w:type="pct"/>
            <w:tcBorders>
              <w:top w:val="single" w:sz="4" w:space="0" w:color="auto"/>
              <w:left w:val="nil"/>
              <w:bottom w:val="single" w:sz="4" w:space="0" w:color="auto"/>
              <w:right w:val="nil"/>
            </w:tcBorders>
            <w:noWrap/>
            <w:vAlign w:val="bottom"/>
          </w:tcPr>
          <w:p w14:paraId="24FE7BE6" w14:textId="77777777" w:rsidR="00C44869" w:rsidRPr="00D46B6F" w:rsidRDefault="00C44869" w:rsidP="007B3453">
            <w:pPr>
              <w:jc w:val="right"/>
              <w:rPr>
                <w:b/>
                <w:bCs/>
                <w:sz w:val="20"/>
                <w:szCs w:val="20"/>
              </w:rPr>
            </w:pPr>
            <w:r>
              <w:rPr>
                <w:b/>
                <w:bCs/>
                <w:sz w:val="20"/>
                <w:szCs w:val="20"/>
              </w:rPr>
              <w:t>(4,563)</w:t>
            </w:r>
          </w:p>
        </w:tc>
        <w:tc>
          <w:tcPr>
            <w:tcW w:w="129" w:type="pct"/>
            <w:tcBorders>
              <w:top w:val="nil"/>
              <w:left w:val="nil"/>
              <w:bottom w:val="nil"/>
              <w:right w:val="nil"/>
            </w:tcBorders>
            <w:noWrap/>
            <w:vAlign w:val="bottom"/>
            <w:hideMark/>
          </w:tcPr>
          <w:p w14:paraId="51E3DC21" w14:textId="77777777" w:rsidR="00C44869" w:rsidRPr="00D46B6F" w:rsidRDefault="00C44869" w:rsidP="007B3453">
            <w:pPr>
              <w:jc w:val="right"/>
              <w:rPr>
                <w:b/>
                <w:bCs/>
                <w:sz w:val="20"/>
                <w:szCs w:val="20"/>
              </w:rPr>
            </w:pPr>
          </w:p>
        </w:tc>
        <w:tc>
          <w:tcPr>
            <w:tcW w:w="693" w:type="pct"/>
            <w:tcBorders>
              <w:top w:val="single" w:sz="4" w:space="0" w:color="auto"/>
              <w:left w:val="nil"/>
              <w:bottom w:val="single" w:sz="4" w:space="0" w:color="auto"/>
              <w:right w:val="nil"/>
            </w:tcBorders>
            <w:noWrap/>
            <w:vAlign w:val="bottom"/>
            <w:hideMark/>
          </w:tcPr>
          <w:p w14:paraId="2D80B2F5" w14:textId="77777777" w:rsidR="00C44869" w:rsidRPr="00355DF1" w:rsidRDefault="00C44869" w:rsidP="007B3453">
            <w:pPr>
              <w:jc w:val="right"/>
              <w:rPr>
                <w:sz w:val="20"/>
                <w:szCs w:val="20"/>
              </w:rPr>
            </w:pPr>
            <w:r w:rsidRPr="00355DF1">
              <w:rPr>
                <w:sz w:val="20"/>
                <w:szCs w:val="20"/>
              </w:rPr>
              <w:t xml:space="preserve">        (699,726)</w:t>
            </w:r>
          </w:p>
        </w:tc>
        <w:tc>
          <w:tcPr>
            <w:tcW w:w="129" w:type="pct"/>
            <w:tcBorders>
              <w:top w:val="nil"/>
              <w:left w:val="nil"/>
              <w:bottom w:val="nil"/>
              <w:right w:val="nil"/>
            </w:tcBorders>
            <w:noWrap/>
            <w:vAlign w:val="bottom"/>
            <w:hideMark/>
          </w:tcPr>
          <w:p w14:paraId="3D5E3A18" w14:textId="77777777" w:rsidR="00C44869" w:rsidRPr="00D46B6F" w:rsidRDefault="00C44869" w:rsidP="007B3453">
            <w:pPr>
              <w:jc w:val="right"/>
              <w:rPr>
                <w:sz w:val="20"/>
                <w:szCs w:val="20"/>
              </w:rPr>
            </w:pPr>
          </w:p>
        </w:tc>
        <w:tc>
          <w:tcPr>
            <w:tcW w:w="700" w:type="pct"/>
            <w:tcBorders>
              <w:top w:val="nil"/>
              <w:left w:val="nil"/>
              <w:bottom w:val="single" w:sz="4" w:space="0" w:color="auto"/>
              <w:right w:val="nil"/>
            </w:tcBorders>
            <w:noWrap/>
            <w:vAlign w:val="bottom"/>
            <w:hideMark/>
          </w:tcPr>
          <w:p w14:paraId="62E7836F" w14:textId="77777777" w:rsidR="00C44869" w:rsidRPr="00D46B6F" w:rsidRDefault="00C44869" w:rsidP="007B3453">
            <w:pPr>
              <w:jc w:val="right"/>
              <w:rPr>
                <w:sz w:val="20"/>
                <w:szCs w:val="20"/>
              </w:rPr>
            </w:pPr>
            <w:r w:rsidRPr="00D46B6F">
              <w:rPr>
                <w:sz w:val="20"/>
                <w:szCs w:val="20"/>
              </w:rPr>
              <w:t xml:space="preserve">         </w:t>
            </w:r>
            <w:r>
              <w:rPr>
                <w:sz w:val="20"/>
                <w:szCs w:val="20"/>
              </w:rPr>
              <w:t>2,750,876</w:t>
            </w:r>
            <w:r w:rsidRPr="00D46B6F">
              <w:rPr>
                <w:sz w:val="20"/>
                <w:szCs w:val="20"/>
              </w:rPr>
              <w:t xml:space="preserve"> </w:t>
            </w:r>
          </w:p>
        </w:tc>
        <w:tc>
          <w:tcPr>
            <w:tcW w:w="467" w:type="pct"/>
            <w:tcBorders>
              <w:top w:val="nil"/>
              <w:left w:val="nil"/>
              <w:bottom w:val="nil"/>
              <w:right w:val="nil"/>
            </w:tcBorders>
            <w:noWrap/>
            <w:vAlign w:val="bottom"/>
            <w:hideMark/>
          </w:tcPr>
          <w:p w14:paraId="66AA158F" w14:textId="77777777" w:rsidR="00C44869" w:rsidRPr="00D46B6F" w:rsidRDefault="00C44869" w:rsidP="007B3453">
            <w:pPr>
              <w:rPr>
                <w:sz w:val="20"/>
                <w:szCs w:val="20"/>
              </w:rPr>
            </w:pPr>
          </w:p>
        </w:tc>
      </w:tr>
      <w:tr w:rsidR="00C44869" w:rsidRPr="00D46B6F" w14:paraId="35F40522" w14:textId="77777777" w:rsidTr="007B3453">
        <w:trPr>
          <w:trHeight w:val="270"/>
        </w:trPr>
        <w:tc>
          <w:tcPr>
            <w:tcW w:w="2064" w:type="pct"/>
            <w:tcBorders>
              <w:top w:val="nil"/>
              <w:left w:val="nil"/>
              <w:bottom w:val="nil"/>
              <w:right w:val="nil"/>
            </w:tcBorders>
            <w:noWrap/>
            <w:vAlign w:val="bottom"/>
            <w:hideMark/>
          </w:tcPr>
          <w:p w14:paraId="68A6D759" w14:textId="77777777" w:rsidR="00C44869" w:rsidRPr="00D46B6F" w:rsidRDefault="00C44869" w:rsidP="007B3453">
            <w:pPr>
              <w:rPr>
                <w:b/>
                <w:bCs/>
                <w:sz w:val="20"/>
                <w:szCs w:val="20"/>
              </w:rPr>
            </w:pPr>
            <w:r w:rsidRPr="00D46B6F">
              <w:rPr>
                <w:b/>
                <w:bCs/>
                <w:sz w:val="20"/>
                <w:szCs w:val="20"/>
              </w:rPr>
              <w:t>Equity</w:t>
            </w:r>
          </w:p>
        </w:tc>
        <w:tc>
          <w:tcPr>
            <w:tcW w:w="129" w:type="pct"/>
            <w:tcBorders>
              <w:top w:val="nil"/>
              <w:left w:val="nil"/>
              <w:bottom w:val="nil"/>
              <w:right w:val="nil"/>
            </w:tcBorders>
            <w:noWrap/>
            <w:vAlign w:val="bottom"/>
            <w:hideMark/>
          </w:tcPr>
          <w:p w14:paraId="63A071E8" w14:textId="77777777" w:rsidR="00C44869" w:rsidRPr="00D46B6F" w:rsidRDefault="00C44869" w:rsidP="007B3453">
            <w:pPr>
              <w:rPr>
                <w:b/>
                <w:bCs/>
                <w:sz w:val="20"/>
                <w:szCs w:val="20"/>
              </w:rPr>
            </w:pPr>
          </w:p>
        </w:tc>
        <w:tc>
          <w:tcPr>
            <w:tcW w:w="687" w:type="pct"/>
            <w:tcBorders>
              <w:top w:val="nil"/>
              <w:left w:val="nil"/>
              <w:bottom w:val="nil"/>
              <w:right w:val="nil"/>
            </w:tcBorders>
            <w:noWrap/>
            <w:vAlign w:val="bottom"/>
          </w:tcPr>
          <w:p w14:paraId="1D3EC5CC" w14:textId="77777777" w:rsidR="00C44869" w:rsidRPr="00D46B6F" w:rsidRDefault="00C44869" w:rsidP="007B3453">
            <w:pPr>
              <w:jc w:val="right"/>
              <w:rPr>
                <w:sz w:val="20"/>
                <w:szCs w:val="20"/>
              </w:rPr>
            </w:pPr>
          </w:p>
        </w:tc>
        <w:tc>
          <w:tcPr>
            <w:tcW w:w="129" w:type="pct"/>
            <w:tcBorders>
              <w:top w:val="nil"/>
              <w:left w:val="nil"/>
              <w:bottom w:val="nil"/>
              <w:right w:val="nil"/>
            </w:tcBorders>
            <w:noWrap/>
            <w:vAlign w:val="bottom"/>
            <w:hideMark/>
          </w:tcPr>
          <w:p w14:paraId="0C36E7E6" w14:textId="77777777" w:rsidR="00C44869" w:rsidRPr="00D46B6F" w:rsidRDefault="00C44869" w:rsidP="007B3453">
            <w:pPr>
              <w:jc w:val="right"/>
              <w:rPr>
                <w:sz w:val="20"/>
                <w:szCs w:val="20"/>
              </w:rPr>
            </w:pPr>
          </w:p>
        </w:tc>
        <w:tc>
          <w:tcPr>
            <w:tcW w:w="693" w:type="pct"/>
            <w:tcBorders>
              <w:top w:val="nil"/>
              <w:left w:val="nil"/>
              <w:bottom w:val="nil"/>
              <w:right w:val="nil"/>
            </w:tcBorders>
            <w:noWrap/>
            <w:vAlign w:val="bottom"/>
            <w:hideMark/>
          </w:tcPr>
          <w:p w14:paraId="316B0C4A" w14:textId="77777777" w:rsidR="00C44869" w:rsidRPr="00355DF1" w:rsidRDefault="00C44869" w:rsidP="007B3453">
            <w:pPr>
              <w:jc w:val="right"/>
              <w:rPr>
                <w:sz w:val="20"/>
                <w:szCs w:val="20"/>
              </w:rPr>
            </w:pPr>
          </w:p>
        </w:tc>
        <w:tc>
          <w:tcPr>
            <w:tcW w:w="129" w:type="pct"/>
            <w:tcBorders>
              <w:top w:val="nil"/>
              <w:left w:val="nil"/>
              <w:bottom w:val="nil"/>
              <w:right w:val="nil"/>
            </w:tcBorders>
            <w:noWrap/>
            <w:vAlign w:val="bottom"/>
            <w:hideMark/>
          </w:tcPr>
          <w:p w14:paraId="72C35363"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4A62FB5E" w14:textId="77777777" w:rsidR="00C44869" w:rsidRPr="00D46B6F" w:rsidRDefault="00C44869" w:rsidP="007B3453">
            <w:pPr>
              <w:jc w:val="right"/>
              <w:rPr>
                <w:sz w:val="20"/>
                <w:szCs w:val="20"/>
              </w:rPr>
            </w:pPr>
          </w:p>
        </w:tc>
        <w:tc>
          <w:tcPr>
            <w:tcW w:w="467" w:type="pct"/>
            <w:tcBorders>
              <w:top w:val="nil"/>
              <w:left w:val="nil"/>
              <w:bottom w:val="nil"/>
              <w:right w:val="nil"/>
            </w:tcBorders>
            <w:noWrap/>
            <w:vAlign w:val="bottom"/>
            <w:hideMark/>
          </w:tcPr>
          <w:p w14:paraId="52522F79" w14:textId="77777777" w:rsidR="00C44869" w:rsidRPr="00D46B6F" w:rsidRDefault="00C44869" w:rsidP="007B3453">
            <w:pPr>
              <w:rPr>
                <w:sz w:val="20"/>
                <w:szCs w:val="20"/>
              </w:rPr>
            </w:pPr>
          </w:p>
        </w:tc>
      </w:tr>
      <w:tr w:rsidR="00C44869" w:rsidRPr="00D46B6F" w14:paraId="051784D5" w14:textId="77777777" w:rsidTr="007B3453">
        <w:trPr>
          <w:trHeight w:val="270"/>
        </w:trPr>
        <w:tc>
          <w:tcPr>
            <w:tcW w:w="2064" w:type="pct"/>
            <w:tcBorders>
              <w:top w:val="nil"/>
              <w:left w:val="nil"/>
              <w:bottom w:val="nil"/>
              <w:right w:val="nil"/>
            </w:tcBorders>
            <w:noWrap/>
            <w:vAlign w:val="bottom"/>
            <w:hideMark/>
          </w:tcPr>
          <w:p w14:paraId="6D75AA76" w14:textId="77777777" w:rsidR="00C44869" w:rsidRPr="00D46B6F" w:rsidRDefault="00C44869" w:rsidP="007B3453">
            <w:pPr>
              <w:ind w:firstLineChars="100" w:firstLine="200"/>
              <w:rPr>
                <w:sz w:val="20"/>
                <w:szCs w:val="20"/>
              </w:rPr>
            </w:pPr>
            <w:r w:rsidRPr="00D46B6F">
              <w:rPr>
                <w:sz w:val="20"/>
                <w:szCs w:val="20"/>
              </w:rPr>
              <w:t>Share capital</w:t>
            </w:r>
          </w:p>
        </w:tc>
        <w:tc>
          <w:tcPr>
            <w:tcW w:w="129" w:type="pct"/>
            <w:tcBorders>
              <w:top w:val="nil"/>
              <w:left w:val="nil"/>
              <w:bottom w:val="nil"/>
              <w:right w:val="nil"/>
            </w:tcBorders>
            <w:noWrap/>
            <w:vAlign w:val="bottom"/>
            <w:hideMark/>
          </w:tcPr>
          <w:p w14:paraId="56196B26"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28307B6E" w14:textId="77777777" w:rsidR="00C44869" w:rsidRPr="00D46B6F" w:rsidRDefault="00C44869" w:rsidP="007B3453">
            <w:pPr>
              <w:jc w:val="right"/>
              <w:rPr>
                <w:b/>
                <w:bCs/>
                <w:sz w:val="20"/>
                <w:szCs w:val="20"/>
              </w:rPr>
            </w:pPr>
            <w:r>
              <w:rPr>
                <w:b/>
                <w:bCs/>
                <w:sz w:val="20"/>
                <w:szCs w:val="20"/>
              </w:rPr>
              <w:t>4,953,169</w:t>
            </w:r>
          </w:p>
        </w:tc>
        <w:tc>
          <w:tcPr>
            <w:tcW w:w="129" w:type="pct"/>
            <w:tcBorders>
              <w:top w:val="nil"/>
              <w:left w:val="nil"/>
              <w:bottom w:val="nil"/>
              <w:right w:val="nil"/>
            </w:tcBorders>
            <w:noWrap/>
            <w:vAlign w:val="bottom"/>
            <w:hideMark/>
          </w:tcPr>
          <w:p w14:paraId="66FBF0A4"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6A4BC0EE" w14:textId="77777777" w:rsidR="00C44869" w:rsidRPr="00355DF1" w:rsidRDefault="00C44869" w:rsidP="007B3453">
            <w:pPr>
              <w:jc w:val="right"/>
              <w:rPr>
                <w:sz w:val="20"/>
                <w:szCs w:val="20"/>
              </w:rPr>
            </w:pPr>
            <w:r w:rsidRPr="00355DF1">
              <w:rPr>
                <w:sz w:val="20"/>
                <w:szCs w:val="20"/>
              </w:rPr>
              <w:t xml:space="preserve">       2,876,153 </w:t>
            </w:r>
          </w:p>
        </w:tc>
        <w:tc>
          <w:tcPr>
            <w:tcW w:w="129" w:type="pct"/>
            <w:tcBorders>
              <w:top w:val="nil"/>
              <w:left w:val="nil"/>
              <w:bottom w:val="nil"/>
              <w:right w:val="nil"/>
            </w:tcBorders>
            <w:noWrap/>
            <w:vAlign w:val="bottom"/>
            <w:hideMark/>
          </w:tcPr>
          <w:p w14:paraId="7735663D"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56A0350F" w14:textId="77777777" w:rsidR="00C44869" w:rsidRPr="00EC1109" w:rsidRDefault="00C44869" w:rsidP="007B3453">
            <w:pPr>
              <w:jc w:val="right"/>
              <w:rPr>
                <w:sz w:val="20"/>
                <w:szCs w:val="20"/>
              </w:rPr>
            </w:pPr>
            <w:r w:rsidRPr="00EC1109">
              <w:rPr>
                <w:sz w:val="20"/>
                <w:szCs w:val="20"/>
              </w:rPr>
              <w:t>4,953,169</w:t>
            </w:r>
          </w:p>
        </w:tc>
        <w:tc>
          <w:tcPr>
            <w:tcW w:w="467" w:type="pct"/>
            <w:tcBorders>
              <w:top w:val="nil"/>
              <w:left w:val="nil"/>
              <w:bottom w:val="nil"/>
              <w:right w:val="nil"/>
            </w:tcBorders>
            <w:noWrap/>
            <w:vAlign w:val="bottom"/>
            <w:hideMark/>
          </w:tcPr>
          <w:p w14:paraId="5B2066E0" w14:textId="77777777" w:rsidR="00C44869" w:rsidRPr="00D46B6F" w:rsidRDefault="00C44869" w:rsidP="007B3453">
            <w:pPr>
              <w:jc w:val="right"/>
              <w:rPr>
                <w:sz w:val="20"/>
                <w:szCs w:val="20"/>
              </w:rPr>
            </w:pPr>
          </w:p>
        </w:tc>
      </w:tr>
      <w:tr w:rsidR="00C44869" w:rsidRPr="00D46B6F" w14:paraId="785FE935" w14:textId="77777777" w:rsidTr="007B3453">
        <w:trPr>
          <w:trHeight w:val="270"/>
        </w:trPr>
        <w:tc>
          <w:tcPr>
            <w:tcW w:w="2064" w:type="pct"/>
            <w:tcBorders>
              <w:top w:val="nil"/>
              <w:left w:val="nil"/>
              <w:bottom w:val="nil"/>
              <w:right w:val="nil"/>
            </w:tcBorders>
            <w:noWrap/>
            <w:vAlign w:val="bottom"/>
            <w:hideMark/>
          </w:tcPr>
          <w:p w14:paraId="724F909B" w14:textId="77777777" w:rsidR="00C44869" w:rsidRPr="00D46B6F" w:rsidRDefault="00C44869" w:rsidP="007B3453">
            <w:pPr>
              <w:ind w:firstLineChars="100" w:firstLine="200"/>
              <w:rPr>
                <w:sz w:val="20"/>
                <w:szCs w:val="20"/>
              </w:rPr>
            </w:pPr>
            <w:r w:rsidRPr="00D46B6F">
              <w:rPr>
                <w:sz w:val="20"/>
                <w:szCs w:val="20"/>
              </w:rPr>
              <w:t>Share premium account</w:t>
            </w:r>
          </w:p>
        </w:tc>
        <w:tc>
          <w:tcPr>
            <w:tcW w:w="129" w:type="pct"/>
            <w:tcBorders>
              <w:top w:val="nil"/>
              <w:left w:val="nil"/>
              <w:bottom w:val="nil"/>
              <w:right w:val="nil"/>
            </w:tcBorders>
            <w:noWrap/>
            <w:vAlign w:val="bottom"/>
            <w:hideMark/>
          </w:tcPr>
          <w:p w14:paraId="716B711C"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41DF211A" w14:textId="77777777" w:rsidR="00C44869" w:rsidRPr="00D46B6F" w:rsidRDefault="00C44869" w:rsidP="007B3453">
            <w:pPr>
              <w:jc w:val="right"/>
              <w:rPr>
                <w:b/>
                <w:bCs/>
                <w:sz w:val="20"/>
                <w:szCs w:val="20"/>
              </w:rPr>
            </w:pPr>
            <w:r>
              <w:rPr>
                <w:b/>
                <w:bCs/>
                <w:sz w:val="20"/>
                <w:szCs w:val="20"/>
              </w:rPr>
              <w:t>14,755,570</w:t>
            </w:r>
          </w:p>
        </w:tc>
        <w:tc>
          <w:tcPr>
            <w:tcW w:w="129" w:type="pct"/>
            <w:tcBorders>
              <w:top w:val="nil"/>
              <w:left w:val="nil"/>
              <w:bottom w:val="nil"/>
              <w:right w:val="nil"/>
            </w:tcBorders>
            <w:noWrap/>
            <w:vAlign w:val="bottom"/>
            <w:hideMark/>
          </w:tcPr>
          <w:p w14:paraId="2805CBDF"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016AF34C" w14:textId="77777777" w:rsidR="00C44869" w:rsidRPr="00355DF1" w:rsidRDefault="00C44869" w:rsidP="007B3453">
            <w:pPr>
              <w:jc w:val="right"/>
              <w:rPr>
                <w:sz w:val="20"/>
                <w:szCs w:val="20"/>
              </w:rPr>
            </w:pPr>
            <w:r w:rsidRPr="00355DF1">
              <w:rPr>
                <w:sz w:val="20"/>
                <w:szCs w:val="20"/>
              </w:rPr>
              <w:t xml:space="preserve">     11,718,000 </w:t>
            </w:r>
          </w:p>
        </w:tc>
        <w:tc>
          <w:tcPr>
            <w:tcW w:w="129" w:type="pct"/>
            <w:tcBorders>
              <w:top w:val="nil"/>
              <w:left w:val="nil"/>
              <w:bottom w:val="nil"/>
              <w:right w:val="nil"/>
            </w:tcBorders>
            <w:noWrap/>
            <w:vAlign w:val="bottom"/>
            <w:hideMark/>
          </w:tcPr>
          <w:p w14:paraId="7F045072"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638F1B33" w14:textId="77777777" w:rsidR="00C44869" w:rsidRPr="00EC1109" w:rsidRDefault="00C44869" w:rsidP="007B3453">
            <w:pPr>
              <w:jc w:val="right"/>
              <w:rPr>
                <w:sz w:val="20"/>
                <w:szCs w:val="20"/>
              </w:rPr>
            </w:pPr>
            <w:r w:rsidRPr="00EC1109">
              <w:rPr>
                <w:sz w:val="20"/>
                <w:szCs w:val="20"/>
              </w:rPr>
              <w:t>14,755,570</w:t>
            </w:r>
          </w:p>
        </w:tc>
        <w:tc>
          <w:tcPr>
            <w:tcW w:w="467" w:type="pct"/>
            <w:tcBorders>
              <w:top w:val="nil"/>
              <w:left w:val="nil"/>
              <w:bottom w:val="nil"/>
              <w:right w:val="nil"/>
            </w:tcBorders>
            <w:noWrap/>
            <w:vAlign w:val="bottom"/>
            <w:hideMark/>
          </w:tcPr>
          <w:p w14:paraId="04136D97" w14:textId="77777777" w:rsidR="00C44869" w:rsidRPr="00D46B6F" w:rsidRDefault="00C44869" w:rsidP="007B3453">
            <w:pPr>
              <w:jc w:val="right"/>
              <w:rPr>
                <w:sz w:val="20"/>
                <w:szCs w:val="20"/>
              </w:rPr>
            </w:pPr>
          </w:p>
        </w:tc>
      </w:tr>
      <w:tr w:rsidR="00C44869" w:rsidRPr="00D46B6F" w14:paraId="201D6DF5" w14:textId="77777777" w:rsidTr="007B3453">
        <w:trPr>
          <w:trHeight w:val="270"/>
        </w:trPr>
        <w:tc>
          <w:tcPr>
            <w:tcW w:w="2064" w:type="pct"/>
            <w:tcBorders>
              <w:top w:val="nil"/>
              <w:left w:val="nil"/>
              <w:bottom w:val="nil"/>
              <w:right w:val="nil"/>
            </w:tcBorders>
            <w:noWrap/>
            <w:vAlign w:val="bottom"/>
            <w:hideMark/>
          </w:tcPr>
          <w:p w14:paraId="12828EAB" w14:textId="77777777" w:rsidR="00C44869" w:rsidRPr="00D46B6F" w:rsidRDefault="00C44869" w:rsidP="007B3453">
            <w:pPr>
              <w:ind w:firstLineChars="100" w:firstLine="200"/>
              <w:rPr>
                <w:sz w:val="20"/>
                <w:szCs w:val="20"/>
              </w:rPr>
            </w:pPr>
            <w:r w:rsidRPr="00D46B6F">
              <w:rPr>
                <w:sz w:val="20"/>
                <w:szCs w:val="20"/>
              </w:rPr>
              <w:t>Share based payments reserve</w:t>
            </w:r>
          </w:p>
        </w:tc>
        <w:tc>
          <w:tcPr>
            <w:tcW w:w="129" w:type="pct"/>
            <w:tcBorders>
              <w:top w:val="nil"/>
              <w:left w:val="nil"/>
              <w:bottom w:val="nil"/>
              <w:right w:val="nil"/>
            </w:tcBorders>
            <w:noWrap/>
            <w:vAlign w:val="bottom"/>
            <w:hideMark/>
          </w:tcPr>
          <w:p w14:paraId="35A7E5B4"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0523EAFC" w14:textId="77777777" w:rsidR="00C44869" w:rsidRPr="00D46B6F" w:rsidRDefault="00C44869" w:rsidP="007B3453">
            <w:pPr>
              <w:jc w:val="right"/>
              <w:rPr>
                <w:b/>
                <w:bCs/>
                <w:sz w:val="20"/>
                <w:szCs w:val="20"/>
              </w:rPr>
            </w:pPr>
            <w:r>
              <w:rPr>
                <w:b/>
                <w:bCs/>
                <w:sz w:val="20"/>
                <w:szCs w:val="20"/>
              </w:rPr>
              <w:t>4,516,608</w:t>
            </w:r>
          </w:p>
        </w:tc>
        <w:tc>
          <w:tcPr>
            <w:tcW w:w="129" w:type="pct"/>
            <w:tcBorders>
              <w:top w:val="nil"/>
              <w:left w:val="nil"/>
              <w:bottom w:val="nil"/>
              <w:right w:val="nil"/>
            </w:tcBorders>
            <w:noWrap/>
            <w:vAlign w:val="bottom"/>
            <w:hideMark/>
          </w:tcPr>
          <w:p w14:paraId="4DFA68B0"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1A8F090C" w14:textId="77777777" w:rsidR="00C44869" w:rsidRPr="00355DF1" w:rsidRDefault="00C44869" w:rsidP="007B3453">
            <w:pPr>
              <w:jc w:val="right"/>
              <w:rPr>
                <w:sz w:val="20"/>
                <w:szCs w:val="20"/>
              </w:rPr>
            </w:pPr>
            <w:r w:rsidRPr="00355DF1">
              <w:rPr>
                <w:sz w:val="20"/>
                <w:szCs w:val="20"/>
              </w:rPr>
              <w:t xml:space="preserve">       4,516,608 </w:t>
            </w:r>
          </w:p>
        </w:tc>
        <w:tc>
          <w:tcPr>
            <w:tcW w:w="129" w:type="pct"/>
            <w:tcBorders>
              <w:top w:val="nil"/>
              <w:left w:val="nil"/>
              <w:bottom w:val="nil"/>
              <w:right w:val="nil"/>
            </w:tcBorders>
            <w:noWrap/>
            <w:vAlign w:val="bottom"/>
            <w:hideMark/>
          </w:tcPr>
          <w:p w14:paraId="7C5AD46B"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4393FC84" w14:textId="77777777" w:rsidR="00C44869" w:rsidRPr="00EC1109" w:rsidRDefault="00C44869" w:rsidP="007B3453">
            <w:pPr>
              <w:jc w:val="right"/>
              <w:rPr>
                <w:sz w:val="20"/>
                <w:szCs w:val="20"/>
              </w:rPr>
            </w:pPr>
            <w:r w:rsidRPr="00EC1109">
              <w:rPr>
                <w:sz w:val="20"/>
                <w:szCs w:val="20"/>
              </w:rPr>
              <w:t>4,516,608</w:t>
            </w:r>
          </w:p>
        </w:tc>
        <w:tc>
          <w:tcPr>
            <w:tcW w:w="467" w:type="pct"/>
            <w:tcBorders>
              <w:top w:val="nil"/>
              <w:left w:val="nil"/>
              <w:bottom w:val="nil"/>
              <w:right w:val="nil"/>
            </w:tcBorders>
            <w:noWrap/>
            <w:vAlign w:val="bottom"/>
            <w:hideMark/>
          </w:tcPr>
          <w:p w14:paraId="1F4B2028" w14:textId="77777777" w:rsidR="00C44869" w:rsidRPr="00D46B6F" w:rsidRDefault="00C44869" w:rsidP="007B3453">
            <w:pPr>
              <w:jc w:val="right"/>
              <w:rPr>
                <w:sz w:val="20"/>
                <w:szCs w:val="20"/>
              </w:rPr>
            </w:pPr>
          </w:p>
        </w:tc>
      </w:tr>
      <w:tr w:rsidR="00C44869" w:rsidRPr="00D46B6F" w14:paraId="7DF77CFA" w14:textId="77777777" w:rsidTr="007B3453">
        <w:trPr>
          <w:trHeight w:val="270"/>
        </w:trPr>
        <w:tc>
          <w:tcPr>
            <w:tcW w:w="2064" w:type="pct"/>
            <w:tcBorders>
              <w:top w:val="nil"/>
              <w:left w:val="nil"/>
              <w:bottom w:val="nil"/>
              <w:right w:val="nil"/>
            </w:tcBorders>
            <w:noWrap/>
            <w:vAlign w:val="bottom"/>
            <w:hideMark/>
          </w:tcPr>
          <w:p w14:paraId="24101829" w14:textId="77777777" w:rsidR="00C44869" w:rsidRPr="00D46B6F" w:rsidRDefault="00C44869" w:rsidP="007B3453">
            <w:pPr>
              <w:ind w:firstLineChars="100" w:firstLine="200"/>
              <w:rPr>
                <w:sz w:val="20"/>
                <w:szCs w:val="20"/>
              </w:rPr>
            </w:pPr>
            <w:r w:rsidRPr="00D46B6F">
              <w:rPr>
                <w:sz w:val="20"/>
                <w:szCs w:val="20"/>
              </w:rPr>
              <w:t>Compound loan note equity component reserve</w:t>
            </w:r>
          </w:p>
        </w:tc>
        <w:tc>
          <w:tcPr>
            <w:tcW w:w="129" w:type="pct"/>
            <w:tcBorders>
              <w:top w:val="nil"/>
              <w:left w:val="nil"/>
              <w:bottom w:val="nil"/>
              <w:right w:val="nil"/>
            </w:tcBorders>
            <w:noWrap/>
            <w:vAlign w:val="bottom"/>
            <w:hideMark/>
          </w:tcPr>
          <w:p w14:paraId="187BB3AA"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5CA84145" w14:textId="77777777" w:rsidR="00C44869" w:rsidRPr="00D46B6F" w:rsidRDefault="00C44869" w:rsidP="007B3453">
            <w:pPr>
              <w:jc w:val="right"/>
              <w:rPr>
                <w:b/>
                <w:bCs/>
                <w:sz w:val="20"/>
                <w:szCs w:val="20"/>
              </w:rPr>
            </w:pPr>
            <w:r>
              <w:rPr>
                <w:b/>
                <w:bCs/>
                <w:sz w:val="20"/>
                <w:szCs w:val="20"/>
              </w:rPr>
              <w:t>19,052</w:t>
            </w:r>
          </w:p>
        </w:tc>
        <w:tc>
          <w:tcPr>
            <w:tcW w:w="129" w:type="pct"/>
            <w:tcBorders>
              <w:top w:val="nil"/>
              <w:left w:val="nil"/>
              <w:bottom w:val="nil"/>
              <w:right w:val="nil"/>
            </w:tcBorders>
            <w:noWrap/>
            <w:vAlign w:val="bottom"/>
            <w:hideMark/>
          </w:tcPr>
          <w:p w14:paraId="3DDCDCF7"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5D15D4F5" w14:textId="77777777" w:rsidR="00C44869" w:rsidRPr="00355DF1" w:rsidRDefault="00C44869" w:rsidP="007B3453">
            <w:pPr>
              <w:jc w:val="right"/>
              <w:rPr>
                <w:sz w:val="20"/>
                <w:szCs w:val="20"/>
              </w:rPr>
            </w:pPr>
            <w:r w:rsidRPr="00355DF1">
              <w:rPr>
                <w:sz w:val="20"/>
                <w:szCs w:val="20"/>
              </w:rPr>
              <w:t xml:space="preserve">         419,168 </w:t>
            </w:r>
          </w:p>
        </w:tc>
        <w:tc>
          <w:tcPr>
            <w:tcW w:w="129" w:type="pct"/>
            <w:tcBorders>
              <w:top w:val="nil"/>
              <w:left w:val="nil"/>
              <w:bottom w:val="nil"/>
              <w:right w:val="nil"/>
            </w:tcBorders>
            <w:noWrap/>
            <w:vAlign w:val="bottom"/>
            <w:hideMark/>
          </w:tcPr>
          <w:p w14:paraId="2997A40E"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397D79E3" w14:textId="77777777" w:rsidR="00C44869" w:rsidRPr="00D46B6F" w:rsidRDefault="00C44869" w:rsidP="007B3453">
            <w:pPr>
              <w:jc w:val="right"/>
              <w:rPr>
                <w:sz w:val="20"/>
                <w:szCs w:val="20"/>
              </w:rPr>
            </w:pPr>
            <w:r>
              <w:rPr>
                <w:sz w:val="20"/>
                <w:szCs w:val="20"/>
              </w:rPr>
              <w:t>19,052</w:t>
            </w:r>
          </w:p>
        </w:tc>
        <w:tc>
          <w:tcPr>
            <w:tcW w:w="467" w:type="pct"/>
            <w:tcBorders>
              <w:top w:val="nil"/>
              <w:left w:val="nil"/>
              <w:bottom w:val="nil"/>
              <w:right w:val="nil"/>
            </w:tcBorders>
            <w:noWrap/>
            <w:vAlign w:val="bottom"/>
            <w:hideMark/>
          </w:tcPr>
          <w:p w14:paraId="1DB9DA46" w14:textId="77777777" w:rsidR="00C44869" w:rsidRPr="00D46B6F" w:rsidRDefault="00C44869" w:rsidP="007B3453">
            <w:pPr>
              <w:jc w:val="right"/>
              <w:rPr>
                <w:sz w:val="20"/>
                <w:szCs w:val="20"/>
              </w:rPr>
            </w:pPr>
          </w:p>
        </w:tc>
      </w:tr>
      <w:tr w:rsidR="00C44869" w:rsidRPr="00D46B6F" w14:paraId="6E062CC4" w14:textId="77777777" w:rsidTr="007B3453">
        <w:trPr>
          <w:trHeight w:val="270"/>
        </w:trPr>
        <w:tc>
          <w:tcPr>
            <w:tcW w:w="2064" w:type="pct"/>
            <w:tcBorders>
              <w:top w:val="nil"/>
              <w:left w:val="nil"/>
              <w:bottom w:val="nil"/>
              <w:right w:val="nil"/>
            </w:tcBorders>
            <w:noWrap/>
            <w:vAlign w:val="bottom"/>
            <w:hideMark/>
          </w:tcPr>
          <w:p w14:paraId="1A8282F3" w14:textId="77777777" w:rsidR="00C44869" w:rsidRPr="00D46B6F" w:rsidRDefault="00C44869" w:rsidP="007B3453">
            <w:pPr>
              <w:ind w:firstLineChars="100" w:firstLine="200"/>
              <w:rPr>
                <w:sz w:val="20"/>
                <w:szCs w:val="20"/>
              </w:rPr>
            </w:pPr>
            <w:r w:rsidRPr="00D46B6F">
              <w:rPr>
                <w:sz w:val="20"/>
                <w:szCs w:val="20"/>
              </w:rPr>
              <w:t>Foreign currency translation reserve</w:t>
            </w:r>
          </w:p>
        </w:tc>
        <w:tc>
          <w:tcPr>
            <w:tcW w:w="129" w:type="pct"/>
            <w:tcBorders>
              <w:top w:val="nil"/>
              <w:left w:val="nil"/>
              <w:bottom w:val="nil"/>
              <w:right w:val="nil"/>
            </w:tcBorders>
            <w:noWrap/>
            <w:vAlign w:val="bottom"/>
            <w:hideMark/>
          </w:tcPr>
          <w:p w14:paraId="1BE66EFC"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723C70B1" w14:textId="77777777" w:rsidR="00C44869" w:rsidRPr="00D46B6F" w:rsidRDefault="00C44869" w:rsidP="007B3453">
            <w:pPr>
              <w:jc w:val="right"/>
              <w:rPr>
                <w:b/>
                <w:bCs/>
                <w:sz w:val="20"/>
                <w:szCs w:val="20"/>
              </w:rPr>
            </w:pPr>
            <w:r>
              <w:rPr>
                <w:b/>
                <w:bCs/>
                <w:sz w:val="20"/>
                <w:szCs w:val="20"/>
              </w:rPr>
              <w:t>203,704</w:t>
            </w:r>
          </w:p>
        </w:tc>
        <w:tc>
          <w:tcPr>
            <w:tcW w:w="129" w:type="pct"/>
            <w:tcBorders>
              <w:top w:val="nil"/>
              <w:left w:val="nil"/>
              <w:bottom w:val="nil"/>
              <w:right w:val="nil"/>
            </w:tcBorders>
            <w:noWrap/>
            <w:vAlign w:val="bottom"/>
            <w:hideMark/>
          </w:tcPr>
          <w:p w14:paraId="13BC2A85"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34B7D94E" w14:textId="77777777" w:rsidR="00C44869" w:rsidRPr="00355DF1" w:rsidRDefault="00C44869" w:rsidP="007B3453">
            <w:pPr>
              <w:jc w:val="right"/>
              <w:rPr>
                <w:sz w:val="20"/>
                <w:szCs w:val="20"/>
              </w:rPr>
            </w:pPr>
            <w:r w:rsidRPr="00355DF1">
              <w:rPr>
                <w:sz w:val="20"/>
                <w:szCs w:val="20"/>
              </w:rPr>
              <w:t xml:space="preserve">         259,930 </w:t>
            </w:r>
          </w:p>
        </w:tc>
        <w:tc>
          <w:tcPr>
            <w:tcW w:w="129" w:type="pct"/>
            <w:tcBorders>
              <w:top w:val="nil"/>
              <w:left w:val="nil"/>
              <w:bottom w:val="nil"/>
              <w:right w:val="nil"/>
            </w:tcBorders>
            <w:noWrap/>
            <w:vAlign w:val="bottom"/>
            <w:hideMark/>
          </w:tcPr>
          <w:p w14:paraId="0C184687"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hideMark/>
          </w:tcPr>
          <w:p w14:paraId="1A565D92" w14:textId="77777777" w:rsidR="00C44869" w:rsidRPr="00D46B6F" w:rsidRDefault="00C44869" w:rsidP="007B3453">
            <w:pPr>
              <w:jc w:val="right"/>
              <w:rPr>
                <w:sz w:val="20"/>
                <w:szCs w:val="20"/>
              </w:rPr>
            </w:pPr>
            <w:r w:rsidRPr="00D46B6F">
              <w:rPr>
                <w:sz w:val="20"/>
                <w:szCs w:val="20"/>
              </w:rPr>
              <w:t>2</w:t>
            </w:r>
            <w:r>
              <w:rPr>
                <w:sz w:val="20"/>
                <w:szCs w:val="20"/>
              </w:rPr>
              <w:t>03</w:t>
            </w:r>
            <w:r w:rsidRPr="00D46B6F">
              <w:rPr>
                <w:sz w:val="20"/>
                <w:szCs w:val="20"/>
              </w:rPr>
              <w:t>,</w:t>
            </w:r>
            <w:r>
              <w:rPr>
                <w:sz w:val="20"/>
                <w:szCs w:val="20"/>
              </w:rPr>
              <w:t>704</w:t>
            </w:r>
            <w:r w:rsidRPr="00D46B6F">
              <w:rPr>
                <w:sz w:val="20"/>
                <w:szCs w:val="20"/>
              </w:rPr>
              <w:t xml:space="preserve"> </w:t>
            </w:r>
          </w:p>
        </w:tc>
        <w:tc>
          <w:tcPr>
            <w:tcW w:w="467" w:type="pct"/>
            <w:tcBorders>
              <w:top w:val="nil"/>
              <w:left w:val="nil"/>
              <w:bottom w:val="nil"/>
              <w:right w:val="nil"/>
            </w:tcBorders>
            <w:noWrap/>
            <w:vAlign w:val="bottom"/>
            <w:hideMark/>
          </w:tcPr>
          <w:p w14:paraId="7E506A2D" w14:textId="77777777" w:rsidR="00C44869" w:rsidRPr="00D46B6F" w:rsidRDefault="00C44869" w:rsidP="007B3453">
            <w:pPr>
              <w:jc w:val="right"/>
              <w:rPr>
                <w:sz w:val="20"/>
                <w:szCs w:val="20"/>
              </w:rPr>
            </w:pPr>
          </w:p>
        </w:tc>
      </w:tr>
      <w:tr w:rsidR="00C44869" w:rsidRPr="00D46B6F" w14:paraId="162506E5" w14:textId="77777777" w:rsidTr="007B3453">
        <w:trPr>
          <w:trHeight w:val="270"/>
        </w:trPr>
        <w:tc>
          <w:tcPr>
            <w:tcW w:w="2064" w:type="pct"/>
            <w:tcBorders>
              <w:top w:val="nil"/>
              <w:left w:val="nil"/>
              <w:bottom w:val="nil"/>
              <w:right w:val="nil"/>
            </w:tcBorders>
            <w:noWrap/>
            <w:vAlign w:val="bottom"/>
          </w:tcPr>
          <w:p w14:paraId="7DF0551C" w14:textId="77777777" w:rsidR="00C44869" w:rsidRPr="00D46B6F" w:rsidRDefault="00C44869" w:rsidP="007B3453">
            <w:pPr>
              <w:ind w:firstLineChars="100" w:firstLine="200"/>
              <w:rPr>
                <w:sz w:val="20"/>
                <w:szCs w:val="20"/>
              </w:rPr>
            </w:pPr>
            <w:r>
              <w:rPr>
                <w:sz w:val="20"/>
                <w:szCs w:val="20"/>
              </w:rPr>
              <w:t>Other reserve</w:t>
            </w:r>
          </w:p>
        </w:tc>
        <w:tc>
          <w:tcPr>
            <w:tcW w:w="129" w:type="pct"/>
            <w:tcBorders>
              <w:top w:val="nil"/>
              <w:left w:val="nil"/>
              <w:bottom w:val="nil"/>
              <w:right w:val="nil"/>
            </w:tcBorders>
            <w:noWrap/>
            <w:vAlign w:val="bottom"/>
          </w:tcPr>
          <w:p w14:paraId="07FE0165"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36883AA9" w14:textId="77777777" w:rsidR="00C44869" w:rsidRDefault="00C44869" w:rsidP="007B3453">
            <w:pPr>
              <w:jc w:val="right"/>
              <w:rPr>
                <w:b/>
                <w:bCs/>
                <w:sz w:val="20"/>
                <w:szCs w:val="20"/>
              </w:rPr>
            </w:pPr>
            <w:r>
              <w:rPr>
                <w:b/>
                <w:bCs/>
                <w:sz w:val="20"/>
                <w:szCs w:val="20"/>
              </w:rPr>
              <w:t>400,116</w:t>
            </w:r>
          </w:p>
        </w:tc>
        <w:tc>
          <w:tcPr>
            <w:tcW w:w="129" w:type="pct"/>
            <w:tcBorders>
              <w:top w:val="nil"/>
              <w:left w:val="nil"/>
              <w:bottom w:val="nil"/>
              <w:right w:val="nil"/>
            </w:tcBorders>
            <w:noWrap/>
            <w:vAlign w:val="bottom"/>
          </w:tcPr>
          <w:p w14:paraId="233F3D5D"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tcPr>
          <w:p w14:paraId="4C21D5B4" w14:textId="77777777" w:rsidR="00C44869" w:rsidRPr="00355DF1" w:rsidRDefault="00C44869" w:rsidP="007B3453">
            <w:pPr>
              <w:jc w:val="right"/>
              <w:rPr>
                <w:sz w:val="20"/>
                <w:szCs w:val="20"/>
              </w:rPr>
            </w:pPr>
            <w:r>
              <w:rPr>
                <w:sz w:val="20"/>
                <w:szCs w:val="20"/>
              </w:rPr>
              <w:t>-</w:t>
            </w:r>
          </w:p>
        </w:tc>
        <w:tc>
          <w:tcPr>
            <w:tcW w:w="129" w:type="pct"/>
            <w:tcBorders>
              <w:top w:val="nil"/>
              <w:left w:val="nil"/>
              <w:bottom w:val="nil"/>
              <w:right w:val="nil"/>
            </w:tcBorders>
            <w:noWrap/>
            <w:vAlign w:val="bottom"/>
          </w:tcPr>
          <w:p w14:paraId="491027B7" w14:textId="77777777" w:rsidR="00C44869" w:rsidRPr="00D46B6F" w:rsidRDefault="00C44869" w:rsidP="007B3453">
            <w:pPr>
              <w:jc w:val="right"/>
              <w:rPr>
                <w:sz w:val="20"/>
                <w:szCs w:val="20"/>
              </w:rPr>
            </w:pPr>
          </w:p>
        </w:tc>
        <w:tc>
          <w:tcPr>
            <w:tcW w:w="700" w:type="pct"/>
            <w:tcBorders>
              <w:top w:val="nil"/>
              <w:left w:val="nil"/>
              <w:bottom w:val="nil"/>
              <w:right w:val="nil"/>
            </w:tcBorders>
            <w:noWrap/>
            <w:vAlign w:val="bottom"/>
          </w:tcPr>
          <w:p w14:paraId="0BD082B5" w14:textId="77777777" w:rsidR="00C44869" w:rsidRPr="00D46B6F" w:rsidRDefault="00C44869" w:rsidP="007B3453">
            <w:pPr>
              <w:jc w:val="right"/>
              <w:rPr>
                <w:sz w:val="20"/>
                <w:szCs w:val="20"/>
              </w:rPr>
            </w:pPr>
            <w:r>
              <w:rPr>
                <w:sz w:val="20"/>
                <w:szCs w:val="20"/>
              </w:rPr>
              <w:t>400,116</w:t>
            </w:r>
          </w:p>
        </w:tc>
        <w:tc>
          <w:tcPr>
            <w:tcW w:w="467" w:type="pct"/>
            <w:tcBorders>
              <w:top w:val="nil"/>
              <w:left w:val="nil"/>
              <w:bottom w:val="nil"/>
              <w:right w:val="nil"/>
            </w:tcBorders>
            <w:noWrap/>
            <w:vAlign w:val="bottom"/>
          </w:tcPr>
          <w:p w14:paraId="59330A75" w14:textId="77777777" w:rsidR="00C44869" w:rsidRPr="00D46B6F" w:rsidRDefault="00C44869" w:rsidP="007B3453">
            <w:pPr>
              <w:jc w:val="right"/>
              <w:rPr>
                <w:sz w:val="20"/>
                <w:szCs w:val="20"/>
              </w:rPr>
            </w:pPr>
          </w:p>
        </w:tc>
      </w:tr>
      <w:tr w:rsidR="00C44869" w:rsidRPr="00D46B6F" w14:paraId="340545B3" w14:textId="77777777" w:rsidTr="007B3453">
        <w:trPr>
          <w:trHeight w:val="300"/>
        </w:trPr>
        <w:tc>
          <w:tcPr>
            <w:tcW w:w="2064" w:type="pct"/>
            <w:tcBorders>
              <w:top w:val="nil"/>
              <w:left w:val="nil"/>
              <w:bottom w:val="nil"/>
              <w:right w:val="nil"/>
            </w:tcBorders>
            <w:noWrap/>
            <w:vAlign w:val="bottom"/>
            <w:hideMark/>
          </w:tcPr>
          <w:p w14:paraId="2586313F" w14:textId="77777777" w:rsidR="00C44869" w:rsidRPr="00D46B6F" w:rsidRDefault="00C44869" w:rsidP="007B3453">
            <w:pPr>
              <w:ind w:firstLineChars="100" w:firstLine="200"/>
              <w:rPr>
                <w:sz w:val="20"/>
                <w:szCs w:val="20"/>
              </w:rPr>
            </w:pPr>
            <w:r w:rsidRPr="00D46B6F">
              <w:rPr>
                <w:sz w:val="20"/>
                <w:szCs w:val="20"/>
              </w:rPr>
              <w:t>Retained loss</w:t>
            </w:r>
            <w:r>
              <w:rPr>
                <w:sz w:val="20"/>
                <w:szCs w:val="20"/>
              </w:rPr>
              <w:t>es</w:t>
            </w:r>
          </w:p>
        </w:tc>
        <w:tc>
          <w:tcPr>
            <w:tcW w:w="129" w:type="pct"/>
            <w:tcBorders>
              <w:top w:val="nil"/>
              <w:left w:val="nil"/>
              <w:bottom w:val="nil"/>
              <w:right w:val="nil"/>
            </w:tcBorders>
            <w:noWrap/>
            <w:vAlign w:val="bottom"/>
            <w:hideMark/>
          </w:tcPr>
          <w:p w14:paraId="281BFE40" w14:textId="77777777" w:rsidR="00C44869" w:rsidRPr="00D46B6F" w:rsidRDefault="00C44869" w:rsidP="007B3453">
            <w:pPr>
              <w:ind w:firstLineChars="100" w:firstLine="200"/>
              <w:rPr>
                <w:sz w:val="20"/>
                <w:szCs w:val="20"/>
              </w:rPr>
            </w:pPr>
          </w:p>
        </w:tc>
        <w:tc>
          <w:tcPr>
            <w:tcW w:w="687" w:type="pct"/>
            <w:tcBorders>
              <w:top w:val="nil"/>
              <w:left w:val="nil"/>
              <w:bottom w:val="nil"/>
              <w:right w:val="nil"/>
            </w:tcBorders>
            <w:noWrap/>
            <w:vAlign w:val="bottom"/>
          </w:tcPr>
          <w:p w14:paraId="54F5B836" w14:textId="77777777" w:rsidR="00C44869" w:rsidRPr="00D46B6F" w:rsidRDefault="00C44869" w:rsidP="007B3453">
            <w:pPr>
              <w:jc w:val="right"/>
              <w:rPr>
                <w:b/>
                <w:bCs/>
                <w:sz w:val="20"/>
                <w:szCs w:val="20"/>
              </w:rPr>
            </w:pPr>
            <w:r>
              <w:rPr>
                <w:b/>
                <w:bCs/>
                <w:sz w:val="20"/>
                <w:szCs w:val="20"/>
              </w:rPr>
              <w:t>(24,852,782)</w:t>
            </w:r>
          </w:p>
        </w:tc>
        <w:tc>
          <w:tcPr>
            <w:tcW w:w="129" w:type="pct"/>
            <w:tcBorders>
              <w:top w:val="nil"/>
              <w:left w:val="nil"/>
              <w:bottom w:val="nil"/>
              <w:right w:val="nil"/>
            </w:tcBorders>
            <w:noWrap/>
            <w:vAlign w:val="bottom"/>
            <w:hideMark/>
          </w:tcPr>
          <w:p w14:paraId="71A8DD16" w14:textId="77777777" w:rsidR="00C44869" w:rsidRPr="00D46B6F" w:rsidRDefault="00C44869" w:rsidP="007B3453">
            <w:pPr>
              <w:jc w:val="right"/>
              <w:rPr>
                <w:b/>
                <w:bCs/>
                <w:sz w:val="20"/>
                <w:szCs w:val="20"/>
              </w:rPr>
            </w:pPr>
          </w:p>
        </w:tc>
        <w:tc>
          <w:tcPr>
            <w:tcW w:w="693" w:type="pct"/>
            <w:tcBorders>
              <w:top w:val="nil"/>
              <w:left w:val="nil"/>
              <w:bottom w:val="nil"/>
              <w:right w:val="nil"/>
            </w:tcBorders>
            <w:noWrap/>
            <w:vAlign w:val="bottom"/>
            <w:hideMark/>
          </w:tcPr>
          <w:p w14:paraId="76367D4A" w14:textId="77777777" w:rsidR="00C44869" w:rsidRPr="00355DF1" w:rsidRDefault="00C44869" w:rsidP="007B3453">
            <w:pPr>
              <w:jc w:val="right"/>
              <w:rPr>
                <w:sz w:val="20"/>
                <w:szCs w:val="20"/>
              </w:rPr>
            </w:pPr>
            <w:r w:rsidRPr="00355DF1">
              <w:rPr>
                <w:sz w:val="20"/>
                <w:szCs w:val="20"/>
              </w:rPr>
              <w:t xml:space="preserve">    (20,489,585)</w:t>
            </w:r>
          </w:p>
        </w:tc>
        <w:tc>
          <w:tcPr>
            <w:tcW w:w="129" w:type="pct"/>
            <w:tcBorders>
              <w:top w:val="nil"/>
              <w:left w:val="nil"/>
              <w:bottom w:val="nil"/>
              <w:right w:val="nil"/>
            </w:tcBorders>
            <w:noWrap/>
            <w:vAlign w:val="bottom"/>
            <w:hideMark/>
          </w:tcPr>
          <w:p w14:paraId="23717A18" w14:textId="77777777" w:rsidR="00C44869" w:rsidRPr="00D46B6F" w:rsidRDefault="00C44869" w:rsidP="007B3453">
            <w:pPr>
              <w:jc w:val="right"/>
              <w:rPr>
                <w:sz w:val="20"/>
                <w:szCs w:val="20"/>
              </w:rPr>
            </w:pPr>
          </w:p>
        </w:tc>
        <w:tc>
          <w:tcPr>
            <w:tcW w:w="700" w:type="pct"/>
            <w:tcBorders>
              <w:top w:val="nil"/>
              <w:left w:val="nil"/>
              <w:bottom w:val="single" w:sz="4" w:space="0" w:color="auto"/>
              <w:right w:val="nil"/>
            </w:tcBorders>
            <w:noWrap/>
            <w:vAlign w:val="bottom"/>
            <w:hideMark/>
          </w:tcPr>
          <w:p w14:paraId="5365A816" w14:textId="77777777" w:rsidR="00C44869" w:rsidRPr="00D46B6F" w:rsidRDefault="00C44869" w:rsidP="007B3453">
            <w:pPr>
              <w:jc w:val="right"/>
              <w:rPr>
                <w:sz w:val="20"/>
                <w:szCs w:val="20"/>
              </w:rPr>
            </w:pPr>
            <w:r w:rsidRPr="00D46B6F">
              <w:rPr>
                <w:sz w:val="20"/>
                <w:szCs w:val="20"/>
              </w:rPr>
              <w:t xml:space="preserve">    (</w:t>
            </w:r>
            <w:r>
              <w:rPr>
                <w:sz w:val="20"/>
                <w:szCs w:val="20"/>
              </w:rPr>
              <w:t>22,277,342</w:t>
            </w:r>
            <w:r w:rsidRPr="00D46B6F">
              <w:rPr>
                <w:sz w:val="20"/>
                <w:szCs w:val="20"/>
              </w:rPr>
              <w:t>)</w:t>
            </w:r>
          </w:p>
        </w:tc>
        <w:tc>
          <w:tcPr>
            <w:tcW w:w="467" w:type="pct"/>
            <w:tcBorders>
              <w:top w:val="nil"/>
              <w:left w:val="nil"/>
              <w:bottom w:val="nil"/>
              <w:right w:val="nil"/>
            </w:tcBorders>
            <w:noWrap/>
            <w:vAlign w:val="bottom"/>
            <w:hideMark/>
          </w:tcPr>
          <w:p w14:paraId="7DEE24C3" w14:textId="77777777" w:rsidR="00C44869" w:rsidRPr="00D46B6F" w:rsidRDefault="00C44869" w:rsidP="007B3453">
            <w:pPr>
              <w:rPr>
                <w:sz w:val="20"/>
                <w:szCs w:val="20"/>
              </w:rPr>
            </w:pPr>
          </w:p>
        </w:tc>
      </w:tr>
      <w:tr w:rsidR="00C44869" w:rsidRPr="00D46B6F" w14:paraId="23651A42" w14:textId="77777777" w:rsidTr="007B3453">
        <w:trPr>
          <w:trHeight w:val="265"/>
        </w:trPr>
        <w:tc>
          <w:tcPr>
            <w:tcW w:w="2064" w:type="pct"/>
            <w:tcBorders>
              <w:top w:val="nil"/>
              <w:left w:val="nil"/>
              <w:bottom w:val="nil"/>
              <w:right w:val="nil"/>
            </w:tcBorders>
            <w:noWrap/>
            <w:vAlign w:val="bottom"/>
            <w:hideMark/>
          </w:tcPr>
          <w:p w14:paraId="494FBD6B" w14:textId="77777777" w:rsidR="00C44869" w:rsidRPr="00D46B6F" w:rsidRDefault="00C44869" w:rsidP="007B3453">
            <w:pPr>
              <w:rPr>
                <w:b/>
                <w:bCs/>
                <w:sz w:val="20"/>
                <w:szCs w:val="20"/>
              </w:rPr>
            </w:pPr>
            <w:r w:rsidRPr="00D46B6F">
              <w:rPr>
                <w:b/>
                <w:bCs/>
                <w:sz w:val="20"/>
                <w:szCs w:val="20"/>
              </w:rPr>
              <w:t xml:space="preserve">   Total Equity </w:t>
            </w:r>
          </w:p>
        </w:tc>
        <w:tc>
          <w:tcPr>
            <w:tcW w:w="129" w:type="pct"/>
            <w:tcBorders>
              <w:top w:val="nil"/>
              <w:left w:val="nil"/>
              <w:bottom w:val="nil"/>
              <w:right w:val="nil"/>
            </w:tcBorders>
            <w:noWrap/>
            <w:vAlign w:val="bottom"/>
            <w:hideMark/>
          </w:tcPr>
          <w:p w14:paraId="13228019" w14:textId="77777777" w:rsidR="00C44869" w:rsidRPr="00D46B6F" w:rsidRDefault="00C44869" w:rsidP="007B3453">
            <w:pPr>
              <w:rPr>
                <w:b/>
                <w:bCs/>
                <w:sz w:val="20"/>
                <w:szCs w:val="20"/>
              </w:rPr>
            </w:pPr>
          </w:p>
        </w:tc>
        <w:tc>
          <w:tcPr>
            <w:tcW w:w="687" w:type="pct"/>
            <w:tcBorders>
              <w:top w:val="single" w:sz="4" w:space="0" w:color="auto"/>
              <w:left w:val="nil"/>
              <w:bottom w:val="double" w:sz="6" w:space="0" w:color="auto"/>
              <w:right w:val="nil"/>
            </w:tcBorders>
            <w:noWrap/>
            <w:vAlign w:val="bottom"/>
          </w:tcPr>
          <w:p w14:paraId="2D990AD6" w14:textId="77777777" w:rsidR="00C44869" w:rsidRPr="00D46B6F" w:rsidRDefault="00C44869" w:rsidP="007B3453">
            <w:pPr>
              <w:jc w:val="right"/>
              <w:rPr>
                <w:b/>
                <w:bCs/>
                <w:sz w:val="20"/>
                <w:szCs w:val="20"/>
              </w:rPr>
            </w:pPr>
            <w:r>
              <w:rPr>
                <w:b/>
                <w:bCs/>
                <w:sz w:val="20"/>
                <w:szCs w:val="20"/>
              </w:rPr>
              <w:t>(4,563)</w:t>
            </w:r>
          </w:p>
        </w:tc>
        <w:tc>
          <w:tcPr>
            <w:tcW w:w="129" w:type="pct"/>
            <w:tcBorders>
              <w:top w:val="nil"/>
              <w:left w:val="nil"/>
              <w:bottom w:val="nil"/>
              <w:right w:val="nil"/>
            </w:tcBorders>
            <w:noWrap/>
            <w:vAlign w:val="bottom"/>
            <w:hideMark/>
          </w:tcPr>
          <w:p w14:paraId="63417FB8" w14:textId="77777777" w:rsidR="00C44869" w:rsidRPr="00D46B6F" w:rsidRDefault="00C44869" w:rsidP="007B3453">
            <w:pPr>
              <w:jc w:val="right"/>
              <w:rPr>
                <w:b/>
                <w:bCs/>
                <w:sz w:val="20"/>
                <w:szCs w:val="20"/>
              </w:rPr>
            </w:pPr>
          </w:p>
        </w:tc>
        <w:tc>
          <w:tcPr>
            <w:tcW w:w="693" w:type="pct"/>
            <w:tcBorders>
              <w:top w:val="single" w:sz="4" w:space="0" w:color="auto"/>
              <w:left w:val="nil"/>
              <w:bottom w:val="double" w:sz="6" w:space="0" w:color="auto"/>
              <w:right w:val="nil"/>
            </w:tcBorders>
            <w:noWrap/>
            <w:vAlign w:val="bottom"/>
            <w:hideMark/>
          </w:tcPr>
          <w:p w14:paraId="62CD96B9" w14:textId="77777777" w:rsidR="00C44869" w:rsidRPr="00355DF1" w:rsidRDefault="00C44869" w:rsidP="007B3453">
            <w:pPr>
              <w:jc w:val="right"/>
              <w:rPr>
                <w:sz w:val="20"/>
                <w:szCs w:val="20"/>
              </w:rPr>
            </w:pPr>
            <w:r w:rsidRPr="00355DF1">
              <w:rPr>
                <w:sz w:val="20"/>
                <w:szCs w:val="20"/>
              </w:rPr>
              <w:t xml:space="preserve">        (699,726)</w:t>
            </w:r>
          </w:p>
        </w:tc>
        <w:tc>
          <w:tcPr>
            <w:tcW w:w="129" w:type="pct"/>
            <w:tcBorders>
              <w:top w:val="nil"/>
              <w:left w:val="nil"/>
              <w:bottom w:val="nil"/>
              <w:right w:val="nil"/>
            </w:tcBorders>
            <w:noWrap/>
            <w:vAlign w:val="bottom"/>
            <w:hideMark/>
          </w:tcPr>
          <w:p w14:paraId="041C3218" w14:textId="77777777" w:rsidR="00C44869" w:rsidRPr="00D46B6F" w:rsidRDefault="00C44869" w:rsidP="007B3453">
            <w:pPr>
              <w:jc w:val="right"/>
              <w:rPr>
                <w:sz w:val="20"/>
                <w:szCs w:val="20"/>
              </w:rPr>
            </w:pPr>
          </w:p>
        </w:tc>
        <w:tc>
          <w:tcPr>
            <w:tcW w:w="700" w:type="pct"/>
            <w:tcBorders>
              <w:top w:val="nil"/>
              <w:left w:val="nil"/>
              <w:bottom w:val="double" w:sz="6" w:space="0" w:color="auto"/>
              <w:right w:val="nil"/>
            </w:tcBorders>
            <w:noWrap/>
            <w:vAlign w:val="bottom"/>
            <w:hideMark/>
          </w:tcPr>
          <w:p w14:paraId="48BA7200" w14:textId="77777777" w:rsidR="00C44869" w:rsidRPr="00D46B6F" w:rsidRDefault="00C44869" w:rsidP="007B3453">
            <w:pPr>
              <w:jc w:val="right"/>
              <w:rPr>
                <w:sz w:val="20"/>
                <w:szCs w:val="20"/>
              </w:rPr>
            </w:pPr>
            <w:r>
              <w:rPr>
                <w:sz w:val="20"/>
                <w:szCs w:val="20"/>
              </w:rPr>
              <w:t>2,750,876</w:t>
            </w:r>
            <w:r w:rsidRPr="00D46B6F">
              <w:rPr>
                <w:sz w:val="20"/>
                <w:szCs w:val="20"/>
              </w:rPr>
              <w:t xml:space="preserve"> </w:t>
            </w:r>
          </w:p>
        </w:tc>
        <w:tc>
          <w:tcPr>
            <w:tcW w:w="467" w:type="pct"/>
            <w:tcBorders>
              <w:top w:val="nil"/>
              <w:left w:val="nil"/>
              <w:bottom w:val="nil"/>
              <w:right w:val="nil"/>
            </w:tcBorders>
            <w:noWrap/>
            <w:vAlign w:val="bottom"/>
            <w:hideMark/>
          </w:tcPr>
          <w:p w14:paraId="33B43514" w14:textId="77777777" w:rsidR="00C44869" w:rsidRPr="00D46B6F" w:rsidRDefault="00C44869" w:rsidP="007B3453">
            <w:pPr>
              <w:rPr>
                <w:color w:val="FF0000"/>
                <w:sz w:val="18"/>
                <w:szCs w:val="18"/>
              </w:rPr>
            </w:pPr>
            <w:r w:rsidRPr="00D46B6F">
              <w:rPr>
                <w:color w:val="FF0000"/>
                <w:sz w:val="18"/>
                <w:szCs w:val="18"/>
              </w:rPr>
              <w:t xml:space="preserve">                                </w:t>
            </w:r>
          </w:p>
        </w:tc>
      </w:tr>
      <w:tr w:rsidR="00C44869" w:rsidRPr="00D46B6F" w14:paraId="773174F6" w14:textId="77777777" w:rsidTr="007B3453">
        <w:trPr>
          <w:trHeight w:val="265"/>
        </w:trPr>
        <w:tc>
          <w:tcPr>
            <w:tcW w:w="2064" w:type="pct"/>
            <w:tcBorders>
              <w:top w:val="nil"/>
              <w:left w:val="nil"/>
              <w:bottom w:val="nil"/>
              <w:right w:val="nil"/>
            </w:tcBorders>
            <w:noWrap/>
            <w:vAlign w:val="bottom"/>
            <w:hideMark/>
          </w:tcPr>
          <w:p w14:paraId="78AD0F38" w14:textId="77777777" w:rsidR="00C44869" w:rsidRPr="00D46B6F" w:rsidRDefault="00C44869" w:rsidP="007B3453">
            <w:pPr>
              <w:rPr>
                <w:color w:val="FF0000"/>
                <w:sz w:val="18"/>
                <w:szCs w:val="18"/>
              </w:rPr>
            </w:pPr>
          </w:p>
        </w:tc>
        <w:tc>
          <w:tcPr>
            <w:tcW w:w="129" w:type="pct"/>
            <w:tcBorders>
              <w:top w:val="nil"/>
              <w:left w:val="nil"/>
              <w:bottom w:val="nil"/>
              <w:right w:val="nil"/>
            </w:tcBorders>
            <w:noWrap/>
            <w:vAlign w:val="bottom"/>
            <w:hideMark/>
          </w:tcPr>
          <w:p w14:paraId="222DCEDB" w14:textId="77777777" w:rsidR="00C44869" w:rsidRPr="00D46B6F" w:rsidRDefault="00C44869" w:rsidP="007B3453">
            <w:pPr>
              <w:rPr>
                <w:sz w:val="20"/>
                <w:szCs w:val="20"/>
              </w:rPr>
            </w:pPr>
          </w:p>
        </w:tc>
        <w:tc>
          <w:tcPr>
            <w:tcW w:w="687" w:type="pct"/>
            <w:tcBorders>
              <w:top w:val="nil"/>
              <w:left w:val="nil"/>
              <w:bottom w:val="nil"/>
              <w:right w:val="nil"/>
            </w:tcBorders>
            <w:noWrap/>
            <w:vAlign w:val="bottom"/>
            <w:hideMark/>
          </w:tcPr>
          <w:p w14:paraId="5265769B" w14:textId="77777777" w:rsidR="00C44869" w:rsidRPr="00D46B6F" w:rsidRDefault="00C44869" w:rsidP="007B3453">
            <w:pPr>
              <w:rPr>
                <w:sz w:val="20"/>
                <w:szCs w:val="20"/>
              </w:rPr>
            </w:pPr>
          </w:p>
        </w:tc>
        <w:tc>
          <w:tcPr>
            <w:tcW w:w="129" w:type="pct"/>
            <w:tcBorders>
              <w:top w:val="nil"/>
              <w:left w:val="nil"/>
              <w:bottom w:val="nil"/>
              <w:right w:val="nil"/>
            </w:tcBorders>
            <w:noWrap/>
            <w:vAlign w:val="bottom"/>
            <w:hideMark/>
          </w:tcPr>
          <w:p w14:paraId="19840A5A" w14:textId="77777777" w:rsidR="00C44869" w:rsidRPr="00D46B6F" w:rsidRDefault="00C44869" w:rsidP="007B3453">
            <w:pPr>
              <w:rPr>
                <w:sz w:val="20"/>
                <w:szCs w:val="20"/>
              </w:rPr>
            </w:pPr>
          </w:p>
        </w:tc>
        <w:tc>
          <w:tcPr>
            <w:tcW w:w="693" w:type="pct"/>
            <w:tcBorders>
              <w:top w:val="nil"/>
              <w:left w:val="nil"/>
              <w:bottom w:val="nil"/>
              <w:right w:val="nil"/>
            </w:tcBorders>
            <w:noWrap/>
            <w:vAlign w:val="bottom"/>
            <w:hideMark/>
          </w:tcPr>
          <w:p w14:paraId="798DE3B3" w14:textId="77777777" w:rsidR="00C44869" w:rsidRPr="00355DF1" w:rsidRDefault="00C44869" w:rsidP="007B3453">
            <w:pPr>
              <w:rPr>
                <w:sz w:val="20"/>
                <w:szCs w:val="20"/>
              </w:rPr>
            </w:pPr>
          </w:p>
        </w:tc>
        <w:tc>
          <w:tcPr>
            <w:tcW w:w="129" w:type="pct"/>
            <w:tcBorders>
              <w:top w:val="nil"/>
              <w:left w:val="nil"/>
              <w:bottom w:val="nil"/>
              <w:right w:val="nil"/>
            </w:tcBorders>
            <w:noWrap/>
            <w:vAlign w:val="bottom"/>
            <w:hideMark/>
          </w:tcPr>
          <w:p w14:paraId="53655565" w14:textId="77777777" w:rsidR="00C44869" w:rsidRPr="00D46B6F" w:rsidRDefault="00C44869" w:rsidP="007B3453">
            <w:pPr>
              <w:rPr>
                <w:sz w:val="20"/>
                <w:szCs w:val="20"/>
              </w:rPr>
            </w:pPr>
          </w:p>
        </w:tc>
        <w:tc>
          <w:tcPr>
            <w:tcW w:w="700" w:type="pct"/>
            <w:tcBorders>
              <w:top w:val="nil"/>
              <w:left w:val="nil"/>
              <w:bottom w:val="nil"/>
              <w:right w:val="nil"/>
            </w:tcBorders>
            <w:noWrap/>
            <w:vAlign w:val="bottom"/>
            <w:hideMark/>
          </w:tcPr>
          <w:p w14:paraId="7189D7D5" w14:textId="77777777" w:rsidR="00C44869" w:rsidRPr="00D46B6F" w:rsidRDefault="00C44869" w:rsidP="007B3453">
            <w:pPr>
              <w:rPr>
                <w:sz w:val="20"/>
                <w:szCs w:val="20"/>
              </w:rPr>
            </w:pPr>
          </w:p>
        </w:tc>
        <w:tc>
          <w:tcPr>
            <w:tcW w:w="467" w:type="pct"/>
            <w:tcBorders>
              <w:top w:val="nil"/>
              <w:left w:val="nil"/>
              <w:bottom w:val="nil"/>
              <w:right w:val="nil"/>
            </w:tcBorders>
            <w:noWrap/>
            <w:vAlign w:val="bottom"/>
            <w:hideMark/>
          </w:tcPr>
          <w:p w14:paraId="502A05E8" w14:textId="77777777" w:rsidR="00C44869" w:rsidRPr="00D46B6F" w:rsidRDefault="00C44869" w:rsidP="007B3453">
            <w:pPr>
              <w:rPr>
                <w:sz w:val="20"/>
                <w:szCs w:val="20"/>
              </w:rPr>
            </w:pPr>
          </w:p>
        </w:tc>
      </w:tr>
    </w:tbl>
    <w:p w14:paraId="3F60FFD9" w14:textId="77777777" w:rsidR="00C44869" w:rsidRDefault="00C44869" w:rsidP="00C44869">
      <w:pPr>
        <w:spacing w:before="240"/>
        <w:rPr>
          <w:b/>
          <w:bCs/>
        </w:rPr>
      </w:pPr>
    </w:p>
    <w:p w14:paraId="0743F2B0" w14:textId="77777777" w:rsidR="00C44869" w:rsidRDefault="00C44869" w:rsidP="00C44869">
      <w:pPr>
        <w:spacing w:before="240"/>
        <w:rPr>
          <w:b/>
          <w:bCs/>
        </w:rPr>
      </w:pPr>
    </w:p>
    <w:p w14:paraId="54C20F05" w14:textId="77777777" w:rsidR="00C44869" w:rsidRDefault="00C44869" w:rsidP="00C44869">
      <w:pPr>
        <w:spacing w:before="240"/>
        <w:rPr>
          <w:b/>
          <w:bCs/>
        </w:rPr>
      </w:pPr>
    </w:p>
    <w:p w14:paraId="33C71ECA" w14:textId="77777777" w:rsidR="00C44869" w:rsidRDefault="00C44869" w:rsidP="00C44869">
      <w:pPr>
        <w:spacing w:before="240"/>
        <w:rPr>
          <w:b/>
          <w:bCs/>
        </w:rPr>
      </w:pPr>
    </w:p>
    <w:p w14:paraId="78F4FB67" w14:textId="77777777" w:rsidR="00C44869" w:rsidRDefault="00C44869" w:rsidP="00C44869">
      <w:pPr>
        <w:spacing w:before="240"/>
        <w:rPr>
          <w:b/>
          <w:bCs/>
        </w:rPr>
      </w:pPr>
    </w:p>
    <w:p w14:paraId="695D9E52" w14:textId="77777777" w:rsidR="00C44869" w:rsidRDefault="00C44869" w:rsidP="00C44869">
      <w:pPr>
        <w:spacing w:before="240"/>
        <w:rPr>
          <w:b/>
          <w:bCs/>
        </w:rPr>
        <w:sectPr w:rsidR="00C44869" w:rsidSect="00C44869">
          <w:footerReference w:type="even" r:id="rId9"/>
          <w:footerReference w:type="default" r:id="rId10"/>
          <w:pgSz w:w="11906" w:h="16838"/>
          <w:pgMar w:top="720" w:right="720" w:bottom="720" w:left="720" w:header="708" w:footer="708" w:gutter="0"/>
          <w:cols w:space="708"/>
          <w:docGrid w:linePitch="360"/>
        </w:sectPr>
      </w:pPr>
    </w:p>
    <w:tbl>
      <w:tblPr>
        <w:tblW w:w="4656" w:type="pct"/>
        <w:tblLayout w:type="fixed"/>
        <w:tblLook w:val="04A0" w:firstRow="1" w:lastRow="0" w:firstColumn="1" w:lastColumn="0" w:noHBand="0" w:noVBand="1"/>
      </w:tblPr>
      <w:tblGrid>
        <w:gridCol w:w="1162"/>
        <w:gridCol w:w="1765"/>
        <w:gridCol w:w="381"/>
        <w:gridCol w:w="1097"/>
        <w:gridCol w:w="272"/>
        <w:gridCol w:w="1138"/>
        <w:gridCol w:w="254"/>
        <w:gridCol w:w="1035"/>
        <w:gridCol w:w="254"/>
        <w:gridCol w:w="1161"/>
        <w:gridCol w:w="254"/>
        <w:gridCol w:w="1015"/>
        <w:gridCol w:w="254"/>
        <w:gridCol w:w="1021"/>
        <w:gridCol w:w="254"/>
        <w:gridCol w:w="892"/>
        <w:gridCol w:w="1161"/>
        <w:gridCol w:w="254"/>
        <w:gridCol w:w="1000"/>
      </w:tblGrid>
      <w:tr w:rsidR="00C44869" w:rsidRPr="00D46B6F" w14:paraId="1B0FB5CA" w14:textId="77777777" w:rsidTr="007B3453">
        <w:trPr>
          <w:trHeight w:val="300"/>
        </w:trPr>
        <w:tc>
          <w:tcPr>
            <w:tcW w:w="397" w:type="pct"/>
            <w:tcBorders>
              <w:top w:val="nil"/>
              <w:left w:val="nil"/>
              <w:bottom w:val="nil"/>
              <w:right w:val="nil"/>
            </w:tcBorders>
          </w:tcPr>
          <w:p w14:paraId="478F8C07" w14:textId="77777777" w:rsidR="00C44869" w:rsidRPr="00D46B6F" w:rsidRDefault="00C44869" w:rsidP="007B3453">
            <w:pPr>
              <w:jc w:val="center"/>
              <w:rPr>
                <w:b/>
                <w:bCs/>
              </w:rPr>
            </w:pPr>
          </w:p>
        </w:tc>
        <w:tc>
          <w:tcPr>
            <w:tcW w:w="4603" w:type="pct"/>
            <w:gridSpan w:val="18"/>
            <w:tcBorders>
              <w:top w:val="nil"/>
              <w:left w:val="nil"/>
              <w:bottom w:val="nil"/>
              <w:right w:val="nil"/>
            </w:tcBorders>
            <w:noWrap/>
            <w:vAlign w:val="bottom"/>
            <w:hideMark/>
          </w:tcPr>
          <w:p w14:paraId="68FBB305" w14:textId="77777777" w:rsidR="00C44869" w:rsidRPr="00D46B6F" w:rsidRDefault="00C44869" w:rsidP="007B3453">
            <w:pPr>
              <w:jc w:val="center"/>
            </w:pPr>
            <w:r w:rsidRPr="00D46B6F">
              <w:rPr>
                <w:b/>
                <w:bCs/>
              </w:rPr>
              <w:t>Chill Brands Group PLC</w:t>
            </w:r>
            <w:r>
              <w:rPr>
                <w:b/>
                <w:bCs/>
              </w:rPr>
              <w:br/>
            </w:r>
            <w:r w:rsidRPr="00D46B6F">
              <w:t>Consolidated Statement of Changes in Equity</w:t>
            </w:r>
            <w:r>
              <w:br/>
              <w:t>For the six months ended 30 September 2024</w:t>
            </w:r>
          </w:p>
        </w:tc>
      </w:tr>
      <w:tr w:rsidR="00C44869" w:rsidRPr="00D46B6F" w14:paraId="1F24100F" w14:textId="77777777" w:rsidTr="007B3453">
        <w:trPr>
          <w:trHeight w:val="255"/>
        </w:trPr>
        <w:tc>
          <w:tcPr>
            <w:tcW w:w="1000" w:type="pct"/>
            <w:gridSpan w:val="2"/>
            <w:tcBorders>
              <w:top w:val="nil"/>
              <w:left w:val="nil"/>
              <w:bottom w:val="single" w:sz="4" w:space="0" w:color="auto"/>
              <w:right w:val="nil"/>
            </w:tcBorders>
            <w:noWrap/>
            <w:vAlign w:val="bottom"/>
            <w:hideMark/>
          </w:tcPr>
          <w:p w14:paraId="44BDBA3C" w14:textId="77777777" w:rsidR="00C44869" w:rsidRPr="00D46B6F" w:rsidRDefault="00C44869" w:rsidP="007B3453">
            <w:pPr>
              <w:jc w:val="center"/>
              <w:rPr>
                <w:sz w:val="22"/>
                <w:szCs w:val="22"/>
              </w:rPr>
            </w:pPr>
            <w:r w:rsidRPr="00D46B6F">
              <w:rPr>
                <w:sz w:val="22"/>
                <w:szCs w:val="22"/>
              </w:rPr>
              <w:t> </w:t>
            </w:r>
          </w:p>
        </w:tc>
        <w:tc>
          <w:tcPr>
            <w:tcW w:w="130" w:type="pct"/>
            <w:tcBorders>
              <w:top w:val="nil"/>
              <w:left w:val="nil"/>
              <w:bottom w:val="single" w:sz="4" w:space="0" w:color="auto"/>
              <w:right w:val="nil"/>
            </w:tcBorders>
            <w:noWrap/>
            <w:vAlign w:val="bottom"/>
            <w:hideMark/>
          </w:tcPr>
          <w:p w14:paraId="3D9E5DF3" w14:textId="77777777" w:rsidR="00C44869" w:rsidRPr="00D46B6F" w:rsidRDefault="00C44869" w:rsidP="007B3453">
            <w:pPr>
              <w:jc w:val="center"/>
              <w:rPr>
                <w:sz w:val="22"/>
                <w:szCs w:val="22"/>
              </w:rPr>
            </w:pPr>
            <w:r w:rsidRPr="00D46B6F">
              <w:rPr>
                <w:sz w:val="22"/>
                <w:szCs w:val="22"/>
              </w:rPr>
              <w:t> </w:t>
            </w:r>
          </w:p>
        </w:tc>
        <w:tc>
          <w:tcPr>
            <w:tcW w:w="375" w:type="pct"/>
            <w:tcBorders>
              <w:top w:val="nil"/>
              <w:left w:val="nil"/>
              <w:bottom w:val="single" w:sz="4" w:space="0" w:color="auto"/>
              <w:right w:val="nil"/>
            </w:tcBorders>
            <w:noWrap/>
            <w:vAlign w:val="bottom"/>
            <w:hideMark/>
          </w:tcPr>
          <w:p w14:paraId="7F86F80F" w14:textId="77777777" w:rsidR="00C44869" w:rsidRPr="00D46B6F" w:rsidRDefault="00C44869" w:rsidP="007B3453">
            <w:pPr>
              <w:jc w:val="center"/>
              <w:rPr>
                <w:sz w:val="22"/>
                <w:szCs w:val="22"/>
              </w:rPr>
            </w:pPr>
            <w:r w:rsidRPr="00D46B6F">
              <w:rPr>
                <w:sz w:val="22"/>
                <w:szCs w:val="22"/>
              </w:rPr>
              <w:t> </w:t>
            </w:r>
          </w:p>
        </w:tc>
        <w:tc>
          <w:tcPr>
            <w:tcW w:w="93" w:type="pct"/>
            <w:tcBorders>
              <w:top w:val="nil"/>
              <w:left w:val="nil"/>
              <w:bottom w:val="single" w:sz="4" w:space="0" w:color="auto"/>
              <w:right w:val="nil"/>
            </w:tcBorders>
            <w:noWrap/>
            <w:vAlign w:val="bottom"/>
            <w:hideMark/>
          </w:tcPr>
          <w:p w14:paraId="77E74DE8" w14:textId="77777777" w:rsidR="00C44869" w:rsidRPr="00D46B6F" w:rsidRDefault="00C44869" w:rsidP="007B3453">
            <w:pPr>
              <w:jc w:val="center"/>
              <w:rPr>
                <w:sz w:val="22"/>
                <w:szCs w:val="22"/>
              </w:rPr>
            </w:pPr>
            <w:r w:rsidRPr="00D46B6F">
              <w:rPr>
                <w:sz w:val="22"/>
                <w:szCs w:val="22"/>
              </w:rPr>
              <w:t> </w:t>
            </w:r>
          </w:p>
        </w:tc>
        <w:tc>
          <w:tcPr>
            <w:tcW w:w="389" w:type="pct"/>
            <w:tcBorders>
              <w:top w:val="nil"/>
              <w:left w:val="nil"/>
              <w:bottom w:val="single" w:sz="4" w:space="0" w:color="auto"/>
              <w:right w:val="nil"/>
            </w:tcBorders>
            <w:noWrap/>
            <w:vAlign w:val="bottom"/>
            <w:hideMark/>
          </w:tcPr>
          <w:p w14:paraId="7FA4C439" w14:textId="77777777" w:rsidR="00C44869" w:rsidRPr="00D46B6F" w:rsidRDefault="00C44869" w:rsidP="007B3453">
            <w:pPr>
              <w:jc w:val="center"/>
              <w:rPr>
                <w:sz w:val="22"/>
                <w:szCs w:val="22"/>
              </w:rPr>
            </w:pPr>
            <w:r w:rsidRPr="00D46B6F">
              <w:rPr>
                <w:sz w:val="22"/>
                <w:szCs w:val="22"/>
              </w:rPr>
              <w:t> </w:t>
            </w:r>
          </w:p>
        </w:tc>
        <w:tc>
          <w:tcPr>
            <w:tcW w:w="87" w:type="pct"/>
            <w:tcBorders>
              <w:top w:val="nil"/>
              <w:left w:val="nil"/>
              <w:bottom w:val="single" w:sz="4" w:space="0" w:color="auto"/>
              <w:right w:val="nil"/>
            </w:tcBorders>
            <w:noWrap/>
            <w:vAlign w:val="bottom"/>
            <w:hideMark/>
          </w:tcPr>
          <w:p w14:paraId="6F08C427" w14:textId="77777777" w:rsidR="00C44869" w:rsidRPr="00D46B6F" w:rsidRDefault="00C44869" w:rsidP="007B3453">
            <w:pPr>
              <w:jc w:val="center"/>
              <w:rPr>
                <w:sz w:val="22"/>
                <w:szCs w:val="22"/>
              </w:rPr>
            </w:pPr>
            <w:r w:rsidRPr="00D46B6F">
              <w:rPr>
                <w:sz w:val="22"/>
                <w:szCs w:val="22"/>
              </w:rPr>
              <w:t> </w:t>
            </w:r>
          </w:p>
        </w:tc>
        <w:tc>
          <w:tcPr>
            <w:tcW w:w="354" w:type="pct"/>
            <w:tcBorders>
              <w:top w:val="nil"/>
              <w:left w:val="nil"/>
              <w:bottom w:val="single" w:sz="4" w:space="0" w:color="auto"/>
              <w:right w:val="nil"/>
            </w:tcBorders>
            <w:noWrap/>
            <w:vAlign w:val="bottom"/>
            <w:hideMark/>
          </w:tcPr>
          <w:p w14:paraId="3E59F957" w14:textId="77777777" w:rsidR="00C44869" w:rsidRPr="00D46B6F" w:rsidRDefault="00C44869" w:rsidP="007B3453">
            <w:pPr>
              <w:jc w:val="center"/>
              <w:rPr>
                <w:sz w:val="22"/>
                <w:szCs w:val="22"/>
              </w:rPr>
            </w:pPr>
            <w:r w:rsidRPr="00D46B6F">
              <w:rPr>
                <w:sz w:val="22"/>
                <w:szCs w:val="22"/>
              </w:rPr>
              <w:t> </w:t>
            </w:r>
          </w:p>
        </w:tc>
        <w:tc>
          <w:tcPr>
            <w:tcW w:w="87" w:type="pct"/>
            <w:tcBorders>
              <w:top w:val="nil"/>
              <w:left w:val="nil"/>
              <w:bottom w:val="single" w:sz="4" w:space="0" w:color="auto"/>
              <w:right w:val="nil"/>
            </w:tcBorders>
            <w:noWrap/>
            <w:vAlign w:val="bottom"/>
            <w:hideMark/>
          </w:tcPr>
          <w:p w14:paraId="1CBF4B1C" w14:textId="77777777" w:rsidR="00C44869" w:rsidRPr="00D46B6F" w:rsidRDefault="00C44869" w:rsidP="007B3453">
            <w:pPr>
              <w:jc w:val="center"/>
              <w:rPr>
                <w:sz w:val="22"/>
                <w:szCs w:val="22"/>
              </w:rPr>
            </w:pPr>
            <w:r w:rsidRPr="00D46B6F">
              <w:rPr>
                <w:sz w:val="22"/>
                <w:szCs w:val="22"/>
              </w:rPr>
              <w:t> </w:t>
            </w:r>
          </w:p>
        </w:tc>
        <w:tc>
          <w:tcPr>
            <w:tcW w:w="397" w:type="pct"/>
            <w:tcBorders>
              <w:top w:val="nil"/>
              <w:left w:val="nil"/>
              <w:bottom w:val="single" w:sz="4" w:space="0" w:color="auto"/>
              <w:right w:val="nil"/>
            </w:tcBorders>
            <w:noWrap/>
            <w:vAlign w:val="bottom"/>
            <w:hideMark/>
          </w:tcPr>
          <w:p w14:paraId="71B1361A" w14:textId="77777777" w:rsidR="00C44869" w:rsidRPr="00D46B6F" w:rsidRDefault="00C44869" w:rsidP="007B3453">
            <w:pPr>
              <w:jc w:val="center"/>
              <w:rPr>
                <w:sz w:val="22"/>
                <w:szCs w:val="22"/>
              </w:rPr>
            </w:pPr>
            <w:r w:rsidRPr="00D46B6F">
              <w:rPr>
                <w:sz w:val="22"/>
                <w:szCs w:val="22"/>
              </w:rPr>
              <w:t> </w:t>
            </w:r>
          </w:p>
        </w:tc>
        <w:tc>
          <w:tcPr>
            <w:tcW w:w="87" w:type="pct"/>
            <w:tcBorders>
              <w:top w:val="nil"/>
              <w:left w:val="nil"/>
              <w:bottom w:val="single" w:sz="4" w:space="0" w:color="auto"/>
              <w:right w:val="nil"/>
            </w:tcBorders>
            <w:noWrap/>
            <w:vAlign w:val="bottom"/>
            <w:hideMark/>
          </w:tcPr>
          <w:p w14:paraId="367587D8" w14:textId="77777777" w:rsidR="00C44869" w:rsidRPr="00D46B6F" w:rsidRDefault="00C44869" w:rsidP="007B3453">
            <w:pPr>
              <w:jc w:val="center"/>
              <w:rPr>
                <w:sz w:val="22"/>
                <w:szCs w:val="22"/>
              </w:rPr>
            </w:pPr>
            <w:r w:rsidRPr="00D46B6F">
              <w:rPr>
                <w:sz w:val="22"/>
                <w:szCs w:val="22"/>
              </w:rPr>
              <w:t> </w:t>
            </w:r>
          </w:p>
        </w:tc>
        <w:tc>
          <w:tcPr>
            <w:tcW w:w="347" w:type="pct"/>
            <w:tcBorders>
              <w:top w:val="nil"/>
              <w:left w:val="nil"/>
              <w:bottom w:val="single" w:sz="4" w:space="0" w:color="auto"/>
              <w:right w:val="nil"/>
            </w:tcBorders>
            <w:noWrap/>
            <w:vAlign w:val="bottom"/>
            <w:hideMark/>
          </w:tcPr>
          <w:p w14:paraId="55E941CF" w14:textId="77777777" w:rsidR="00C44869" w:rsidRPr="00D46B6F" w:rsidRDefault="00C44869" w:rsidP="007B3453">
            <w:pPr>
              <w:rPr>
                <w:sz w:val="22"/>
                <w:szCs w:val="22"/>
              </w:rPr>
            </w:pPr>
            <w:r w:rsidRPr="00D46B6F">
              <w:rPr>
                <w:sz w:val="22"/>
                <w:szCs w:val="22"/>
              </w:rPr>
              <w:t> </w:t>
            </w:r>
          </w:p>
        </w:tc>
        <w:tc>
          <w:tcPr>
            <w:tcW w:w="87" w:type="pct"/>
            <w:tcBorders>
              <w:top w:val="nil"/>
              <w:left w:val="nil"/>
              <w:bottom w:val="single" w:sz="4" w:space="0" w:color="auto"/>
              <w:right w:val="nil"/>
            </w:tcBorders>
            <w:noWrap/>
            <w:vAlign w:val="bottom"/>
            <w:hideMark/>
          </w:tcPr>
          <w:p w14:paraId="708E81F4" w14:textId="77777777" w:rsidR="00C44869" w:rsidRPr="00D46B6F" w:rsidRDefault="00C44869" w:rsidP="007B3453">
            <w:pPr>
              <w:jc w:val="center"/>
              <w:rPr>
                <w:sz w:val="22"/>
                <w:szCs w:val="22"/>
              </w:rPr>
            </w:pPr>
            <w:r w:rsidRPr="00D46B6F">
              <w:rPr>
                <w:sz w:val="22"/>
                <w:szCs w:val="22"/>
              </w:rPr>
              <w:t> </w:t>
            </w:r>
          </w:p>
        </w:tc>
        <w:tc>
          <w:tcPr>
            <w:tcW w:w="349" w:type="pct"/>
            <w:tcBorders>
              <w:top w:val="nil"/>
              <w:left w:val="nil"/>
              <w:bottom w:val="single" w:sz="4" w:space="0" w:color="auto"/>
              <w:right w:val="nil"/>
            </w:tcBorders>
            <w:noWrap/>
            <w:vAlign w:val="bottom"/>
            <w:hideMark/>
          </w:tcPr>
          <w:p w14:paraId="261C7317" w14:textId="77777777" w:rsidR="00C44869" w:rsidRPr="00D46B6F" w:rsidRDefault="00C44869" w:rsidP="007B3453">
            <w:pPr>
              <w:jc w:val="center"/>
              <w:rPr>
                <w:sz w:val="22"/>
                <w:szCs w:val="22"/>
              </w:rPr>
            </w:pPr>
            <w:r w:rsidRPr="00D46B6F">
              <w:rPr>
                <w:sz w:val="22"/>
                <w:szCs w:val="22"/>
              </w:rPr>
              <w:t> </w:t>
            </w:r>
          </w:p>
        </w:tc>
        <w:tc>
          <w:tcPr>
            <w:tcW w:w="87" w:type="pct"/>
            <w:tcBorders>
              <w:top w:val="nil"/>
              <w:left w:val="nil"/>
              <w:bottom w:val="single" w:sz="4" w:space="0" w:color="auto"/>
              <w:right w:val="nil"/>
            </w:tcBorders>
            <w:noWrap/>
            <w:vAlign w:val="bottom"/>
            <w:hideMark/>
          </w:tcPr>
          <w:p w14:paraId="2C78002A" w14:textId="77777777" w:rsidR="00C44869" w:rsidRPr="00D46B6F" w:rsidRDefault="00C44869" w:rsidP="007B3453">
            <w:pPr>
              <w:jc w:val="center"/>
              <w:rPr>
                <w:sz w:val="22"/>
                <w:szCs w:val="22"/>
              </w:rPr>
            </w:pPr>
            <w:r w:rsidRPr="00D46B6F">
              <w:rPr>
                <w:sz w:val="22"/>
                <w:szCs w:val="22"/>
              </w:rPr>
              <w:t> </w:t>
            </w:r>
          </w:p>
        </w:tc>
        <w:tc>
          <w:tcPr>
            <w:tcW w:w="305" w:type="pct"/>
            <w:tcBorders>
              <w:top w:val="nil"/>
              <w:left w:val="nil"/>
              <w:bottom w:val="single" w:sz="4" w:space="0" w:color="auto"/>
              <w:right w:val="nil"/>
            </w:tcBorders>
          </w:tcPr>
          <w:p w14:paraId="12AB17B0" w14:textId="77777777" w:rsidR="00C44869" w:rsidRPr="00D46B6F" w:rsidRDefault="00C44869" w:rsidP="007B3453">
            <w:pPr>
              <w:jc w:val="center"/>
              <w:rPr>
                <w:sz w:val="22"/>
                <w:szCs w:val="22"/>
              </w:rPr>
            </w:pPr>
          </w:p>
        </w:tc>
        <w:tc>
          <w:tcPr>
            <w:tcW w:w="397" w:type="pct"/>
            <w:tcBorders>
              <w:top w:val="nil"/>
              <w:left w:val="nil"/>
              <w:bottom w:val="single" w:sz="4" w:space="0" w:color="auto"/>
              <w:right w:val="nil"/>
            </w:tcBorders>
            <w:noWrap/>
            <w:vAlign w:val="bottom"/>
            <w:hideMark/>
          </w:tcPr>
          <w:p w14:paraId="48B878E7" w14:textId="77777777" w:rsidR="00C44869" w:rsidRPr="00D46B6F" w:rsidRDefault="00C44869" w:rsidP="007B3453">
            <w:pPr>
              <w:jc w:val="center"/>
              <w:rPr>
                <w:sz w:val="22"/>
                <w:szCs w:val="22"/>
              </w:rPr>
            </w:pPr>
            <w:r w:rsidRPr="00D46B6F">
              <w:rPr>
                <w:sz w:val="22"/>
                <w:szCs w:val="22"/>
              </w:rPr>
              <w:t> </w:t>
            </w:r>
          </w:p>
        </w:tc>
        <w:tc>
          <w:tcPr>
            <w:tcW w:w="87" w:type="pct"/>
            <w:tcBorders>
              <w:top w:val="nil"/>
              <w:left w:val="nil"/>
              <w:bottom w:val="single" w:sz="4" w:space="0" w:color="auto"/>
              <w:right w:val="nil"/>
            </w:tcBorders>
            <w:noWrap/>
            <w:vAlign w:val="bottom"/>
            <w:hideMark/>
          </w:tcPr>
          <w:p w14:paraId="68031812" w14:textId="77777777" w:rsidR="00C44869" w:rsidRPr="00D46B6F" w:rsidRDefault="00C44869" w:rsidP="007B3453">
            <w:pPr>
              <w:jc w:val="center"/>
              <w:rPr>
                <w:sz w:val="22"/>
                <w:szCs w:val="22"/>
              </w:rPr>
            </w:pPr>
            <w:r w:rsidRPr="00D46B6F">
              <w:rPr>
                <w:sz w:val="22"/>
                <w:szCs w:val="22"/>
              </w:rPr>
              <w:t> </w:t>
            </w:r>
          </w:p>
        </w:tc>
        <w:tc>
          <w:tcPr>
            <w:tcW w:w="343" w:type="pct"/>
            <w:tcBorders>
              <w:top w:val="nil"/>
              <w:left w:val="nil"/>
              <w:bottom w:val="single" w:sz="4" w:space="0" w:color="auto"/>
              <w:right w:val="nil"/>
            </w:tcBorders>
            <w:noWrap/>
            <w:vAlign w:val="bottom"/>
            <w:hideMark/>
          </w:tcPr>
          <w:p w14:paraId="59BF68CB" w14:textId="77777777" w:rsidR="00C44869" w:rsidRPr="00D46B6F" w:rsidRDefault="00C44869" w:rsidP="007B3453">
            <w:pPr>
              <w:jc w:val="center"/>
              <w:rPr>
                <w:sz w:val="22"/>
                <w:szCs w:val="22"/>
              </w:rPr>
            </w:pPr>
            <w:r w:rsidRPr="00D46B6F">
              <w:rPr>
                <w:sz w:val="22"/>
                <w:szCs w:val="22"/>
              </w:rPr>
              <w:t> </w:t>
            </w:r>
          </w:p>
        </w:tc>
      </w:tr>
      <w:tr w:rsidR="00C44869" w:rsidRPr="00D46B6F" w14:paraId="5BA94AB4" w14:textId="77777777" w:rsidTr="007B3453">
        <w:trPr>
          <w:trHeight w:val="255"/>
        </w:trPr>
        <w:tc>
          <w:tcPr>
            <w:tcW w:w="1000" w:type="pct"/>
            <w:gridSpan w:val="2"/>
            <w:tcBorders>
              <w:top w:val="nil"/>
              <w:left w:val="nil"/>
              <w:bottom w:val="nil"/>
              <w:right w:val="nil"/>
            </w:tcBorders>
            <w:noWrap/>
            <w:vAlign w:val="bottom"/>
            <w:hideMark/>
          </w:tcPr>
          <w:p w14:paraId="4588E0E5" w14:textId="77777777" w:rsidR="00C44869" w:rsidRPr="00D46B6F" w:rsidRDefault="00C44869" w:rsidP="007B3453">
            <w:pPr>
              <w:jc w:val="center"/>
              <w:rPr>
                <w:sz w:val="22"/>
                <w:szCs w:val="22"/>
              </w:rPr>
            </w:pPr>
          </w:p>
        </w:tc>
        <w:tc>
          <w:tcPr>
            <w:tcW w:w="130" w:type="pct"/>
            <w:tcBorders>
              <w:top w:val="nil"/>
              <w:left w:val="nil"/>
              <w:bottom w:val="nil"/>
              <w:right w:val="nil"/>
            </w:tcBorders>
            <w:noWrap/>
            <w:vAlign w:val="bottom"/>
            <w:hideMark/>
          </w:tcPr>
          <w:p w14:paraId="2F289C0A" w14:textId="77777777" w:rsidR="00C44869" w:rsidRPr="00D46B6F" w:rsidRDefault="00C44869" w:rsidP="007B3453">
            <w:pPr>
              <w:rPr>
                <w:sz w:val="20"/>
                <w:szCs w:val="20"/>
              </w:rPr>
            </w:pPr>
          </w:p>
        </w:tc>
        <w:tc>
          <w:tcPr>
            <w:tcW w:w="375" w:type="pct"/>
            <w:vMerge w:val="restart"/>
            <w:tcBorders>
              <w:top w:val="nil"/>
              <w:left w:val="nil"/>
              <w:bottom w:val="single" w:sz="4" w:space="0" w:color="000000"/>
              <w:right w:val="nil"/>
            </w:tcBorders>
            <w:vAlign w:val="bottom"/>
            <w:hideMark/>
          </w:tcPr>
          <w:p w14:paraId="43F70639" w14:textId="77777777" w:rsidR="00C44869" w:rsidRPr="00D46B6F" w:rsidRDefault="00C44869" w:rsidP="007B3453">
            <w:pPr>
              <w:jc w:val="center"/>
              <w:rPr>
                <w:b/>
                <w:bCs/>
                <w:sz w:val="16"/>
                <w:szCs w:val="16"/>
              </w:rPr>
            </w:pPr>
            <w:r w:rsidRPr="00D46B6F">
              <w:rPr>
                <w:b/>
                <w:bCs/>
                <w:sz w:val="16"/>
                <w:szCs w:val="16"/>
              </w:rPr>
              <w:t xml:space="preserve">Share Capital </w:t>
            </w:r>
            <w:r w:rsidRPr="00D46B6F">
              <w:rPr>
                <w:rFonts w:ascii="Calibri" w:hAnsi="Calibri" w:cs="Calibri"/>
                <w:b/>
                <w:bCs/>
                <w:sz w:val="16"/>
                <w:szCs w:val="16"/>
              </w:rPr>
              <w:t>£</w:t>
            </w:r>
          </w:p>
        </w:tc>
        <w:tc>
          <w:tcPr>
            <w:tcW w:w="93" w:type="pct"/>
            <w:tcBorders>
              <w:top w:val="nil"/>
              <w:left w:val="nil"/>
              <w:bottom w:val="nil"/>
              <w:right w:val="nil"/>
            </w:tcBorders>
            <w:noWrap/>
            <w:vAlign w:val="bottom"/>
            <w:hideMark/>
          </w:tcPr>
          <w:p w14:paraId="76B68355" w14:textId="77777777" w:rsidR="00C44869" w:rsidRPr="00D46B6F" w:rsidRDefault="00C44869" w:rsidP="007B3453">
            <w:pPr>
              <w:jc w:val="center"/>
              <w:rPr>
                <w:b/>
                <w:bCs/>
                <w:sz w:val="16"/>
                <w:szCs w:val="16"/>
              </w:rPr>
            </w:pPr>
          </w:p>
        </w:tc>
        <w:tc>
          <w:tcPr>
            <w:tcW w:w="389" w:type="pct"/>
            <w:vMerge w:val="restart"/>
            <w:tcBorders>
              <w:top w:val="nil"/>
              <w:left w:val="nil"/>
              <w:bottom w:val="single" w:sz="4" w:space="0" w:color="000000"/>
              <w:right w:val="nil"/>
            </w:tcBorders>
            <w:vAlign w:val="bottom"/>
            <w:hideMark/>
          </w:tcPr>
          <w:p w14:paraId="52D950C9" w14:textId="77777777" w:rsidR="00C44869" w:rsidRPr="00D46B6F" w:rsidRDefault="00C44869" w:rsidP="007B3453">
            <w:pPr>
              <w:jc w:val="center"/>
              <w:rPr>
                <w:b/>
                <w:bCs/>
                <w:sz w:val="16"/>
                <w:szCs w:val="16"/>
              </w:rPr>
            </w:pPr>
            <w:r w:rsidRPr="00D46B6F">
              <w:rPr>
                <w:b/>
                <w:bCs/>
                <w:sz w:val="16"/>
                <w:szCs w:val="16"/>
              </w:rPr>
              <w:t xml:space="preserve">Share Premium Account </w:t>
            </w:r>
            <w:r w:rsidRPr="00D46B6F">
              <w:rPr>
                <w:rFonts w:ascii="Calibri" w:hAnsi="Calibri" w:cs="Calibri"/>
                <w:b/>
                <w:bCs/>
                <w:sz w:val="16"/>
                <w:szCs w:val="16"/>
              </w:rPr>
              <w:t>£</w:t>
            </w:r>
          </w:p>
        </w:tc>
        <w:tc>
          <w:tcPr>
            <w:tcW w:w="87" w:type="pct"/>
            <w:tcBorders>
              <w:top w:val="nil"/>
              <w:left w:val="nil"/>
              <w:bottom w:val="nil"/>
              <w:right w:val="nil"/>
            </w:tcBorders>
            <w:noWrap/>
            <w:vAlign w:val="bottom"/>
            <w:hideMark/>
          </w:tcPr>
          <w:p w14:paraId="75FD0110" w14:textId="77777777" w:rsidR="00C44869" w:rsidRPr="00D46B6F" w:rsidRDefault="00C44869" w:rsidP="007B3453">
            <w:pPr>
              <w:jc w:val="center"/>
              <w:rPr>
                <w:b/>
                <w:bCs/>
                <w:sz w:val="16"/>
                <w:szCs w:val="16"/>
              </w:rPr>
            </w:pPr>
          </w:p>
        </w:tc>
        <w:tc>
          <w:tcPr>
            <w:tcW w:w="354" w:type="pct"/>
            <w:vMerge w:val="restart"/>
            <w:tcBorders>
              <w:top w:val="nil"/>
              <w:left w:val="nil"/>
              <w:bottom w:val="single" w:sz="4" w:space="0" w:color="000000"/>
              <w:right w:val="nil"/>
            </w:tcBorders>
            <w:vAlign w:val="bottom"/>
            <w:hideMark/>
          </w:tcPr>
          <w:p w14:paraId="061EBF0C" w14:textId="77777777" w:rsidR="00C44869" w:rsidRPr="00D46B6F" w:rsidRDefault="00C44869" w:rsidP="007B3453">
            <w:pPr>
              <w:jc w:val="center"/>
              <w:rPr>
                <w:b/>
                <w:bCs/>
                <w:sz w:val="16"/>
                <w:szCs w:val="16"/>
              </w:rPr>
            </w:pPr>
            <w:r w:rsidRPr="00D46B6F">
              <w:rPr>
                <w:b/>
                <w:bCs/>
                <w:sz w:val="16"/>
                <w:szCs w:val="16"/>
              </w:rPr>
              <w:t xml:space="preserve">Share Based Payment Reserve </w:t>
            </w:r>
            <w:r w:rsidRPr="00D46B6F">
              <w:rPr>
                <w:rFonts w:ascii="Calibri" w:hAnsi="Calibri" w:cs="Calibri"/>
                <w:b/>
                <w:bCs/>
                <w:sz w:val="16"/>
                <w:szCs w:val="16"/>
              </w:rPr>
              <w:t>£</w:t>
            </w:r>
          </w:p>
        </w:tc>
        <w:tc>
          <w:tcPr>
            <w:tcW w:w="87" w:type="pct"/>
            <w:tcBorders>
              <w:top w:val="nil"/>
              <w:left w:val="nil"/>
              <w:bottom w:val="nil"/>
              <w:right w:val="nil"/>
            </w:tcBorders>
            <w:vAlign w:val="bottom"/>
            <w:hideMark/>
          </w:tcPr>
          <w:p w14:paraId="6493E8FA" w14:textId="77777777" w:rsidR="00C44869" w:rsidRPr="00D46B6F" w:rsidRDefault="00C44869" w:rsidP="007B3453">
            <w:pPr>
              <w:jc w:val="center"/>
              <w:rPr>
                <w:b/>
                <w:bCs/>
                <w:sz w:val="16"/>
                <w:szCs w:val="16"/>
              </w:rPr>
            </w:pPr>
          </w:p>
        </w:tc>
        <w:tc>
          <w:tcPr>
            <w:tcW w:w="397" w:type="pct"/>
            <w:vMerge w:val="restart"/>
            <w:tcBorders>
              <w:top w:val="nil"/>
              <w:left w:val="nil"/>
              <w:bottom w:val="single" w:sz="4" w:space="0" w:color="000000"/>
              <w:right w:val="nil"/>
            </w:tcBorders>
            <w:vAlign w:val="bottom"/>
            <w:hideMark/>
          </w:tcPr>
          <w:p w14:paraId="195DB2D0" w14:textId="77777777" w:rsidR="00C44869" w:rsidRPr="00D46B6F" w:rsidRDefault="00C44869" w:rsidP="007B3453">
            <w:pPr>
              <w:jc w:val="center"/>
              <w:rPr>
                <w:b/>
                <w:bCs/>
                <w:sz w:val="16"/>
                <w:szCs w:val="16"/>
              </w:rPr>
            </w:pPr>
            <w:r w:rsidRPr="00D46B6F">
              <w:rPr>
                <w:b/>
                <w:bCs/>
                <w:sz w:val="16"/>
                <w:szCs w:val="16"/>
              </w:rPr>
              <w:t>Compound Loan Note Equity Component Reserve £</w:t>
            </w:r>
          </w:p>
        </w:tc>
        <w:tc>
          <w:tcPr>
            <w:tcW w:w="87" w:type="pct"/>
            <w:tcBorders>
              <w:top w:val="nil"/>
              <w:left w:val="nil"/>
              <w:bottom w:val="nil"/>
              <w:right w:val="nil"/>
            </w:tcBorders>
            <w:vAlign w:val="bottom"/>
            <w:hideMark/>
          </w:tcPr>
          <w:p w14:paraId="3AA18FEF" w14:textId="77777777" w:rsidR="00C44869" w:rsidRPr="00D46B6F" w:rsidRDefault="00C44869" w:rsidP="007B3453">
            <w:pPr>
              <w:jc w:val="center"/>
              <w:rPr>
                <w:b/>
                <w:bCs/>
                <w:sz w:val="16"/>
                <w:szCs w:val="16"/>
              </w:rPr>
            </w:pPr>
          </w:p>
        </w:tc>
        <w:tc>
          <w:tcPr>
            <w:tcW w:w="347" w:type="pct"/>
            <w:vMerge w:val="restart"/>
            <w:tcBorders>
              <w:top w:val="nil"/>
              <w:left w:val="nil"/>
              <w:bottom w:val="single" w:sz="4" w:space="0" w:color="000000"/>
              <w:right w:val="nil"/>
            </w:tcBorders>
            <w:vAlign w:val="bottom"/>
            <w:hideMark/>
          </w:tcPr>
          <w:p w14:paraId="631B8A68" w14:textId="77777777" w:rsidR="00C44869" w:rsidRDefault="00C44869" w:rsidP="007B3453">
            <w:pPr>
              <w:jc w:val="center"/>
              <w:rPr>
                <w:b/>
                <w:bCs/>
                <w:sz w:val="16"/>
                <w:szCs w:val="16"/>
              </w:rPr>
            </w:pPr>
            <w:r w:rsidRPr="00D46B6F">
              <w:rPr>
                <w:b/>
                <w:bCs/>
                <w:sz w:val="16"/>
                <w:szCs w:val="16"/>
              </w:rPr>
              <w:t>Shares</w:t>
            </w:r>
          </w:p>
          <w:p w14:paraId="329995AB" w14:textId="77777777" w:rsidR="00C44869" w:rsidRPr="00D46B6F" w:rsidRDefault="00C44869" w:rsidP="007B3453">
            <w:pPr>
              <w:jc w:val="center"/>
              <w:rPr>
                <w:b/>
                <w:bCs/>
                <w:sz w:val="16"/>
                <w:szCs w:val="16"/>
              </w:rPr>
            </w:pPr>
            <w:r w:rsidRPr="00D46B6F">
              <w:rPr>
                <w:b/>
                <w:bCs/>
                <w:sz w:val="16"/>
                <w:szCs w:val="16"/>
              </w:rPr>
              <w:t xml:space="preserve"> To Be Issued Reserve £</w:t>
            </w:r>
          </w:p>
        </w:tc>
        <w:tc>
          <w:tcPr>
            <w:tcW w:w="87" w:type="pct"/>
            <w:tcBorders>
              <w:top w:val="nil"/>
              <w:left w:val="nil"/>
              <w:bottom w:val="nil"/>
              <w:right w:val="nil"/>
            </w:tcBorders>
            <w:vAlign w:val="bottom"/>
            <w:hideMark/>
          </w:tcPr>
          <w:p w14:paraId="490F8B73" w14:textId="77777777" w:rsidR="00C44869" w:rsidRPr="00D46B6F" w:rsidRDefault="00C44869" w:rsidP="007B3453">
            <w:pPr>
              <w:jc w:val="center"/>
              <w:rPr>
                <w:b/>
                <w:bCs/>
                <w:sz w:val="16"/>
                <w:szCs w:val="16"/>
              </w:rPr>
            </w:pPr>
          </w:p>
        </w:tc>
        <w:tc>
          <w:tcPr>
            <w:tcW w:w="349" w:type="pct"/>
            <w:vMerge w:val="restart"/>
            <w:tcBorders>
              <w:top w:val="nil"/>
              <w:left w:val="nil"/>
              <w:bottom w:val="single" w:sz="4" w:space="0" w:color="000000"/>
              <w:right w:val="nil"/>
            </w:tcBorders>
            <w:vAlign w:val="bottom"/>
            <w:hideMark/>
          </w:tcPr>
          <w:p w14:paraId="74659BCE" w14:textId="77777777" w:rsidR="00C44869" w:rsidRPr="00D46B6F" w:rsidRDefault="00C44869" w:rsidP="007B3453">
            <w:pPr>
              <w:jc w:val="center"/>
              <w:rPr>
                <w:b/>
                <w:bCs/>
                <w:sz w:val="16"/>
                <w:szCs w:val="16"/>
              </w:rPr>
            </w:pPr>
            <w:r w:rsidRPr="00D46B6F">
              <w:rPr>
                <w:b/>
                <w:bCs/>
                <w:sz w:val="16"/>
                <w:szCs w:val="16"/>
              </w:rPr>
              <w:t xml:space="preserve">Foreign Currency Translation Reserve </w:t>
            </w:r>
            <w:r w:rsidRPr="00D46B6F">
              <w:rPr>
                <w:rFonts w:ascii="Calibri" w:hAnsi="Calibri" w:cs="Calibri"/>
                <w:b/>
                <w:bCs/>
                <w:sz w:val="16"/>
                <w:szCs w:val="16"/>
              </w:rPr>
              <w:t>£</w:t>
            </w:r>
          </w:p>
        </w:tc>
        <w:tc>
          <w:tcPr>
            <w:tcW w:w="87" w:type="pct"/>
            <w:tcBorders>
              <w:top w:val="nil"/>
              <w:left w:val="nil"/>
              <w:bottom w:val="nil"/>
              <w:right w:val="nil"/>
            </w:tcBorders>
            <w:noWrap/>
            <w:vAlign w:val="bottom"/>
            <w:hideMark/>
          </w:tcPr>
          <w:p w14:paraId="791736A7" w14:textId="77777777" w:rsidR="00C44869" w:rsidRPr="00D46B6F" w:rsidRDefault="00C44869" w:rsidP="007B3453">
            <w:pPr>
              <w:jc w:val="center"/>
              <w:rPr>
                <w:b/>
                <w:bCs/>
                <w:sz w:val="16"/>
                <w:szCs w:val="16"/>
              </w:rPr>
            </w:pPr>
          </w:p>
        </w:tc>
        <w:tc>
          <w:tcPr>
            <w:tcW w:w="305" w:type="pct"/>
            <w:tcBorders>
              <w:top w:val="single" w:sz="4" w:space="0" w:color="auto"/>
              <w:left w:val="nil"/>
              <w:right w:val="nil"/>
            </w:tcBorders>
          </w:tcPr>
          <w:p w14:paraId="0A989870" w14:textId="77777777" w:rsidR="00C44869" w:rsidRPr="00D46B6F" w:rsidRDefault="00C44869" w:rsidP="007B3453">
            <w:pPr>
              <w:jc w:val="center"/>
              <w:rPr>
                <w:b/>
                <w:bCs/>
                <w:sz w:val="16"/>
                <w:szCs w:val="16"/>
              </w:rPr>
            </w:pPr>
          </w:p>
        </w:tc>
        <w:tc>
          <w:tcPr>
            <w:tcW w:w="397" w:type="pct"/>
            <w:vMerge w:val="restart"/>
            <w:tcBorders>
              <w:top w:val="nil"/>
              <w:left w:val="nil"/>
              <w:bottom w:val="single" w:sz="4" w:space="0" w:color="000000"/>
              <w:right w:val="nil"/>
            </w:tcBorders>
            <w:vAlign w:val="bottom"/>
            <w:hideMark/>
          </w:tcPr>
          <w:p w14:paraId="1B1CA63B" w14:textId="77777777" w:rsidR="00C44869" w:rsidRPr="00D46B6F" w:rsidRDefault="00C44869" w:rsidP="007B3453">
            <w:pPr>
              <w:jc w:val="center"/>
              <w:rPr>
                <w:b/>
                <w:bCs/>
                <w:sz w:val="16"/>
                <w:szCs w:val="16"/>
              </w:rPr>
            </w:pPr>
            <w:r w:rsidRPr="00D46B6F">
              <w:rPr>
                <w:b/>
                <w:bCs/>
                <w:sz w:val="16"/>
                <w:szCs w:val="16"/>
              </w:rPr>
              <w:t xml:space="preserve">Retained Loss </w:t>
            </w:r>
            <w:r w:rsidRPr="00D46B6F">
              <w:rPr>
                <w:rFonts w:ascii="Calibri" w:hAnsi="Calibri" w:cs="Calibri"/>
                <w:b/>
                <w:bCs/>
                <w:sz w:val="16"/>
                <w:szCs w:val="16"/>
              </w:rPr>
              <w:t>£</w:t>
            </w:r>
          </w:p>
        </w:tc>
        <w:tc>
          <w:tcPr>
            <w:tcW w:w="87" w:type="pct"/>
            <w:tcBorders>
              <w:top w:val="nil"/>
              <w:left w:val="nil"/>
              <w:bottom w:val="nil"/>
              <w:right w:val="nil"/>
            </w:tcBorders>
            <w:vAlign w:val="bottom"/>
            <w:hideMark/>
          </w:tcPr>
          <w:p w14:paraId="3521D8FC" w14:textId="77777777" w:rsidR="00C44869" w:rsidRPr="00D46B6F" w:rsidRDefault="00C44869" w:rsidP="007B3453">
            <w:pPr>
              <w:jc w:val="center"/>
              <w:rPr>
                <w:b/>
                <w:bCs/>
                <w:sz w:val="16"/>
                <w:szCs w:val="16"/>
              </w:rPr>
            </w:pPr>
          </w:p>
        </w:tc>
        <w:tc>
          <w:tcPr>
            <w:tcW w:w="343" w:type="pct"/>
            <w:vMerge w:val="restart"/>
            <w:tcBorders>
              <w:top w:val="nil"/>
              <w:left w:val="nil"/>
              <w:bottom w:val="single" w:sz="4" w:space="0" w:color="000000"/>
              <w:right w:val="nil"/>
            </w:tcBorders>
            <w:vAlign w:val="bottom"/>
            <w:hideMark/>
          </w:tcPr>
          <w:p w14:paraId="6E8E142F" w14:textId="77777777" w:rsidR="00C44869" w:rsidRPr="00D46B6F" w:rsidRDefault="00C44869" w:rsidP="007B3453">
            <w:pPr>
              <w:jc w:val="center"/>
              <w:rPr>
                <w:b/>
                <w:bCs/>
                <w:sz w:val="16"/>
                <w:szCs w:val="16"/>
              </w:rPr>
            </w:pPr>
            <w:r w:rsidRPr="00D46B6F">
              <w:rPr>
                <w:b/>
                <w:bCs/>
                <w:sz w:val="16"/>
                <w:szCs w:val="16"/>
              </w:rPr>
              <w:t xml:space="preserve">Total </w:t>
            </w:r>
            <w:r w:rsidRPr="00D46B6F">
              <w:rPr>
                <w:rFonts w:ascii="Calibri" w:hAnsi="Calibri" w:cs="Calibri"/>
                <w:b/>
                <w:bCs/>
                <w:sz w:val="16"/>
                <w:szCs w:val="16"/>
              </w:rPr>
              <w:t>£</w:t>
            </w:r>
          </w:p>
        </w:tc>
      </w:tr>
      <w:tr w:rsidR="00C44869" w:rsidRPr="00D46B6F" w14:paraId="533CC46E" w14:textId="77777777" w:rsidTr="007B3453">
        <w:trPr>
          <w:trHeight w:val="915"/>
        </w:trPr>
        <w:tc>
          <w:tcPr>
            <w:tcW w:w="1000" w:type="pct"/>
            <w:gridSpan w:val="2"/>
            <w:tcBorders>
              <w:top w:val="nil"/>
              <w:left w:val="nil"/>
              <w:bottom w:val="nil"/>
              <w:right w:val="nil"/>
            </w:tcBorders>
            <w:noWrap/>
            <w:vAlign w:val="bottom"/>
            <w:hideMark/>
          </w:tcPr>
          <w:p w14:paraId="08A3D05B" w14:textId="77777777" w:rsidR="00C44869" w:rsidRPr="00D46B6F" w:rsidRDefault="00C44869" w:rsidP="007B3453">
            <w:pPr>
              <w:jc w:val="center"/>
              <w:rPr>
                <w:b/>
                <w:bCs/>
                <w:sz w:val="18"/>
                <w:szCs w:val="18"/>
              </w:rPr>
            </w:pPr>
            <w:bookmarkStart w:id="5" w:name="RANGE!A6:E10"/>
            <w:bookmarkEnd w:id="5"/>
          </w:p>
        </w:tc>
        <w:tc>
          <w:tcPr>
            <w:tcW w:w="130" w:type="pct"/>
            <w:tcBorders>
              <w:top w:val="nil"/>
              <w:left w:val="nil"/>
              <w:bottom w:val="nil"/>
              <w:right w:val="nil"/>
            </w:tcBorders>
            <w:noWrap/>
            <w:vAlign w:val="bottom"/>
            <w:hideMark/>
          </w:tcPr>
          <w:p w14:paraId="0F7CFB4B" w14:textId="77777777" w:rsidR="00C44869" w:rsidRPr="00D46B6F" w:rsidRDefault="00C44869" w:rsidP="007B3453">
            <w:pPr>
              <w:rPr>
                <w:sz w:val="20"/>
                <w:szCs w:val="20"/>
              </w:rPr>
            </w:pPr>
          </w:p>
        </w:tc>
        <w:tc>
          <w:tcPr>
            <w:tcW w:w="375" w:type="pct"/>
            <w:vMerge/>
            <w:tcBorders>
              <w:top w:val="nil"/>
              <w:left w:val="nil"/>
              <w:bottom w:val="single" w:sz="4" w:space="0" w:color="000000"/>
              <w:right w:val="nil"/>
            </w:tcBorders>
            <w:vAlign w:val="bottom"/>
            <w:hideMark/>
          </w:tcPr>
          <w:p w14:paraId="48C1239E" w14:textId="77777777" w:rsidR="00C44869" w:rsidRPr="00D46B6F" w:rsidRDefault="00C44869" w:rsidP="007B3453">
            <w:pPr>
              <w:rPr>
                <w:b/>
                <w:bCs/>
                <w:sz w:val="16"/>
                <w:szCs w:val="16"/>
              </w:rPr>
            </w:pPr>
          </w:p>
        </w:tc>
        <w:tc>
          <w:tcPr>
            <w:tcW w:w="93" w:type="pct"/>
            <w:tcBorders>
              <w:top w:val="nil"/>
              <w:left w:val="nil"/>
              <w:bottom w:val="nil"/>
              <w:right w:val="nil"/>
            </w:tcBorders>
            <w:noWrap/>
            <w:vAlign w:val="bottom"/>
            <w:hideMark/>
          </w:tcPr>
          <w:p w14:paraId="34804728" w14:textId="77777777" w:rsidR="00C44869" w:rsidRPr="00D46B6F" w:rsidRDefault="00C44869" w:rsidP="007B3453">
            <w:pPr>
              <w:rPr>
                <w:sz w:val="16"/>
                <w:szCs w:val="16"/>
              </w:rPr>
            </w:pPr>
          </w:p>
        </w:tc>
        <w:tc>
          <w:tcPr>
            <w:tcW w:w="389" w:type="pct"/>
            <w:vMerge/>
            <w:tcBorders>
              <w:top w:val="nil"/>
              <w:left w:val="nil"/>
              <w:bottom w:val="single" w:sz="4" w:space="0" w:color="000000"/>
              <w:right w:val="nil"/>
            </w:tcBorders>
            <w:vAlign w:val="bottom"/>
            <w:hideMark/>
          </w:tcPr>
          <w:p w14:paraId="38368C71" w14:textId="77777777" w:rsidR="00C44869" w:rsidRPr="00D46B6F" w:rsidRDefault="00C44869" w:rsidP="007B3453">
            <w:pPr>
              <w:rPr>
                <w:b/>
                <w:bCs/>
                <w:sz w:val="16"/>
                <w:szCs w:val="16"/>
              </w:rPr>
            </w:pPr>
          </w:p>
        </w:tc>
        <w:tc>
          <w:tcPr>
            <w:tcW w:w="87" w:type="pct"/>
            <w:tcBorders>
              <w:top w:val="nil"/>
              <w:left w:val="nil"/>
              <w:bottom w:val="nil"/>
              <w:right w:val="nil"/>
            </w:tcBorders>
            <w:noWrap/>
            <w:vAlign w:val="bottom"/>
            <w:hideMark/>
          </w:tcPr>
          <w:p w14:paraId="1FB6ACC2" w14:textId="77777777" w:rsidR="00C44869" w:rsidRPr="00D46B6F" w:rsidRDefault="00C44869" w:rsidP="007B3453">
            <w:pPr>
              <w:jc w:val="center"/>
              <w:rPr>
                <w:sz w:val="16"/>
                <w:szCs w:val="16"/>
              </w:rPr>
            </w:pPr>
          </w:p>
        </w:tc>
        <w:tc>
          <w:tcPr>
            <w:tcW w:w="354" w:type="pct"/>
            <w:vMerge/>
            <w:tcBorders>
              <w:top w:val="nil"/>
              <w:left w:val="nil"/>
              <w:bottom w:val="single" w:sz="4" w:space="0" w:color="000000"/>
              <w:right w:val="nil"/>
            </w:tcBorders>
            <w:vAlign w:val="bottom"/>
            <w:hideMark/>
          </w:tcPr>
          <w:p w14:paraId="3E0E62EC" w14:textId="77777777" w:rsidR="00C44869" w:rsidRPr="00D46B6F" w:rsidRDefault="00C44869" w:rsidP="007B3453">
            <w:pPr>
              <w:rPr>
                <w:b/>
                <w:bCs/>
                <w:sz w:val="16"/>
                <w:szCs w:val="16"/>
              </w:rPr>
            </w:pPr>
          </w:p>
        </w:tc>
        <w:tc>
          <w:tcPr>
            <w:tcW w:w="87" w:type="pct"/>
            <w:tcBorders>
              <w:top w:val="nil"/>
              <w:left w:val="nil"/>
              <w:bottom w:val="nil"/>
              <w:right w:val="nil"/>
            </w:tcBorders>
            <w:vAlign w:val="bottom"/>
            <w:hideMark/>
          </w:tcPr>
          <w:p w14:paraId="48F5C669" w14:textId="77777777" w:rsidR="00C44869" w:rsidRPr="00D46B6F" w:rsidRDefault="00C44869" w:rsidP="007B3453">
            <w:pPr>
              <w:rPr>
                <w:sz w:val="16"/>
                <w:szCs w:val="16"/>
              </w:rPr>
            </w:pPr>
          </w:p>
        </w:tc>
        <w:tc>
          <w:tcPr>
            <w:tcW w:w="397" w:type="pct"/>
            <w:vMerge/>
            <w:tcBorders>
              <w:top w:val="nil"/>
              <w:left w:val="nil"/>
              <w:bottom w:val="single" w:sz="4" w:space="0" w:color="000000"/>
              <w:right w:val="nil"/>
            </w:tcBorders>
            <w:vAlign w:val="bottom"/>
            <w:hideMark/>
          </w:tcPr>
          <w:p w14:paraId="17C97959" w14:textId="77777777" w:rsidR="00C44869" w:rsidRPr="00D46B6F" w:rsidRDefault="00C44869" w:rsidP="007B3453">
            <w:pPr>
              <w:rPr>
                <w:b/>
                <w:bCs/>
                <w:sz w:val="16"/>
                <w:szCs w:val="16"/>
              </w:rPr>
            </w:pPr>
          </w:p>
        </w:tc>
        <w:tc>
          <w:tcPr>
            <w:tcW w:w="87" w:type="pct"/>
            <w:tcBorders>
              <w:top w:val="nil"/>
              <w:left w:val="nil"/>
              <w:bottom w:val="nil"/>
              <w:right w:val="nil"/>
            </w:tcBorders>
            <w:vAlign w:val="bottom"/>
            <w:hideMark/>
          </w:tcPr>
          <w:p w14:paraId="2740FE96" w14:textId="77777777" w:rsidR="00C44869" w:rsidRPr="00D46B6F" w:rsidRDefault="00C44869" w:rsidP="007B3453">
            <w:pPr>
              <w:jc w:val="center"/>
              <w:rPr>
                <w:sz w:val="16"/>
                <w:szCs w:val="16"/>
              </w:rPr>
            </w:pPr>
          </w:p>
        </w:tc>
        <w:tc>
          <w:tcPr>
            <w:tcW w:w="347" w:type="pct"/>
            <w:vMerge/>
            <w:tcBorders>
              <w:top w:val="nil"/>
              <w:left w:val="nil"/>
              <w:bottom w:val="single" w:sz="4" w:space="0" w:color="000000"/>
              <w:right w:val="nil"/>
            </w:tcBorders>
            <w:vAlign w:val="bottom"/>
            <w:hideMark/>
          </w:tcPr>
          <w:p w14:paraId="03737D43" w14:textId="77777777" w:rsidR="00C44869" w:rsidRPr="00D46B6F" w:rsidRDefault="00C44869" w:rsidP="007B3453">
            <w:pPr>
              <w:rPr>
                <w:b/>
                <w:bCs/>
                <w:sz w:val="16"/>
                <w:szCs w:val="16"/>
              </w:rPr>
            </w:pPr>
          </w:p>
        </w:tc>
        <w:tc>
          <w:tcPr>
            <w:tcW w:w="87" w:type="pct"/>
            <w:tcBorders>
              <w:top w:val="nil"/>
              <w:left w:val="nil"/>
              <w:bottom w:val="nil"/>
              <w:right w:val="nil"/>
            </w:tcBorders>
            <w:vAlign w:val="bottom"/>
            <w:hideMark/>
          </w:tcPr>
          <w:p w14:paraId="009932BC" w14:textId="77777777" w:rsidR="00C44869" w:rsidRPr="00D46B6F" w:rsidRDefault="00C44869" w:rsidP="007B3453">
            <w:pPr>
              <w:jc w:val="center"/>
              <w:rPr>
                <w:sz w:val="16"/>
                <w:szCs w:val="16"/>
              </w:rPr>
            </w:pPr>
          </w:p>
        </w:tc>
        <w:tc>
          <w:tcPr>
            <w:tcW w:w="349" w:type="pct"/>
            <w:vMerge/>
            <w:tcBorders>
              <w:top w:val="nil"/>
              <w:left w:val="nil"/>
              <w:bottom w:val="single" w:sz="4" w:space="0" w:color="000000"/>
              <w:right w:val="nil"/>
            </w:tcBorders>
            <w:vAlign w:val="bottom"/>
            <w:hideMark/>
          </w:tcPr>
          <w:p w14:paraId="103BFD0A" w14:textId="77777777" w:rsidR="00C44869" w:rsidRPr="00D46B6F" w:rsidRDefault="00C44869" w:rsidP="007B3453">
            <w:pPr>
              <w:rPr>
                <w:b/>
                <w:bCs/>
                <w:sz w:val="16"/>
                <w:szCs w:val="16"/>
              </w:rPr>
            </w:pPr>
          </w:p>
        </w:tc>
        <w:tc>
          <w:tcPr>
            <w:tcW w:w="87" w:type="pct"/>
            <w:tcBorders>
              <w:top w:val="nil"/>
              <w:left w:val="nil"/>
              <w:bottom w:val="nil"/>
              <w:right w:val="nil"/>
            </w:tcBorders>
            <w:noWrap/>
            <w:vAlign w:val="bottom"/>
            <w:hideMark/>
          </w:tcPr>
          <w:p w14:paraId="68671896" w14:textId="77777777" w:rsidR="00C44869" w:rsidRPr="00D46B6F" w:rsidRDefault="00C44869" w:rsidP="007B3453">
            <w:pPr>
              <w:jc w:val="center"/>
              <w:rPr>
                <w:sz w:val="16"/>
                <w:szCs w:val="16"/>
              </w:rPr>
            </w:pPr>
          </w:p>
        </w:tc>
        <w:tc>
          <w:tcPr>
            <w:tcW w:w="305" w:type="pct"/>
            <w:tcBorders>
              <w:top w:val="nil"/>
              <w:left w:val="nil"/>
              <w:bottom w:val="single" w:sz="4" w:space="0" w:color="auto"/>
              <w:right w:val="nil"/>
            </w:tcBorders>
          </w:tcPr>
          <w:p w14:paraId="5627216C" w14:textId="77777777" w:rsidR="00C44869" w:rsidRDefault="00C44869" w:rsidP="007B3453">
            <w:pPr>
              <w:rPr>
                <w:b/>
                <w:bCs/>
                <w:sz w:val="16"/>
                <w:szCs w:val="16"/>
              </w:rPr>
            </w:pPr>
          </w:p>
          <w:p w14:paraId="363A162F" w14:textId="77777777" w:rsidR="00C44869" w:rsidRDefault="00C44869" w:rsidP="007B3453">
            <w:pPr>
              <w:rPr>
                <w:b/>
                <w:bCs/>
                <w:sz w:val="16"/>
                <w:szCs w:val="16"/>
              </w:rPr>
            </w:pPr>
          </w:p>
          <w:p w14:paraId="6D71DCC4" w14:textId="77777777" w:rsidR="00C44869" w:rsidRDefault="00C44869" w:rsidP="007B3453">
            <w:pPr>
              <w:rPr>
                <w:b/>
                <w:bCs/>
                <w:sz w:val="16"/>
                <w:szCs w:val="16"/>
              </w:rPr>
            </w:pPr>
          </w:p>
          <w:p w14:paraId="442F4749" w14:textId="77777777" w:rsidR="00C44869" w:rsidRDefault="00C44869" w:rsidP="007B3453">
            <w:pPr>
              <w:jc w:val="right"/>
              <w:rPr>
                <w:b/>
                <w:bCs/>
                <w:sz w:val="16"/>
                <w:szCs w:val="16"/>
              </w:rPr>
            </w:pPr>
            <w:r>
              <w:rPr>
                <w:b/>
                <w:bCs/>
                <w:sz w:val="16"/>
                <w:szCs w:val="16"/>
              </w:rPr>
              <w:t xml:space="preserve">Other </w:t>
            </w:r>
          </w:p>
          <w:p w14:paraId="64CE8D90" w14:textId="77777777" w:rsidR="00C44869" w:rsidRPr="00D46B6F" w:rsidRDefault="00C44869" w:rsidP="007B3453">
            <w:pPr>
              <w:jc w:val="right"/>
              <w:rPr>
                <w:b/>
                <w:bCs/>
                <w:sz w:val="16"/>
                <w:szCs w:val="16"/>
              </w:rPr>
            </w:pPr>
            <w:r>
              <w:rPr>
                <w:b/>
                <w:bCs/>
                <w:sz w:val="16"/>
                <w:szCs w:val="16"/>
              </w:rPr>
              <w:t>reserve</w:t>
            </w:r>
          </w:p>
        </w:tc>
        <w:tc>
          <w:tcPr>
            <w:tcW w:w="397" w:type="pct"/>
            <w:vMerge/>
            <w:tcBorders>
              <w:top w:val="nil"/>
              <w:left w:val="nil"/>
              <w:bottom w:val="single" w:sz="4" w:space="0" w:color="auto"/>
              <w:right w:val="nil"/>
            </w:tcBorders>
            <w:vAlign w:val="bottom"/>
            <w:hideMark/>
          </w:tcPr>
          <w:p w14:paraId="6319C98B" w14:textId="77777777" w:rsidR="00C44869" w:rsidRPr="00D46B6F" w:rsidRDefault="00C44869" w:rsidP="007B3453">
            <w:pPr>
              <w:rPr>
                <w:b/>
                <w:bCs/>
                <w:sz w:val="16"/>
                <w:szCs w:val="16"/>
              </w:rPr>
            </w:pPr>
          </w:p>
        </w:tc>
        <w:tc>
          <w:tcPr>
            <w:tcW w:w="87" w:type="pct"/>
            <w:tcBorders>
              <w:top w:val="nil"/>
              <w:left w:val="nil"/>
              <w:bottom w:val="nil"/>
              <w:right w:val="nil"/>
            </w:tcBorders>
            <w:vAlign w:val="bottom"/>
            <w:hideMark/>
          </w:tcPr>
          <w:p w14:paraId="6F55B97A" w14:textId="77777777" w:rsidR="00C44869" w:rsidRPr="00D46B6F" w:rsidRDefault="00C44869" w:rsidP="007B3453">
            <w:pPr>
              <w:jc w:val="center"/>
              <w:rPr>
                <w:sz w:val="16"/>
                <w:szCs w:val="16"/>
              </w:rPr>
            </w:pPr>
          </w:p>
        </w:tc>
        <w:tc>
          <w:tcPr>
            <w:tcW w:w="343" w:type="pct"/>
            <w:vMerge/>
            <w:tcBorders>
              <w:top w:val="nil"/>
              <w:left w:val="nil"/>
              <w:bottom w:val="single" w:sz="4" w:space="0" w:color="000000"/>
              <w:right w:val="nil"/>
            </w:tcBorders>
            <w:vAlign w:val="bottom"/>
            <w:hideMark/>
          </w:tcPr>
          <w:p w14:paraId="46B9714F" w14:textId="77777777" w:rsidR="00C44869" w:rsidRPr="00D46B6F" w:rsidRDefault="00C44869" w:rsidP="007B3453">
            <w:pPr>
              <w:rPr>
                <w:b/>
                <w:bCs/>
                <w:sz w:val="16"/>
                <w:szCs w:val="16"/>
              </w:rPr>
            </w:pPr>
          </w:p>
        </w:tc>
      </w:tr>
      <w:tr w:rsidR="00C44869" w:rsidRPr="00D46B6F" w14:paraId="05CFC6F4" w14:textId="77777777" w:rsidTr="007B3453">
        <w:trPr>
          <w:trHeight w:val="240"/>
        </w:trPr>
        <w:tc>
          <w:tcPr>
            <w:tcW w:w="1000" w:type="pct"/>
            <w:gridSpan w:val="2"/>
            <w:tcBorders>
              <w:top w:val="nil"/>
              <w:left w:val="nil"/>
              <w:bottom w:val="nil"/>
              <w:right w:val="nil"/>
            </w:tcBorders>
            <w:noWrap/>
            <w:vAlign w:val="bottom"/>
            <w:hideMark/>
          </w:tcPr>
          <w:p w14:paraId="5D489CE8" w14:textId="77777777" w:rsidR="00C44869" w:rsidRPr="00D46B6F" w:rsidRDefault="00C44869" w:rsidP="007B3453">
            <w:pPr>
              <w:jc w:val="center"/>
              <w:rPr>
                <w:sz w:val="20"/>
                <w:szCs w:val="20"/>
              </w:rPr>
            </w:pPr>
          </w:p>
        </w:tc>
        <w:tc>
          <w:tcPr>
            <w:tcW w:w="130" w:type="pct"/>
            <w:tcBorders>
              <w:top w:val="nil"/>
              <w:left w:val="nil"/>
              <w:bottom w:val="nil"/>
              <w:right w:val="nil"/>
            </w:tcBorders>
            <w:noWrap/>
            <w:vAlign w:val="bottom"/>
            <w:hideMark/>
          </w:tcPr>
          <w:p w14:paraId="45B84E2B" w14:textId="77777777" w:rsidR="00C44869" w:rsidRPr="00D46B6F" w:rsidRDefault="00C44869" w:rsidP="007B3453">
            <w:pPr>
              <w:rPr>
                <w:sz w:val="20"/>
                <w:szCs w:val="20"/>
              </w:rPr>
            </w:pPr>
          </w:p>
        </w:tc>
        <w:tc>
          <w:tcPr>
            <w:tcW w:w="375" w:type="pct"/>
            <w:tcBorders>
              <w:top w:val="nil"/>
              <w:left w:val="nil"/>
              <w:bottom w:val="nil"/>
              <w:right w:val="nil"/>
            </w:tcBorders>
            <w:noWrap/>
            <w:vAlign w:val="bottom"/>
            <w:hideMark/>
          </w:tcPr>
          <w:p w14:paraId="4A9B91F3" w14:textId="77777777" w:rsidR="00C44869" w:rsidRPr="00D46B6F" w:rsidRDefault="00C44869" w:rsidP="007B3453">
            <w:pPr>
              <w:rPr>
                <w:sz w:val="16"/>
                <w:szCs w:val="16"/>
              </w:rPr>
            </w:pPr>
          </w:p>
        </w:tc>
        <w:tc>
          <w:tcPr>
            <w:tcW w:w="93" w:type="pct"/>
            <w:tcBorders>
              <w:top w:val="nil"/>
              <w:left w:val="nil"/>
              <w:bottom w:val="nil"/>
              <w:right w:val="nil"/>
            </w:tcBorders>
            <w:noWrap/>
            <w:vAlign w:val="bottom"/>
            <w:hideMark/>
          </w:tcPr>
          <w:p w14:paraId="4D3AF84F" w14:textId="77777777" w:rsidR="00C44869" w:rsidRPr="00D46B6F" w:rsidRDefault="00C44869" w:rsidP="007B3453">
            <w:pPr>
              <w:jc w:val="center"/>
              <w:rPr>
                <w:sz w:val="16"/>
                <w:szCs w:val="16"/>
              </w:rPr>
            </w:pPr>
          </w:p>
        </w:tc>
        <w:tc>
          <w:tcPr>
            <w:tcW w:w="389" w:type="pct"/>
            <w:tcBorders>
              <w:top w:val="nil"/>
              <w:left w:val="nil"/>
              <w:bottom w:val="nil"/>
              <w:right w:val="nil"/>
            </w:tcBorders>
            <w:vAlign w:val="bottom"/>
            <w:hideMark/>
          </w:tcPr>
          <w:p w14:paraId="6A54D127" w14:textId="77777777" w:rsidR="00C44869" w:rsidRPr="00D46B6F" w:rsidRDefault="00C44869" w:rsidP="007B3453">
            <w:pPr>
              <w:rPr>
                <w:sz w:val="16"/>
                <w:szCs w:val="16"/>
              </w:rPr>
            </w:pPr>
          </w:p>
        </w:tc>
        <w:tc>
          <w:tcPr>
            <w:tcW w:w="87" w:type="pct"/>
            <w:tcBorders>
              <w:top w:val="nil"/>
              <w:left w:val="nil"/>
              <w:bottom w:val="nil"/>
              <w:right w:val="nil"/>
            </w:tcBorders>
            <w:noWrap/>
            <w:vAlign w:val="bottom"/>
            <w:hideMark/>
          </w:tcPr>
          <w:p w14:paraId="52E8B8EE" w14:textId="77777777" w:rsidR="00C44869" w:rsidRPr="00D46B6F" w:rsidRDefault="00C44869" w:rsidP="007B3453">
            <w:pPr>
              <w:jc w:val="center"/>
              <w:rPr>
                <w:sz w:val="16"/>
                <w:szCs w:val="16"/>
              </w:rPr>
            </w:pPr>
          </w:p>
        </w:tc>
        <w:tc>
          <w:tcPr>
            <w:tcW w:w="354" w:type="pct"/>
            <w:tcBorders>
              <w:top w:val="nil"/>
              <w:left w:val="nil"/>
              <w:bottom w:val="nil"/>
              <w:right w:val="nil"/>
            </w:tcBorders>
            <w:vAlign w:val="bottom"/>
            <w:hideMark/>
          </w:tcPr>
          <w:p w14:paraId="450B74A7" w14:textId="77777777" w:rsidR="00C44869" w:rsidRPr="00D46B6F" w:rsidRDefault="00C44869" w:rsidP="007B3453">
            <w:pPr>
              <w:rPr>
                <w:sz w:val="16"/>
                <w:szCs w:val="16"/>
              </w:rPr>
            </w:pPr>
          </w:p>
        </w:tc>
        <w:tc>
          <w:tcPr>
            <w:tcW w:w="87" w:type="pct"/>
            <w:tcBorders>
              <w:top w:val="nil"/>
              <w:left w:val="nil"/>
              <w:bottom w:val="nil"/>
              <w:right w:val="nil"/>
            </w:tcBorders>
            <w:vAlign w:val="bottom"/>
            <w:hideMark/>
          </w:tcPr>
          <w:p w14:paraId="6386FD9D" w14:textId="77777777" w:rsidR="00C44869" w:rsidRPr="00D46B6F" w:rsidRDefault="00C44869" w:rsidP="007B3453">
            <w:pPr>
              <w:jc w:val="center"/>
              <w:rPr>
                <w:sz w:val="16"/>
                <w:szCs w:val="16"/>
              </w:rPr>
            </w:pPr>
          </w:p>
        </w:tc>
        <w:tc>
          <w:tcPr>
            <w:tcW w:w="397" w:type="pct"/>
            <w:tcBorders>
              <w:top w:val="nil"/>
              <w:left w:val="nil"/>
              <w:bottom w:val="nil"/>
              <w:right w:val="nil"/>
            </w:tcBorders>
            <w:vAlign w:val="bottom"/>
            <w:hideMark/>
          </w:tcPr>
          <w:p w14:paraId="4CBC4CCC" w14:textId="77777777" w:rsidR="00C44869" w:rsidRPr="00D46B6F" w:rsidRDefault="00C44869" w:rsidP="007B3453">
            <w:pPr>
              <w:jc w:val="center"/>
              <w:rPr>
                <w:sz w:val="16"/>
                <w:szCs w:val="16"/>
              </w:rPr>
            </w:pPr>
          </w:p>
        </w:tc>
        <w:tc>
          <w:tcPr>
            <w:tcW w:w="87" w:type="pct"/>
            <w:tcBorders>
              <w:top w:val="nil"/>
              <w:left w:val="nil"/>
              <w:bottom w:val="nil"/>
              <w:right w:val="nil"/>
            </w:tcBorders>
            <w:vAlign w:val="bottom"/>
            <w:hideMark/>
          </w:tcPr>
          <w:p w14:paraId="6EDB0300" w14:textId="77777777" w:rsidR="00C44869" w:rsidRPr="00D46B6F" w:rsidRDefault="00C44869" w:rsidP="007B3453">
            <w:pPr>
              <w:jc w:val="center"/>
              <w:rPr>
                <w:sz w:val="16"/>
                <w:szCs w:val="16"/>
              </w:rPr>
            </w:pPr>
          </w:p>
        </w:tc>
        <w:tc>
          <w:tcPr>
            <w:tcW w:w="347" w:type="pct"/>
            <w:tcBorders>
              <w:top w:val="nil"/>
              <w:left w:val="nil"/>
              <w:bottom w:val="single" w:sz="4" w:space="0" w:color="auto"/>
              <w:right w:val="nil"/>
            </w:tcBorders>
            <w:vAlign w:val="bottom"/>
            <w:hideMark/>
          </w:tcPr>
          <w:p w14:paraId="630F0F7C" w14:textId="77777777" w:rsidR="00C44869" w:rsidRPr="00D46B6F" w:rsidRDefault="00C44869" w:rsidP="007B3453">
            <w:pPr>
              <w:rPr>
                <w:b/>
                <w:bCs/>
                <w:sz w:val="16"/>
                <w:szCs w:val="16"/>
              </w:rPr>
            </w:pPr>
            <w:r w:rsidRPr="00D46B6F">
              <w:rPr>
                <w:b/>
                <w:bCs/>
                <w:sz w:val="16"/>
                <w:szCs w:val="16"/>
              </w:rPr>
              <w:t> </w:t>
            </w:r>
          </w:p>
        </w:tc>
        <w:tc>
          <w:tcPr>
            <w:tcW w:w="87" w:type="pct"/>
            <w:tcBorders>
              <w:top w:val="nil"/>
              <w:left w:val="nil"/>
              <w:bottom w:val="nil"/>
              <w:right w:val="nil"/>
            </w:tcBorders>
            <w:vAlign w:val="bottom"/>
            <w:hideMark/>
          </w:tcPr>
          <w:p w14:paraId="53D1E4E2" w14:textId="77777777" w:rsidR="00C44869" w:rsidRPr="00D46B6F" w:rsidRDefault="00C44869" w:rsidP="007B3453">
            <w:pPr>
              <w:rPr>
                <w:b/>
                <w:bCs/>
                <w:sz w:val="16"/>
                <w:szCs w:val="16"/>
              </w:rPr>
            </w:pPr>
          </w:p>
        </w:tc>
        <w:tc>
          <w:tcPr>
            <w:tcW w:w="349" w:type="pct"/>
            <w:tcBorders>
              <w:top w:val="nil"/>
              <w:left w:val="nil"/>
              <w:bottom w:val="nil"/>
              <w:right w:val="nil"/>
            </w:tcBorders>
            <w:noWrap/>
            <w:vAlign w:val="bottom"/>
            <w:hideMark/>
          </w:tcPr>
          <w:p w14:paraId="36468DF7" w14:textId="77777777" w:rsidR="00C44869" w:rsidRPr="00D46B6F" w:rsidRDefault="00C44869" w:rsidP="007B3453">
            <w:pPr>
              <w:jc w:val="center"/>
              <w:rPr>
                <w:sz w:val="16"/>
                <w:szCs w:val="16"/>
              </w:rPr>
            </w:pPr>
          </w:p>
        </w:tc>
        <w:tc>
          <w:tcPr>
            <w:tcW w:w="87" w:type="pct"/>
            <w:tcBorders>
              <w:top w:val="nil"/>
              <w:left w:val="nil"/>
              <w:bottom w:val="nil"/>
              <w:right w:val="nil"/>
            </w:tcBorders>
            <w:noWrap/>
            <w:vAlign w:val="bottom"/>
            <w:hideMark/>
          </w:tcPr>
          <w:p w14:paraId="4BC10ABB" w14:textId="77777777" w:rsidR="00C44869" w:rsidRPr="00D46B6F" w:rsidRDefault="00C44869" w:rsidP="007B3453">
            <w:pPr>
              <w:jc w:val="center"/>
              <w:rPr>
                <w:sz w:val="16"/>
                <w:szCs w:val="16"/>
              </w:rPr>
            </w:pPr>
          </w:p>
        </w:tc>
        <w:tc>
          <w:tcPr>
            <w:tcW w:w="305" w:type="pct"/>
            <w:tcBorders>
              <w:top w:val="single" w:sz="4" w:space="0" w:color="auto"/>
              <w:left w:val="nil"/>
              <w:bottom w:val="nil"/>
              <w:right w:val="nil"/>
            </w:tcBorders>
          </w:tcPr>
          <w:p w14:paraId="47C58525" w14:textId="77777777" w:rsidR="00C44869" w:rsidRPr="00D46B6F" w:rsidRDefault="00C44869" w:rsidP="007B3453">
            <w:pPr>
              <w:rPr>
                <w:sz w:val="16"/>
                <w:szCs w:val="16"/>
              </w:rPr>
            </w:pPr>
          </w:p>
        </w:tc>
        <w:tc>
          <w:tcPr>
            <w:tcW w:w="397" w:type="pct"/>
            <w:tcBorders>
              <w:top w:val="single" w:sz="4" w:space="0" w:color="auto"/>
              <w:left w:val="nil"/>
              <w:bottom w:val="nil"/>
              <w:right w:val="nil"/>
            </w:tcBorders>
            <w:vAlign w:val="bottom"/>
            <w:hideMark/>
          </w:tcPr>
          <w:p w14:paraId="7F91B4C7" w14:textId="77777777" w:rsidR="00C44869" w:rsidRPr="00D46B6F" w:rsidRDefault="00C44869" w:rsidP="007B3453">
            <w:pPr>
              <w:rPr>
                <w:sz w:val="16"/>
                <w:szCs w:val="16"/>
              </w:rPr>
            </w:pPr>
          </w:p>
        </w:tc>
        <w:tc>
          <w:tcPr>
            <w:tcW w:w="87" w:type="pct"/>
            <w:tcBorders>
              <w:top w:val="nil"/>
              <w:left w:val="nil"/>
              <w:bottom w:val="nil"/>
              <w:right w:val="nil"/>
            </w:tcBorders>
            <w:vAlign w:val="bottom"/>
            <w:hideMark/>
          </w:tcPr>
          <w:p w14:paraId="13D13C6B" w14:textId="77777777" w:rsidR="00C44869" w:rsidRPr="00D46B6F" w:rsidRDefault="00C44869" w:rsidP="007B3453">
            <w:pPr>
              <w:jc w:val="center"/>
              <w:rPr>
                <w:sz w:val="16"/>
                <w:szCs w:val="16"/>
              </w:rPr>
            </w:pPr>
          </w:p>
        </w:tc>
        <w:tc>
          <w:tcPr>
            <w:tcW w:w="343" w:type="pct"/>
            <w:tcBorders>
              <w:top w:val="nil"/>
              <w:left w:val="nil"/>
              <w:bottom w:val="nil"/>
              <w:right w:val="nil"/>
            </w:tcBorders>
            <w:vAlign w:val="bottom"/>
            <w:hideMark/>
          </w:tcPr>
          <w:p w14:paraId="5D078D97" w14:textId="77777777" w:rsidR="00C44869" w:rsidRPr="00D46B6F" w:rsidRDefault="00C44869" w:rsidP="007B3453">
            <w:pPr>
              <w:jc w:val="center"/>
              <w:rPr>
                <w:sz w:val="16"/>
                <w:szCs w:val="16"/>
              </w:rPr>
            </w:pPr>
          </w:p>
        </w:tc>
      </w:tr>
      <w:tr w:rsidR="00C44869" w:rsidRPr="00D46B6F" w14:paraId="55849384" w14:textId="77777777" w:rsidTr="007B3453">
        <w:trPr>
          <w:trHeight w:val="260"/>
        </w:trPr>
        <w:tc>
          <w:tcPr>
            <w:tcW w:w="1000" w:type="pct"/>
            <w:gridSpan w:val="2"/>
            <w:tcBorders>
              <w:top w:val="single" w:sz="4" w:space="0" w:color="auto"/>
              <w:left w:val="nil"/>
              <w:bottom w:val="single" w:sz="4" w:space="0" w:color="auto"/>
              <w:right w:val="nil"/>
            </w:tcBorders>
            <w:vAlign w:val="bottom"/>
            <w:hideMark/>
          </w:tcPr>
          <w:p w14:paraId="0F10441A" w14:textId="77777777" w:rsidR="00C44869" w:rsidRPr="00D46B6F" w:rsidRDefault="00C44869" w:rsidP="007B3453">
            <w:pPr>
              <w:rPr>
                <w:b/>
                <w:bCs/>
                <w:sz w:val="18"/>
                <w:szCs w:val="18"/>
              </w:rPr>
            </w:pPr>
            <w:r w:rsidRPr="00D46B6F">
              <w:rPr>
                <w:b/>
                <w:bCs/>
                <w:sz w:val="18"/>
                <w:szCs w:val="18"/>
              </w:rPr>
              <w:t>At 31 March 202</w:t>
            </w:r>
            <w:r>
              <w:rPr>
                <w:b/>
                <w:bCs/>
                <w:sz w:val="18"/>
                <w:szCs w:val="18"/>
              </w:rPr>
              <w:t>3</w:t>
            </w:r>
          </w:p>
        </w:tc>
        <w:tc>
          <w:tcPr>
            <w:tcW w:w="130" w:type="pct"/>
            <w:tcBorders>
              <w:top w:val="nil"/>
              <w:left w:val="nil"/>
              <w:bottom w:val="nil"/>
              <w:right w:val="nil"/>
            </w:tcBorders>
            <w:vAlign w:val="bottom"/>
            <w:hideMark/>
          </w:tcPr>
          <w:p w14:paraId="7E115B87" w14:textId="77777777" w:rsidR="00C44869" w:rsidRPr="00D46B6F" w:rsidRDefault="00C44869" w:rsidP="007B3453">
            <w:pPr>
              <w:rPr>
                <w:b/>
                <w:bCs/>
                <w:sz w:val="18"/>
                <w:szCs w:val="18"/>
              </w:rPr>
            </w:pPr>
          </w:p>
        </w:tc>
        <w:tc>
          <w:tcPr>
            <w:tcW w:w="375" w:type="pct"/>
            <w:tcBorders>
              <w:top w:val="single" w:sz="4" w:space="0" w:color="auto"/>
              <w:left w:val="nil"/>
              <w:bottom w:val="single" w:sz="4" w:space="0" w:color="auto"/>
              <w:right w:val="nil"/>
            </w:tcBorders>
            <w:vAlign w:val="bottom"/>
            <w:hideMark/>
          </w:tcPr>
          <w:p w14:paraId="7AF1522F" w14:textId="77777777" w:rsidR="00C44869" w:rsidRPr="00D46B6F" w:rsidRDefault="00C44869" w:rsidP="007B3453">
            <w:pPr>
              <w:jc w:val="right"/>
              <w:rPr>
                <w:b/>
                <w:bCs/>
                <w:sz w:val="16"/>
                <w:szCs w:val="16"/>
              </w:rPr>
            </w:pPr>
            <w:r w:rsidRPr="00D46B6F">
              <w:rPr>
                <w:b/>
                <w:bCs/>
                <w:sz w:val="16"/>
                <w:szCs w:val="16"/>
              </w:rPr>
              <w:t xml:space="preserve">               2,</w:t>
            </w:r>
            <w:r>
              <w:rPr>
                <w:b/>
                <w:bCs/>
                <w:sz w:val="16"/>
                <w:szCs w:val="16"/>
              </w:rPr>
              <w:t>611,153</w:t>
            </w:r>
            <w:r w:rsidRPr="00D46B6F">
              <w:rPr>
                <w:b/>
                <w:bCs/>
                <w:sz w:val="16"/>
                <w:szCs w:val="16"/>
              </w:rPr>
              <w:t xml:space="preserve"> </w:t>
            </w:r>
          </w:p>
        </w:tc>
        <w:tc>
          <w:tcPr>
            <w:tcW w:w="93" w:type="pct"/>
            <w:tcBorders>
              <w:top w:val="nil"/>
              <w:left w:val="nil"/>
              <w:bottom w:val="nil"/>
              <w:right w:val="nil"/>
            </w:tcBorders>
            <w:vAlign w:val="bottom"/>
            <w:hideMark/>
          </w:tcPr>
          <w:p w14:paraId="16EAD6EE" w14:textId="77777777" w:rsidR="00C44869" w:rsidRPr="00D46B6F" w:rsidRDefault="00C44869" w:rsidP="007B3453">
            <w:pPr>
              <w:rPr>
                <w:b/>
                <w:bCs/>
                <w:sz w:val="16"/>
                <w:szCs w:val="16"/>
              </w:rPr>
            </w:pPr>
          </w:p>
        </w:tc>
        <w:tc>
          <w:tcPr>
            <w:tcW w:w="389" w:type="pct"/>
            <w:tcBorders>
              <w:top w:val="single" w:sz="4" w:space="0" w:color="auto"/>
              <w:left w:val="nil"/>
              <w:bottom w:val="single" w:sz="4" w:space="0" w:color="auto"/>
              <w:right w:val="nil"/>
            </w:tcBorders>
            <w:vAlign w:val="bottom"/>
            <w:hideMark/>
          </w:tcPr>
          <w:p w14:paraId="4A4413B2" w14:textId="77777777" w:rsidR="00C44869" w:rsidRPr="00D46B6F" w:rsidRDefault="00C44869" w:rsidP="007B3453">
            <w:pPr>
              <w:jc w:val="right"/>
              <w:rPr>
                <w:b/>
                <w:bCs/>
                <w:sz w:val="16"/>
                <w:szCs w:val="16"/>
              </w:rPr>
            </w:pPr>
            <w:r w:rsidRPr="00D46B6F">
              <w:rPr>
                <w:b/>
                <w:bCs/>
                <w:sz w:val="16"/>
                <w:szCs w:val="16"/>
              </w:rPr>
              <w:t xml:space="preserve">                  10,</w:t>
            </w:r>
            <w:r>
              <w:rPr>
                <w:b/>
                <w:bCs/>
                <w:sz w:val="16"/>
                <w:szCs w:val="16"/>
              </w:rPr>
              <w:t>923,000</w:t>
            </w:r>
            <w:r w:rsidRPr="00D46B6F">
              <w:rPr>
                <w:b/>
                <w:bCs/>
                <w:sz w:val="16"/>
                <w:szCs w:val="16"/>
              </w:rPr>
              <w:t xml:space="preserve"> </w:t>
            </w:r>
          </w:p>
        </w:tc>
        <w:tc>
          <w:tcPr>
            <w:tcW w:w="87" w:type="pct"/>
            <w:tcBorders>
              <w:top w:val="nil"/>
              <w:left w:val="nil"/>
              <w:bottom w:val="nil"/>
              <w:right w:val="nil"/>
            </w:tcBorders>
            <w:noWrap/>
            <w:vAlign w:val="bottom"/>
            <w:hideMark/>
          </w:tcPr>
          <w:p w14:paraId="30B46616" w14:textId="77777777" w:rsidR="00C44869" w:rsidRPr="00D46B6F" w:rsidRDefault="00C44869" w:rsidP="007B3453">
            <w:pPr>
              <w:rPr>
                <w:b/>
                <w:bCs/>
                <w:sz w:val="16"/>
                <w:szCs w:val="16"/>
              </w:rPr>
            </w:pPr>
          </w:p>
        </w:tc>
        <w:tc>
          <w:tcPr>
            <w:tcW w:w="354" w:type="pct"/>
            <w:tcBorders>
              <w:top w:val="single" w:sz="4" w:space="0" w:color="auto"/>
              <w:left w:val="nil"/>
              <w:bottom w:val="single" w:sz="4" w:space="0" w:color="auto"/>
              <w:right w:val="nil"/>
            </w:tcBorders>
            <w:noWrap/>
            <w:vAlign w:val="bottom"/>
            <w:hideMark/>
          </w:tcPr>
          <w:p w14:paraId="13BD2C57"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4,516,608</w:t>
            </w:r>
            <w:r w:rsidRPr="00D46B6F">
              <w:rPr>
                <w:b/>
                <w:bCs/>
                <w:sz w:val="16"/>
                <w:szCs w:val="16"/>
              </w:rPr>
              <w:t xml:space="preserve"> </w:t>
            </w:r>
          </w:p>
        </w:tc>
        <w:tc>
          <w:tcPr>
            <w:tcW w:w="87" w:type="pct"/>
            <w:tcBorders>
              <w:top w:val="nil"/>
              <w:left w:val="nil"/>
              <w:bottom w:val="nil"/>
              <w:right w:val="nil"/>
            </w:tcBorders>
            <w:noWrap/>
            <w:vAlign w:val="bottom"/>
            <w:hideMark/>
          </w:tcPr>
          <w:p w14:paraId="5B5AD0FB" w14:textId="77777777" w:rsidR="00C44869" w:rsidRPr="00D46B6F" w:rsidRDefault="00C44869" w:rsidP="007B3453">
            <w:pPr>
              <w:jc w:val="right"/>
              <w:rPr>
                <w:b/>
                <w:bCs/>
                <w:sz w:val="16"/>
                <w:szCs w:val="16"/>
              </w:rPr>
            </w:pPr>
          </w:p>
        </w:tc>
        <w:tc>
          <w:tcPr>
            <w:tcW w:w="397" w:type="pct"/>
            <w:tcBorders>
              <w:top w:val="single" w:sz="4" w:space="0" w:color="auto"/>
              <w:left w:val="nil"/>
              <w:bottom w:val="single" w:sz="4" w:space="0" w:color="auto"/>
              <w:right w:val="nil"/>
            </w:tcBorders>
            <w:noWrap/>
            <w:vAlign w:val="bottom"/>
            <w:hideMark/>
          </w:tcPr>
          <w:p w14:paraId="4610230C"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419,168</w:t>
            </w:r>
            <w:r w:rsidRPr="00D46B6F">
              <w:rPr>
                <w:b/>
                <w:bCs/>
                <w:sz w:val="16"/>
                <w:szCs w:val="16"/>
              </w:rPr>
              <w:t xml:space="preserve"> </w:t>
            </w:r>
          </w:p>
        </w:tc>
        <w:tc>
          <w:tcPr>
            <w:tcW w:w="87" w:type="pct"/>
            <w:tcBorders>
              <w:top w:val="nil"/>
              <w:left w:val="nil"/>
              <w:bottom w:val="nil"/>
              <w:right w:val="nil"/>
            </w:tcBorders>
            <w:noWrap/>
            <w:vAlign w:val="bottom"/>
            <w:hideMark/>
          </w:tcPr>
          <w:p w14:paraId="741D527B" w14:textId="77777777" w:rsidR="00C44869" w:rsidRPr="00D46B6F" w:rsidRDefault="00C44869" w:rsidP="007B3453">
            <w:pPr>
              <w:jc w:val="right"/>
              <w:rPr>
                <w:b/>
                <w:bCs/>
                <w:sz w:val="16"/>
                <w:szCs w:val="16"/>
              </w:rPr>
            </w:pPr>
          </w:p>
        </w:tc>
        <w:tc>
          <w:tcPr>
            <w:tcW w:w="347" w:type="pct"/>
            <w:tcBorders>
              <w:top w:val="nil"/>
              <w:left w:val="nil"/>
              <w:bottom w:val="single" w:sz="4" w:space="0" w:color="auto"/>
              <w:right w:val="nil"/>
            </w:tcBorders>
            <w:noWrap/>
            <w:vAlign w:val="bottom"/>
            <w:hideMark/>
          </w:tcPr>
          <w:p w14:paraId="23F231B2"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1,079,256</w:t>
            </w:r>
            <w:r w:rsidRPr="00D46B6F">
              <w:rPr>
                <w:b/>
                <w:bCs/>
                <w:sz w:val="16"/>
                <w:szCs w:val="16"/>
              </w:rPr>
              <w:t xml:space="preserve"> </w:t>
            </w:r>
          </w:p>
        </w:tc>
        <w:tc>
          <w:tcPr>
            <w:tcW w:w="87" w:type="pct"/>
            <w:tcBorders>
              <w:top w:val="nil"/>
              <w:left w:val="nil"/>
              <w:bottom w:val="nil"/>
              <w:right w:val="nil"/>
            </w:tcBorders>
            <w:noWrap/>
            <w:vAlign w:val="bottom"/>
            <w:hideMark/>
          </w:tcPr>
          <w:p w14:paraId="1D693AA1" w14:textId="77777777" w:rsidR="00C44869" w:rsidRPr="00D46B6F" w:rsidRDefault="00C44869" w:rsidP="007B3453">
            <w:pPr>
              <w:jc w:val="right"/>
              <w:rPr>
                <w:b/>
                <w:bCs/>
                <w:sz w:val="16"/>
                <w:szCs w:val="16"/>
              </w:rPr>
            </w:pPr>
          </w:p>
        </w:tc>
        <w:tc>
          <w:tcPr>
            <w:tcW w:w="349" w:type="pct"/>
            <w:tcBorders>
              <w:top w:val="single" w:sz="4" w:space="0" w:color="auto"/>
              <w:left w:val="nil"/>
              <w:bottom w:val="single" w:sz="4" w:space="0" w:color="auto"/>
              <w:right w:val="nil"/>
            </w:tcBorders>
            <w:noWrap/>
            <w:vAlign w:val="bottom"/>
            <w:hideMark/>
          </w:tcPr>
          <w:p w14:paraId="68FAF878" w14:textId="77777777" w:rsidR="00C44869" w:rsidRPr="00D46B6F" w:rsidRDefault="00C44869" w:rsidP="007B3453">
            <w:pPr>
              <w:jc w:val="right"/>
              <w:rPr>
                <w:b/>
                <w:bCs/>
                <w:sz w:val="16"/>
                <w:szCs w:val="16"/>
              </w:rPr>
            </w:pPr>
            <w:r w:rsidRPr="00D46B6F">
              <w:rPr>
                <w:b/>
                <w:bCs/>
                <w:sz w:val="16"/>
                <w:szCs w:val="16"/>
              </w:rPr>
              <w:t xml:space="preserve">                           2</w:t>
            </w:r>
            <w:r>
              <w:rPr>
                <w:b/>
                <w:bCs/>
                <w:sz w:val="16"/>
                <w:szCs w:val="16"/>
              </w:rPr>
              <w:t>36</w:t>
            </w:r>
            <w:r w:rsidRPr="00D46B6F">
              <w:rPr>
                <w:b/>
                <w:bCs/>
                <w:sz w:val="16"/>
                <w:szCs w:val="16"/>
              </w:rPr>
              <w:t>,</w:t>
            </w:r>
            <w:r>
              <w:rPr>
                <w:b/>
                <w:bCs/>
                <w:sz w:val="16"/>
                <w:szCs w:val="16"/>
              </w:rPr>
              <w:t>536</w:t>
            </w:r>
            <w:r w:rsidRPr="00D46B6F">
              <w:rPr>
                <w:b/>
                <w:bCs/>
                <w:sz w:val="16"/>
                <w:szCs w:val="16"/>
              </w:rPr>
              <w:t xml:space="preserve"> </w:t>
            </w:r>
          </w:p>
        </w:tc>
        <w:tc>
          <w:tcPr>
            <w:tcW w:w="87" w:type="pct"/>
            <w:tcBorders>
              <w:top w:val="nil"/>
              <w:left w:val="nil"/>
              <w:bottom w:val="nil"/>
              <w:right w:val="nil"/>
            </w:tcBorders>
            <w:vAlign w:val="bottom"/>
            <w:hideMark/>
          </w:tcPr>
          <w:p w14:paraId="7F1B0675" w14:textId="77777777" w:rsidR="00C44869" w:rsidRPr="00D46B6F" w:rsidRDefault="00C44869" w:rsidP="007B3453">
            <w:pPr>
              <w:jc w:val="right"/>
              <w:rPr>
                <w:b/>
                <w:bCs/>
                <w:sz w:val="16"/>
                <w:szCs w:val="16"/>
              </w:rPr>
            </w:pPr>
          </w:p>
        </w:tc>
        <w:tc>
          <w:tcPr>
            <w:tcW w:w="305" w:type="pct"/>
            <w:tcBorders>
              <w:top w:val="single" w:sz="4" w:space="0" w:color="auto"/>
              <w:left w:val="nil"/>
              <w:bottom w:val="single" w:sz="4" w:space="0" w:color="auto"/>
              <w:right w:val="nil"/>
            </w:tcBorders>
            <w:vAlign w:val="bottom"/>
          </w:tcPr>
          <w:p w14:paraId="4AD3A1CD" w14:textId="77777777" w:rsidR="00C44869" w:rsidRPr="00D46B6F" w:rsidRDefault="00C44869" w:rsidP="007B3453">
            <w:pPr>
              <w:jc w:val="right"/>
              <w:rPr>
                <w:b/>
                <w:bCs/>
                <w:sz w:val="16"/>
                <w:szCs w:val="16"/>
              </w:rPr>
            </w:pPr>
            <w:r>
              <w:rPr>
                <w:b/>
                <w:bCs/>
                <w:sz w:val="16"/>
                <w:szCs w:val="16"/>
              </w:rPr>
              <w:t>-</w:t>
            </w:r>
          </w:p>
        </w:tc>
        <w:tc>
          <w:tcPr>
            <w:tcW w:w="397" w:type="pct"/>
            <w:tcBorders>
              <w:top w:val="single" w:sz="4" w:space="0" w:color="auto"/>
              <w:left w:val="nil"/>
              <w:bottom w:val="single" w:sz="4" w:space="0" w:color="auto"/>
              <w:right w:val="nil"/>
            </w:tcBorders>
            <w:vAlign w:val="bottom"/>
            <w:hideMark/>
          </w:tcPr>
          <w:p w14:paraId="33F31382" w14:textId="77777777" w:rsidR="00C44869" w:rsidRPr="00D46B6F" w:rsidRDefault="00C44869" w:rsidP="007B3453">
            <w:pPr>
              <w:rPr>
                <w:b/>
                <w:bCs/>
                <w:sz w:val="16"/>
                <w:szCs w:val="16"/>
              </w:rPr>
            </w:pPr>
            <w:r w:rsidRPr="00D46B6F">
              <w:rPr>
                <w:b/>
                <w:bCs/>
                <w:sz w:val="16"/>
                <w:szCs w:val="16"/>
              </w:rPr>
              <w:t xml:space="preserve">         (1</w:t>
            </w:r>
            <w:r>
              <w:rPr>
                <w:b/>
                <w:bCs/>
                <w:sz w:val="16"/>
                <w:szCs w:val="16"/>
              </w:rPr>
              <w:t>8</w:t>
            </w:r>
            <w:r w:rsidRPr="00D46B6F">
              <w:rPr>
                <w:b/>
                <w:bCs/>
                <w:sz w:val="16"/>
                <w:szCs w:val="16"/>
              </w:rPr>
              <w:t>,</w:t>
            </w:r>
            <w:r>
              <w:rPr>
                <w:b/>
                <w:bCs/>
                <w:sz w:val="16"/>
                <w:szCs w:val="16"/>
              </w:rPr>
              <w:t>907</w:t>
            </w:r>
            <w:r w:rsidRPr="00D46B6F">
              <w:rPr>
                <w:b/>
                <w:bCs/>
                <w:sz w:val="16"/>
                <w:szCs w:val="16"/>
              </w:rPr>
              <w:t>,</w:t>
            </w:r>
            <w:r>
              <w:rPr>
                <w:b/>
                <w:bCs/>
                <w:sz w:val="16"/>
                <w:szCs w:val="16"/>
              </w:rPr>
              <w:t>049</w:t>
            </w:r>
            <w:r w:rsidRPr="00D46B6F">
              <w:rPr>
                <w:b/>
                <w:bCs/>
                <w:sz w:val="16"/>
                <w:szCs w:val="16"/>
              </w:rPr>
              <w:t>)</w:t>
            </w:r>
          </w:p>
        </w:tc>
        <w:tc>
          <w:tcPr>
            <w:tcW w:w="87" w:type="pct"/>
            <w:tcBorders>
              <w:top w:val="nil"/>
              <w:left w:val="nil"/>
              <w:bottom w:val="nil"/>
              <w:right w:val="nil"/>
            </w:tcBorders>
            <w:vAlign w:val="bottom"/>
            <w:hideMark/>
          </w:tcPr>
          <w:p w14:paraId="0F403A7F" w14:textId="77777777" w:rsidR="00C44869" w:rsidRPr="00D46B6F" w:rsidRDefault="00C44869" w:rsidP="007B3453">
            <w:pPr>
              <w:rPr>
                <w:b/>
                <w:bCs/>
                <w:sz w:val="16"/>
                <w:szCs w:val="16"/>
              </w:rPr>
            </w:pPr>
          </w:p>
        </w:tc>
        <w:tc>
          <w:tcPr>
            <w:tcW w:w="343" w:type="pct"/>
            <w:tcBorders>
              <w:top w:val="single" w:sz="4" w:space="0" w:color="auto"/>
              <w:left w:val="nil"/>
              <w:bottom w:val="single" w:sz="4" w:space="0" w:color="auto"/>
              <w:right w:val="nil"/>
            </w:tcBorders>
            <w:noWrap/>
            <w:vAlign w:val="bottom"/>
            <w:hideMark/>
          </w:tcPr>
          <w:p w14:paraId="2E10CC91"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878,672</w:t>
            </w:r>
            <w:r w:rsidRPr="00D46B6F">
              <w:rPr>
                <w:b/>
                <w:bCs/>
                <w:sz w:val="16"/>
                <w:szCs w:val="16"/>
              </w:rPr>
              <w:t xml:space="preserve"> </w:t>
            </w:r>
          </w:p>
        </w:tc>
      </w:tr>
      <w:tr w:rsidR="00C44869" w:rsidRPr="00D46B6F" w14:paraId="6A7A40D5" w14:textId="77777777" w:rsidTr="007B3453">
        <w:trPr>
          <w:trHeight w:val="260"/>
        </w:trPr>
        <w:tc>
          <w:tcPr>
            <w:tcW w:w="1000" w:type="pct"/>
            <w:gridSpan w:val="2"/>
            <w:tcBorders>
              <w:top w:val="nil"/>
              <w:left w:val="nil"/>
              <w:bottom w:val="nil"/>
              <w:right w:val="nil"/>
            </w:tcBorders>
            <w:vAlign w:val="bottom"/>
            <w:hideMark/>
          </w:tcPr>
          <w:p w14:paraId="5A1C1BAC" w14:textId="77777777" w:rsidR="00C44869" w:rsidRPr="00D46B6F" w:rsidRDefault="00C44869" w:rsidP="007B3453">
            <w:pPr>
              <w:rPr>
                <w:b/>
                <w:bCs/>
                <w:sz w:val="18"/>
                <w:szCs w:val="18"/>
              </w:rPr>
            </w:pPr>
            <w:r w:rsidRPr="00D46B6F">
              <w:rPr>
                <w:b/>
                <w:bCs/>
                <w:sz w:val="18"/>
                <w:szCs w:val="18"/>
              </w:rPr>
              <w:t>Comprehensive income for the period</w:t>
            </w:r>
          </w:p>
        </w:tc>
        <w:tc>
          <w:tcPr>
            <w:tcW w:w="130" w:type="pct"/>
            <w:tcBorders>
              <w:top w:val="nil"/>
              <w:left w:val="nil"/>
              <w:bottom w:val="nil"/>
              <w:right w:val="nil"/>
            </w:tcBorders>
            <w:vAlign w:val="bottom"/>
            <w:hideMark/>
          </w:tcPr>
          <w:p w14:paraId="035E84D5" w14:textId="77777777" w:rsidR="00C44869" w:rsidRPr="00D46B6F" w:rsidRDefault="00C44869" w:rsidP="007B3453">
            <w:pPr>
              <w:rPr>
                <w:b/>
                <w:bCs/>
                <w:sz w:val="18"/>
                <w:szCs w:val="18"/>
              </w:rPr>
            </w:pPr>
          </w:p>
        </w:tc>
        <w:tc>
          <w:tcPr>
            <w:tcW w:w="375" w:type="pct"/>
            <w:tcBorders>
              <w:top w:val="nil"/>
              <w:left w:val="nil"/>
              <w:bottom w:val="nil"/>
              <w:right w:val="nil"/>
            </w:tcBorders>
            <w:vAlign w:val="bottom"/>
            <w:hideMark/>
          </w:tcPr>
          <w:p w14:paraId="5C1A8FB5" w14:textId="77777777" w:rsidR="00C44869" w:rsidRPr="00D46B6F" w:rsidRDefault="00C44869" w:rsidP="007B3453">
            <w:pPr>
              <w:jc w:val="right"/>
              <w:rPr>
                <w:sz w:val="16"/>
                <w:szCs w:val="16"/>
              </w:rPr>
            </w:pPr>
          </w:p>
        </w:tc>
        <w:tc>
          <w:tcPr>
            <w:tcW w:w="93" w:type="pct"/>
            <w:tcBorders>
              <w:top w:val="nil"/>
              <w:left w:val="nil"/>
              <w:bottom w:val="nil"/>
              <w:right w:val="nil"/>
            </w:tcBorders>
            <w:vAlign w:val="bottom"/>
            <w:hideMark/>
          </w:tcPr>
          <w:p w14:paraId="0207F2AB" w14:textId="77777777" w:rsidR="00C44869" w:rsidRPr="00D46B6F" w:rsidRDefault="00C44869" w:rsidP="007B3453">
            <w:pPr>
              <w:jc w:val="right"/>
              <w:rPr>
                <w:sz w:val="16"/>
                <w:szCs w:val="16"/>
              </w:rPr>
            </w:pPr>
          </w:p>
        </w:tc>
        <w:tc>
          <w:tcPr>
            <w:tcW w:w="389" w:type="pct"/>
            <w:tcBorders>
              <w:top w:val="nil"/>
              <w:left w:val="nil"/>
              <w:bottom w:val="nil"/>
              <w:right w:val="nil"/>
            </w:tcBorders>
            <w:vAlign w:val="bottom"/>
            <w:hideMark/>
          </w:tcPr>
          <w:p w14:paraId="05F52A6B"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2969095E"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3D9911FE"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34540DF9"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hideMark/>
          </w:tcPr>
          <w:p w14:paraId="17A8D4FD"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42FFA4FC"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64691E6D"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2FC1355C" w14:textId="77777777" w:rsidR="00C44869" w:rsidRPr="00D46B6F" w:rsidRDefault="00C44869" w:rsidP="007B3453">
            <w:pPr>
              <w:jc w:val="right"/>
              <w:rPr>
                <w:sz w:val="16"/>
                <w:szCs w:val="16"/>
              </w:rPr>
            </w:pPr>
          </w:p>
        </w:tc>
        <w:tc>
          <w:tcPr>
            <w:tcW w:w="349" w:type="pct"/>
            <w:tcBorders>
              <w:top w:val="nil"/>
              <w:left w:val="nil"/>
              <w:bottom w:val="nil"/>
              <w:right w:val="nil"/>
            </w:tcBorders>
            <w:vAlign w:val="bottom"/>
            <w:hideMark/>
          </w:tcPr>
          <w:p w14:paraId="2228C445" w14:textId="77777777" w:rsidR="00C44869" w:rsidRPr="00D46B6F" w:rsidRDefault="00C44869" w:rsidP="007B3453">
            <w:pPr>
              <w:jc w:val="right"/>
              <w:rPr>
                <w:sz w:val="16"/>
                <w:szCs w:val="16"/>
              </w:rPr>
            </w:pPr>
          </w:p>
        </w:tc>
        <w:tc>
          <w:tcPr>
            <w:tcW w:w="87" w:type="pct"/>
            <w:tcBorders>
              <w:top w:val="nil"/>
              <w:left w:val="nil"/>
              <w:bottom w:val="nil"/>
              <w:right w:val="nil"/>
            </w:tcBorders>
            <w:vAlign w:val="bottom"/>
            <w:hideMark/>
          </w:tcPr>
          <w:p w14:paraId="10FE473D"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05FF9D2C" w14:textId="77777777" w:rsidR="00C44869" w:rsidRPr="00D46B6F" w:rsidRDefault="00C44869" w:rsidP="007B3453">
            <w:pPr>
              <w:jc w:val="right"/>
              <w:rPr>
                <w:sz w:val="16"/>
                <w:szCs w:val="16"/>
              </w:rPr>
            </w:pPr>
          </w:p>
        </w:tc>
        <w:tc>
          <w:tcPr>
            <w:tcW w:w="397" w:type="pct"/>
            <w:tcBorders>
              <w:top w:val="nil"/>
              <w:left w:val="nil"/>
              <w:bottom w:val="nil"/>
              <w:right w:val="nil"/>
            </w:tcBorders>
            <w:vAlign w:val="bottom"/>
            <w:hideMark/>
          </w:tcPr>
          <w:p w14:paraId="3A3D4254" w14:textId="77777777" w:rsidR="00C44869" w:rsidRPr="00D46B6F" w:rsidRDefault="00C44869" w:rsidP="007B3453">
            <w:pPr>
              <w:jc w:val="right"/>
              <w:rPr>
                <w:sz w:val="16"/>
                <w:szCs w:val="16"/>
              </w:rPr>
            </w:pPr>
          </w:p>
        </w:tc>
        <w:tc>
          <w:tcPr>
            <w:tcW w:w="87" w:type="pct"/>
            <w:tcBorders>
              <w:top w:val="nil"/>
              <w:left w:val="nil"/>
              <w:bottom w:val="nil"/>
              <w:right w:val="nil"/>
            </w:tcBorders>
            <w:vAlign w:val="bottom"/>
            <w:hideMark/>
          </w:tcPr>
          <w:p w14:paraId="5B2663D6" w14:textId="77777777" w:rsidR="00C44869" w:rsidRPr="00D46B6F" w:rsidRDefault="00C44869" w:rsidP="007B3453">
            <w:pPr>
              <w:jc w:val="right"/>
              <w:rPr>
                <w:sz w:val="16"/>
                <w:szCs w:val="16"/>
              </w:rPr>
            </w:pPr>
          </w:p>
        </w:tc>
        <w:tc>
          <w:tcPr>
            <w:tcW w:w="343" w:type="pct"/>
            <w:tcBorders>
              <w:top w:val="nil"/>
              <w:left w:val="nil"/>
              <w:bottom w:val="nil"/>
              <w:right w:val="nil"/>
            </w:tcBorders>
            <w:vAlign w:val="bottom"/>
            <w:hideMark/>
          </w:tcPr>
          <w:p w14:paraId="6AD0E1FB" w14:textId="77777777" w:rsidR="00C44869" w:rsidRPr="00D46B6F" w:rsidRDefault="00C44869" w:rsidP="007B3453">
            <w:pPr>
              <w:jc w:val="right"/>
              <w:rPr>
                <w:sz w:val="16"/>
                <w:szCs w:val="16"/>
              </w:rPr>
            </w:pPr>
          </w:p>
        </w:tc>
      </w:tr>
      <w:tr w:rsidR="00C44869" w:rsidRPr="00D46B6F" w14:paraId="1B70F24A" w14:textId="77777777" w:rsidTr="007B3453">
        <w:trPr>
          <w:trHeight w:val="240"/>
        </w:trPr>
        <w:tc>
          <w:tcPr>
            <w:tcW w:w="1000" w:type="pct"/>
            <w:gridSpan w:val="2"/>
            <w:tcBorders>
              <w:top w:val="nil"/>
              <w:left w:val="nil"/>
              <w:bottom w:val="nil"/>
              <w:right w:val="nil"/>
            </w:tcBorders>
            <w:noWrap/>
            <w:vAlign w:val="bottom"/>
            <w:hideMark/>
          </w:tcPr>
          <w:p w14:paraId="6F1625BC" w14:textId="77777777" w:rsidR="00C44869" w:rsidRPr="00D46B6F" w:rsidRDefault="00C44869" w:rsidP="007B3453">
            <w:pPr>
              <w:ind w:firstLineChars="20" w:firstLine="36"/>
              <w:rPr>
                <w:sz w:val="18"/>
                <w:szCs w:val="18"/>
              </w:rPr>
            </w:pPr>
            <w:r w:rsidRPr="00D46B6F">
              <w:rPr>
                <w:sz w:val="18"/>
                <w:szCs w:val="18"/>
              </w:rPr>
              <w:t>Loss for the period</w:t>
            </w:r>
          </w:p>
        </w:tc>
        <w:tc>
          <w:tcPr>
            <w:tcW w:w="130" w:type="pct"/>
            <w:tcBorders>
              <w:top w:val="nil"/>
              <w:left w:val="nil"/>
              <w:bottom w:val="nil"/>
              <w:right w:val="nil"/>
            </w:tcBorders>
            <w:noWrap/>
            <w:vAlign w:val="bottom"/>
            <w:hideMark/>
          </w:tcPr>
          <w:p w14:paraId="3FB28EE3" w14:textId="77777777" w:rsidR="00C44869" w:rsidRPr="00D46B6F" w:rsidRDefault="00C44869" w:rsidP="007B3453">
            <w:pPr>
              <w:ind w:firstLineChars="100" w:firstLine="180"/>
              <w:rPr>
                <w:sz w:val="18"/>
                <w:szCs w:val="18"/>
              </w:rPr>
            </w:pPr>
          </w:p>
        </w:tc>
        <w:tc>
          <w:tcPr>
            <w:tcW w:w="375" w:type="pct"/>
            <w:tcBorders>
              <w:top w:val="nil"/>
              <w:left w:val="nil"/>
              <w:bottom w:val="nil"/>
              <w:right w:val="nil"/>
            </w:tcBorders>
            <w:noWrap/>
            <w:vAlign w:val="bottom"/>
            <w:hideMark/>
          </w:tcPr>
          <w:p w14:paraId="40208264" w14:textId="77777777" w:rsidR="00C44869" w:rsidRPr="00D46B6F" w:rsidRDefault="00C44869" w:rsidP="007B3453">
            <w:pPr>
              <w:jc w:val="right"/>
              <w:rPr>
                <w:sz w:val="16"/>
                <w:szCs w:val="16"/>
              </w:rPr>
            </w:pPr>
            <w:r w:rsidRPr="00D46B6F">
              <w:rPr>
                <w:sz w:val="16"/>
                <w:szCs w:val="16"/>
              </w:rPr>
              <w:t xml:space="preserve">                                 - </w:t>
            </w:r>
          </w:p>
        </w:tc>
        <w:tc>
          <w:tcPr>
            <w:tcW w:w="93" w:type="pct"/>
            <w:tcBorders>
              <w:top w:val="nil"/>
              <w:left w:val="nil"/>
              <w:bottom w:val="nil"/>
              <w:right w:val="nil"/>
            </w:tcBorders>
            <w:noWrap/>
            <w:vAlign w:val="bottom"/>
            <w:hideMark/>
          </w:tcPr>
          <w:p w14:paraId="3A370DB2"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hideMark/>
          </w:tcPr>
          <w:p w14:paraId="6D15378F"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6201573E"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687CCDBF"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16EE0BA1"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hideMark/>
          </w:tcPr>
          <w:p w14:paraId="4540E0E7"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6500C759"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69EC7B78"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30499824"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hideMark/>
          </w:tcPr>
          <w:p w14:paraId="125E65FD"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4A7B4445"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75F6EF18" w14:textId="77777777" w:rsidR="00C44869" w:rsidRPr="00D46B6F" w:rsidRDefault="00C44869" w:rsidP="007B3453">
            <w:pPr>
              <w:jc w:val="right"/>
              <w:rPr>
                <w:sz w:val="16"/>
                <w:szCs w:val="16"/>
              </w:rPr>
            </w:pPr>
            <w:r w:rsidRPr="00D46B6F">
              <w:rPr>
                <w:sz w:val="16"/>
                <w:szCs w:val="16"/>
              </w:rPr>
              <w:t xml:space="preserve">                                 - </w:t>
            </w:r>
          </w:p>
        </w:tc>
        <w:tc>
          <w:tcPr>
            <w:tcW w:w="397" w:type="pct"/>
            <w:tcBorders>
              <w:top w:val="nil"/>
              <w:left w:val="nil"/>
              <w:bottom w:val="nil"/>
              <w:right w:val="nil"/>
            </w:tcBorders>
            <w:noWrap/>
            <w:vAlign w:val="bottom"/>
            <w:hideMark/>
          </w:tcPr>
          <w:p w14:paraId="1D3F585E" w14:textId="77777777" w:rsidR="00C44869" w:rsidRPr="00D46B6F" w:rsidRDefault="00C44869" w:rsidP="007B3453">
            <w:pPr>
              <w:jc w:val="right"/>
              <w:rPr>
                <w:sz w:val="16"/>
                <w:szCs w:val="16"/>
              </w:rPr>
            </w:pPr>
            <w:r w:rsidRPr="00D46B6F">
              <w:rPr>
                <w:sz w:val="16"/>
                <w:szCs w:val="16"/>
              </w:rPr>
              <w:t xml:space="preserve">           (</w:t>
            </w:r>
            <w:r>
              <w:rPr>
                <w:sz w:val="16"/>
                <w:szCs w:val="16"/>
              </w:rPr>
              <w:t>3</w:t>
            </w:r>
            <w:r w:rsidRPr="00D46B6F">
              <w:rPr>
                <w:sz w:val="16"/>
                <w:szCs w:val="16"/>
              </w:rPr>
              <w:t>,</w:t>
            </w:r>
            <w:r>
              <w:rPr>
                <w:sz w:val="16"/>
                <w:szCs w:val="16"/>
              </w:rPr>
              <w:t>370</w:t>
            </w:r>
            <w:r w:rsidRPr="00D46B6F">
              <w:rPr>
                <w:sz w:val="16"/>
                <w:szCs w:val="16"/>
              </w:rPr>
              <w:t>,</w:t>
            </w:r>
            <w:r>
              <w:rPr>
                <w:sz w:val="16"/>
                <w:szCs w:val="16"/>
              </w:rPr>
              <w:t>293</w:t>
            </w:r>
            <w:r w:rsidRPr="00D46B6F">
              <w:rPr>
                <w:sz w:val="16"/>
                <w:szCs w:val="16"/>
              </w:rPr>
              <w:t>)</w:t>
            </w:r>
          </w:p>
        </w:tc>
        <w:tc>
          <w:tcPr>
            <w:tcW w:w="87" w:type="pct"/>
            <w:tcBorders>
              <w:top w:val="nil"/>
              <w:left w:val="nil"/>
              <w:bottom w:val="nil"/>
              <w:right w:val="nil"/>
            </w:tcBorders>
            <w:noWrap/>
            <w:vAlign w:val="bottom"/>
            <w:hideMark/>
          </w:tcPr>
          <w:p w14:paraId="222DD02A" w14:textId="77777777" w:rsidR="00C44869" w:rsidRPr="00D46B6F" w:rsidRDefault="00C44869" w:rsidP="007B3453">
            <w:pPr>
              <w:jc w:val="right"/>
              <w:rPr>
                <w:sz w:val="16"/>
                <w:szCs w:val="16"/>
              </w:rPr>
            </w:pPr>
          </w:p>
        </w:tc>
        <w:tc>
          <w:tcPr>
            <w:tcW w:w="343" w:type="pct"/>
            <w:tcBorders>
              <w:top w:val="nil"/>
              <w:left w:val="nil"/>
              <w:bottom w:val="nil"/>
              <w:right w:val="nil"/>
            </w:tcBorders>
            <w:vAlign w:val="bottom"/>
            <w:hideMark/>
          </w:tcPr>
          <w:p w14:paraId="52978FB5" w14:textId="77777777" w:rsidR="00C44869" w:rsidRPr="00D46B6F" w:rsidRDefault="00C44869" w:rsidP="007B3453">
            <w:pPr>
              <w:jc w:val="right"/>
              <w:rPr>
                <w:sz w:val="16"/>
                <w:szCs w:val="16"/>
              </w:rPr>
            </w:pPr>
            <w:r w:rsidRPr="00D46B6F">
              <w:rPr>
                <w:sz w:val="16"/>
                <w:szCs w:val="16"/>
              </w:rPr>
              <w:t xml:space="preserve">      (</w:t>
            </w:r>
            <w:r>
              <w:rPr>
                <w:sz w:val="16"/>
                <w:szCs w:val="16"/>
              </w:rPr>
              <w:t>3</w:t>
            </w:r>
            <w:r w:rsidRPr="00D46B6F">
              <w:rPr>
                <w:sz w:val="16"/>
                <w:szCs w:val="16"/>
              </w:rPr>
              <w:t>,</w:t>
            </w:r>
            <w:r>
              <w:rPr>
                <w:sz w:val="16"/>
                <w:szCs w:val="16"/>
              </w:rPr>
              <w:t>370</w:t>
            </w:r>
            <w:r w:rsidRPr="00D46B6F">
              <w:rPr>
                <w:sz w:val="16"/>
                <w:szCs w:val="16"/>
              </w:rPr>
              <w:t>,</w:t>
            </w:r>
            <w:r>
              <w:rPr>
                <w:sz w:val="16"/>
                <w:szCs w:val="16"/>
              </w:rPr>
              <w:t>293</w:t>
            </w:r>
            <w:r w:rsidRPr="00D46B6F">
              <w:rPr>
                <w:sz w:val="16"/>
                <w:szCs w:val="16"/>
              </w:rPr>
              <w:t>)</w:t>
            </w:r>
          </w:p>
        </w:tc>
      </w:tr>
      <w:tr w:rsidR="00C44869" w:rsidRPr="00D46B6F" w14:paraId="33713E0D" w14:textId="77777777" w:rsidTr="007B3453">
        <w:trPr>
          <w:trHeight w:val="240"/>
        </w:trPr>
        <w:tc>
          <w:tcPr>
            <w:tcW w:w="1000" w:type="pct"/>
            <w:gridSpan w:val="2"/>
            <w:tcBorders>
              <w:top w:val="nil"/>
              <w:left w:val="nil"/>
              <w:bottom w:val="nil"/>
              <w:right w:val="nil"/>
            </w:tcBorders>
            <w:noWrap/>
            <w:vAlign w:val="bottom"/>
            <w:hideMark/>
          </w:tcPr>
          <w:p w14:paraId="570BCB10" w14:textId="77777777" w:rsidR="00C44869" w:rsidRPr="00D46B6F" w:rsidRDefault="00C44869" w:rsidP="007B3453">
            <w:pPr>
              <w:rPr>
                <w:b/>
                <w:bCs/>
                <w:sz w:val="18"/>
                <w:szCs w:val="18"/>
              </w:rPr>
            </w:pPr>
            <w:r w:rsidRPr="00D46B6F">
              <w:rPr>
                <w:b/>
                <w:bCs/>
                <w:sz w:val="18"/>
                <w:szCs w:val="18"/>
              </w:rPr>
              <w:t>Other comprehensive income</w:t>
            </w:r>
          </w:p>
        </w:tc>
        <w:tc>
          <w:tcPr>
            <w:tcW w:w="130" w:type="pct"/>
            <w:tcBorders>
              <w:top w:val="nil"/>
              <w:left w:val="nil"/>
              <w:bottom w:val="nil"/>
              <w:right w:val="nil"/>
            </w:tcBorders>
            <w:noWrap/>
            <w:vAlign w:val="bottom"/>
            <w:hideMark/>
          </w:tcPr>
          <w:p w14:paraId="7A79F7E8" w14:textId="77777777" w:rsidR="00C44869" w:rsidRPr="00D46B6F" w:rsidRDefault="00C44869" w:rsidP="007B3453">
            <w:pPr>
              <w:rPr>
                <w:b/>
                <w:bCs/>
                <w:sz w:val="18"/>
                <w:szCs w:val="18"/>
              </w:rPr>
            </w:pPr>
          </w:p>
        </w:tc>
        <w:tc>
          <w:tcPr>
            <w:tcW w:w="375" w:type="pct"/>
            <w:tcBorders>
              <w:top w:val="nil"/>
              <w:left w:val="nil"/>
              <w:bottom w:val="nil"/>
              <w:right w:val="nil"/>
            </w:tcBorders>
            <w:noWrap/>
            <w:vAlign w:val="bottom"/>
            <w:hideMark/>
          </w:tcPr>
          <w:p w14:paraId="342869FB" w14:textId="77777777" w:rsidR="00C44869" w:rsidRPr="00D46B6F" w:rsidRDefault="00C44869" w:rsidP="007B3453">
            <w:pPr>
              <w:jc w:val="right"/>
              <w:rPr>
                <w:sz w:val="16"/>
                <w:szCs w:val="16"/>
              </w:rPr>
            </w:pPr>
          </w:p>
        </w:tc>
        <w:tc>
          <w:tcPr>
            <w:tcW w:w="93" w:type="pct"/>
            <w:tcBorders>
              <w:top w:val="nil"/>
              <w:left w:val="nil"/>
              <w:bottom w:val="nil"/>
              <w:right w:val="nil"/>
            </w:tcBorders>
            <w:noWrap/>
            <w:vAlign w:val="bottom"/>
            <w:hideMark/>
          </w:tcPr>
          <w:p w14:paraId="0D768ED7"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hideMark/>
          </w:tcPr>
          <w:p w14:paraId="18527A9E"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2F36AED4"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5FDDD407"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5C1C08A7"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hideMark/>
          </w:tcPr>
          <w:p w14:paraId="3A84CF07"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140709A6"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6D09F16E"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317FF7C8"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hideMark/>
          </w:tcPr>
          <w:p w14:paraId="15518003" w14:textId="77777777" w:rsidR="00C44869" w:rsidRPr="00D46B6F" w:rsidRDefault="00C44869" w:rsidP="007B3453">
            <w:pPr>
              <w:jc w:val="right"/>
              <w:rPr>
                <w:sz w:val="16"/>
                <w:szCs w:val="16"/>
              </w:rPr>
            </w:pPr>
          </w:p>
        </w:tc>
        <w:tc>
          <w:tcPr>
            <w:tcW w:w="87" w:type="pct"/>
            <w:tcBorders>
              <w:top w:val="nil"/>
              <w:left w:val="nil"/>
              <w:right w:val="nil"/>
            </w:tcBorders>
            <w:noWrap/>
            <w:vAlign w:val="bottom"/>
            <w:hideMark/>
          </w:tcPr>
          <w:p w14:paraId="72A8AA16"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4B91F445" w14:textId="77777777" w:rsidR="00C44869" w:rsidRPr="00D46B6F" w:rsidRDefault="00C44869" w:rsidP="007B3453">
            <w:pPr>
              <w:jc w:val="right"/>
              <w:rPr>
                <w:sz w:val="16"/>
                <w:szCs w:val="16"/>
              </w:rPr>
            </w:pPr>
          </w:p>
        </w:tc>
        <w:tc>
          <w:tcPr>
            <w:tcW w:w="397" w:type="pct"/>
            <w:tcBorders>
              <w:top w:val="nil"/>
              <w:left w:val="nil"/>
              <w:right w:val="nil"/>
            </w:tcBorders>
            <w:noWrap/>
            <w:vAlign w:val="bottom"/>
            <w:hideMark/>
          </w:tcPr>
          <w:p w14:paraId="3954D2A9"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06225DD6" w14:textId="77777777" w:rsidR="00C44869" w:rsidRPr="00D46B6F" w:rsidRDefault="00C44869" w:rsidP="007B3453">
            <w:pPr>
              <w:jc w:val="right"/>
              <w:rPr>
                <w:sz w:val="16"/>
                <w:szCs w:val="16"/>
              </w:rPr>
            </w:pPr>
          </w:p>
        </w:tc>
        <w:tc>
          <w:tcPr>
            <w:tcW w:w="343" w:type="pct"/>
            <w:tcBorders>
              <w:top w:val="nil"/>
              <w:left w:val="nil"/>
              <w:bottom w:val="nil"/>
              <w:right w:val="nil"/>
            </w:tcBorders>
            <w:vAlign w:val="bottom"/>
            <w:hideMark/>
          </w:tcPr>
          <w:p w14:paraId="6F76964F" w14:textId="77777777" w:rsidR="00C44869" w:rsidRPr="00D46B6F" w:rsidRDefault="00C44869" w:rsidP="007B3453">
            <w:pPr>
              <w:jc w:val="right"/>
              <w:rPr>
                <w:sz w:val="16"/>
                <w:szCs w:val="16"/>
              </w:rPr>
            </w:pPr>
          </w:p>
        </w:tc>
      </w:tr>
      <w:tr w:rsidR="00C44869" w:rsidRPr="00D46B6F" w14:paraId="1E1968D0" w14:textId="77777777" w:rsidTr="007B3453">
        <w:trPr>
          <w:trHeight w:val="240"/>
        </w:trPr>
        <w:tc>
          <w:tcPr>
            <w:tcW w:w="1000" w:type="pct"/>
            <w:gridSpan w:val="2"/>
            <w:tcBorders>
              <w:top w:val="nil"/>
              <w:left w:val="nil"/>
              <w:bottom w:val="nil"/>
              <w:right w:val="nil"/>
            </w:tcBorders>
            <w:noWrap/>
            <w:vAlign w:val="bottom"/>
            <w:hideMark/>
          </w:tcPr>
          <w:p w14:paraId="1A663B09" w14:textId="77777777" w:rsidR="00C44869" w:rsidRPr="00D46B6F" w:rsidRDefault="00C44869" w:rsidP="007B3453">
            <w:pPr>
              <w:ind w:firstLineChars="20" w:firstLine="36"/>
              <w:rPr>
                <w:sz w:val="18"/>
                <w:szCs w:val="18"/>
              </w:rPr>
            </w:pPr>
            <w:r w:rsidRPr="00D46B6F">
              <w:rPr>
                <w:sz w:val="18"/>
                <w:szCs w:val="18"/>
              </w:rPr>
              <w:t>Translation adjustment</w:t>
            </w:r>
          </w:p>
        </w:tc>
        <w:tc>
          <w:tcPr>
            <w:tcW w:w="130" w:type="pct"/>
            <w:tcBorders>
              <w:top w:val="nil"/>
              <w:left w:val="nil"/>
              <w:bottom w:val="nil"/>
              <w:right w:val="nil"/>
            </w:tcBorders>
            <w:noWrap/>
            <w:vAlign w:val="bottom"/>
            <w:hideMark/>
          </w:tcPr>
          <w:p w14:paraId="5EF39897" w14:textId="77777777" w:rsidR="00C44869" w:rsidRPr="00D46B6F" w:rsidRDefault="00C44869" w:rsidP="007B3453">
            <w:pPr>
              <w:ind w:firstLineChars="100" w:firstLine="180"/>
              <w:rPr>
                <w:sz w:val="18"/>
                <w:szCs w:val="18"/>
              </w:rPr>
            </w:pPr>
          </w:p>
        </w:tc>
        <w:tc>
          <w:tcPr>
            <w:tcW w:w="375" w:type="pct"/>
            <w:tcBorders>
              <w:top w:val="nil"/>
              <w:left w:val="nil"/>
              <w:bottom w:val="nil"/>
              <w:right w:val="nil"/>
            </w:tcBorders>
            <w:noWrap/>
            <w:vAlign w:val="bottom"/>
            <w:hideMark/>
          </w:tcPr>
          <w:p w14:paraId="4231CE45" w14:textId="77777777" w:rsidR="00C44869" w:rsidRPr="00D46B6F" w:rsidRDefault="00C44869" w:rsidP="007B3453">
            <w:pPr>
              <w:jc w:val="right"/>
              <w:rPr>
                <w:sz w:val="16"/>
                <w:szCs w:val="16"/>
              </w:rPr>
            </w:pPr>
            <w:r w:rsidRPr="00D46B6F">
              <w:rPr>
                <w:sz w:val="16"/>
                <w:szCs w:val="16"/>
              </w:rPr>
              <w:t xml:space="preserve">                                 - </w:t>
            </w:r>
          </w:p>
        </w:tc>
        <w:tc>
          <w:tcPr>
            <w:tcW w:w="93" w:type="pct"/>
            <w:tcBorders>
              <w:top w:val="nil"/>
              <w:left w:val="nil"/>
              <w:bottom w:val="nil"/>
              <w:right w:val="nil"/>
            </w:tcBorders>
            <w:noWrap/>
            <w:vAlign w:val="bottom"/>
            <w:hideMark/>
          </w:tcPr>
          <w:p w14:paraId="0BC2F8BF"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hideMark/>
          </w:tcPr>
          <w:p w14:paraId="51CD7C65"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532A13B2"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104267D0"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5E95495D" w14:textId="77777777" w:rsidR="00C44869" w:rsidRPr="00D46B6F" w:rsidRDefault="00C44869" w:rsidP="007B3453">
            <w:pPr>
              <w:jc w:val="right"/>
              <w:rPr>
                <w:sz w:val="16"/>
                <w:szCs w:val="16"/>
              </w:rPr>
            </w:pPr>
          </w:p>
        </w:tc>
        <w:tc>
          <w:tcPr>
            <w:tcW w:w="397" w:type="pct"/>
            <w:tcBorders>
              <w:top w:val="nil"/>
              <w:left w:val="nil"/>
              <w:bottom w:val="single" w:sz="4" w:space="0" w:color="auto"/>
              <w:right w:val="nil"/>
            </w:tcBorders>
            <w:noWrap/>
            <w:vAlign w:val="bottom"/>
            <w:hideMark/>
          </w:tcPr>
          <w:p w14:paraId="202C5479"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5FB157B5"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317EABF9"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6398348A"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hideMark/>
          </w:tcPr>
          <w:p w14:paraId="61247E1A" w14:textId="77777777" w:rsidR="00C44869" w:rsidRPr="00D46B6F" w:rsidRDefault="00C44869" w:rsidP="007B3453">
            <w:pPr>
              <w:jc w:val="right"/>
              <w:rPr>
                <w:sz w:val="16"/>
                <w:szCs w:val="16"/>
              </w:rPr>
            </w:pPr>
            <w:r w:rsidRPr="00D46B6F">
              <w:rPr>
                <w:sz w:val="16"/>
                <w:szCs w:val="16"/>
              </w:rPr>
              <w:t xml:space="preserve">                            </w:t>
            </w:r>
            <w:r>
              <w:rPr>
                <w:sz w:val="16"/>
                <w:szCs w:val="16"/>
              </w:rPr>
              <w:t>(32,832)</w:t>
            </w:r>
            <w:r w:rsidRPr="00D46B6F">
              <w:rPr>
                <w:sz w:val="16"/>
                <w:szCs w:val="16"/>
              </w:rPr>
              <w:t xml:space="preserve"> </w:t>
            </w:r>
          </w:p>
        </w:tc>
        <w:tc>
          <w:tcPr>
            <w:tcW w:w="87" w:type="pct"/>
            <w:tcBorders>
              <w:top w:val="nil"/>
              <w:left w:val="nil"/>
              <w:bottom w:val="single" w:sz="4" w:space="0" w:color="auto"/>
              <w:right w:val="nil"/>
            </w:tcBorders>
            <w:noWrap/>
            <w:vAlign w:val="bottom"/>
            <w:hideMark/>
          </w:tcPr>
          <w:p w14:paraId="5006A1D5"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297B41EB" w14:textId="77777777" w:rsidR="00C44869" w:rsidRPr="00D46B6F" w:rsidRDefault="00C44869" w:rsidP="007B3453">
            <w:pPr>
              <w:jc w:val="right"/>
              <w:rPr>
                <w:sz w:val="16"/>
                <w:szCs w:val="16"/>
              </w:rPr>
            </w:pPr>
            <w:r w:rsidRPr="00D46B6F">
              <w:rPr>
                <w:sz w:val="16"/>
                <w:szCs w:val="16"/>
              </w:rPr>
              <w:t xml:space="preserve">                                 - </w:t>
            </w:r>
          </w:p>
        </w:tc>
        <w:tc>
          <w:tcPr>
            <w:tcW w:w="397" w:type="pct"/>
            <w:tcBorders>
              <w:top w:val="nil"/>
              <w:left w:val="nil"/>
              <w:bottom w:val="single" w:sz="4" w:space="0" w:color="auto"/>
              <w:right w:val="nil"/>
            </w:tcBorders>
            <w:noWrap/>
            <w:vAlign w:val="bottom"/>
            <w:hideMark/>
          </w:tcPr>
          <w:p w14:paraId="789CB088"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2E2D3B48" w14:textId="77777777" w:rsidR="00C44869" w:rsidRPr="00D46B6F" w:rsidRDefault="00C44869" w:rsidP="007B3453">
            <w:pPr>
              <w:jc w:val="right"/>
              <w:rPr>
                <w:sz w:val="16"/>
                <w:szCs w:val="16"/>
              </w:rPr>
            </w:pPr>
          </w:p>
        </w:tc>
        <w:tc>
          <w:tcPr>
            <w:tcW w:w="343" w:type="pct"/>
            <w:tcBorders>
              <w:top w:val="nil"/>
              <w:left w:val="nil"/>
              <w:bottom w:val="single" w:sz="4" w:space="0" w:color="auto"/>
              <w:right w:val="nil"/>
            </w:tcBorders>
            <w:noWrap/>
            <w:vAlign w:val="bottom"/>
            <w:hideMark/>
          </w:tcPr>
          <w:p w14:paraId="184805F6" w14:textId="77777777" w:rsidR="00C44869" w:rsidRPr="00D46B6F" w:rsidRDefault="00C44869" w:rsidP="007B3453">
            <w:pPr>
              <w:jc w:val="right"/>
              <w:rPr>
                <w:sz w:val="16"/>
                <w:szCs w:val="16"/>
              </w:rPr>
            </w:pPr>
            <w:r>
              <w:rPr>
                <w:sz w:val="16"/>
                <w:szCs w:val="16"/>
              </w:rPr>
              <w:t>(32,832)</w:t>
            </w:r>
          </w:p>
        </w:tc>
      </w:tr>
      <w:tr w:rsidR="00C44869" w:rsidRPr="00D46B6F" w14:paraId="56D65646" w14:textId="77777777" w:rsidTr="007B3453">
        <w:trPr>
          <w:trHeight w:val="520"/>
        </w:trPr>
        <w:tc>
          <w:tcPr>
            <w:tcW w:w="1000" w:type="pct"/>
            <w:gridSpan w:val="2"/>
            <w:tcBorders>
              <w:top w:val="nil"/>
              <w:left w:val="nil"/>
              <w:bottom w:val="nil"/>
              <w:right w:val="nil"/>
            </w:tcBorders>
            <w:vAlign w:val="bottom"/>
            <w:hideMark/>
          </w:tcPr>
          <w:p w14:paraId="4FD6C11D" w14:textId="77777777" w:rsidR="00C44869" w:rsidRPr="00D46B6F" w:rsidRDefault="00C44869" w:rsidP="007B3453">
            <w:pPr>
              <w:rPr>
                <w:sz w:val="18"/>
                <w:szCs w:val="18"/>
              </w:rPr>
            </w:pPr>
            <w:r w:rsidRPr="00D46B6F">
              <w:rPr>
                <w:sz w:val="18"/>
                <w:szCs w:val="18"/>
              </w:rPr>
              <w:t>Total comprehensive loss for the period attributable to the equity holders</w:t>
            </w:r>
          </w:p>
        </w:tc>
        <w:tc>
          <w:tcPr>
            <w:tcW w:w="130" w:type="pct"/>
            <w:tcBorders>
              <w:top w:val="nil"/>
              <w:left w:val="nil"/>
              <w:bottom w:val="nil"/>
              <w:right w:val="nil"/>
            </w:tcBorders>
            <w:shd w:val="clear" w:color="000000" w:fill="FFFFFF"/>
            <w:noWrap/>
            <w:vAlign w:val="bottom"/>
            <w:hideMark/>
          </w:tcPr>
          <w:p w14:paraId="7CBB4F4C" w14:textId="77777777" w:rsidR="00C44869" w:rsidRPr="00D46B6F" w:rsidRDefault="00C44869" w:rsidP="007B3453">
            <w:pPr>
              <w:ind w:firstLineChars="100" w:firstLine="180"/>
              <w:rPr>
                <w:sz w:val="18"/>
                <w:szCs w:val="18"/>
              </w:rPr>
            </w:pPr>
            <w:r w:rsidRPr="00D46B6F">
              <w:rPr>
                <w:sz w:val="18"/>
                <w:szCs w:val="18"/>
              </w:rPr>
              <w:t> </w:t>
            </w:r>
          </w:p>
        </w:tc>
        <w:tc>
          <w:tcPr>
            <w:tcW w:w="375" w:type="pct"/>
            <w:tcBorders>
              <w:top w:val="single" w:sz="4" w:space="0" w:color="auto"/>
              <w:left w:val="nil"/>
              <w:bottom w:val="nil"/>
              <w:right w:val="nil"/>
            </w:tcBorders>
            <w:noWrap/>
            <w:vAlign w:val="bottom"/>
            <w:hideMark/>
          </w:tcPr>
          <w:p w14:paraId="38DE07AD" w14:textId="77777777" w:rsidR="00C44869" w:rsidRPr="00D46B6F" w:rsidRDefault="00C44869" w:rsidP="007B3453">
            <w:pPr>
              <w:jc w:val="right"/>
              <w:rPr>
                <w:sz w:val="16"/>
                <w:szCs w:val="16"/>
              </w:rPr>
            </w:pPr>
            <w:r w:rsidRPr="00D46B6F">
              <w:rPr>
                <w:sz w:val="16"/>
                <w:szCs w:val="16"/>
              </w:rPr>
              <w:t xml:space="preserve">                                 - </w:t>
            </w:r>
          </w:p>
        </w:tc>
        <w:tc>
          <w:tcPr>
            <w:tcW w:w="93" w:type="pct"/>
            <w:tcBorders>
              <w:top w:val="nil"/>
              <w:left w:val="nil"/>
              <w:bottom w:val="nil"/>
              <w:right w:val="nil"/>
            </w:tcBorders>
            <w:noWrap/>
            <w:vAlign w:val="bottom"/>
            <w:hideMark/>
          </w:tcPr>
          <w:p w14:paraId="38D9556F" w14:textId="77777777" w:rsidR="00C44869" w:rsidRPr="00D46B6F" w:rsidRDefault="00C44869" w:rsidP="007B3453">
            <w:pPr>
              <w:jc w:val="right"/>
              <w:rPr>
                <w:sz w:val="16"/>
                <w:szCs w:val="16"/>
              </w:rPr>
            </w:pPr>
          </w:p>
        </w:tc>
        <w:tc>
          <w:tcPr>
            <w:tcW w:w="389" w:type="pct"/>
            <w:tcBorders>
              <w:top w:val="single" w:sz="4" w:space="0" w:color="auto"/>
              <w:left w:val="nil"/>
              <w:bottom w:val="nil"/>
              <w:right w:val="nil"/>
            </w:tcBorders>
            <w:noWrap/>
            <w:vAlign w:val="bottom"/>
            <w:hideMark/>
          </w:tcPr>
          <w:p w14:paraId="04AF5826"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55D54E98" w14:textId="77777777" w:rsidR="00C44869" w:rsidRPr="00D46B6F" w:rsidRDefault="00C44869" w:rsidP="007B3453">
            <w:pPr>
              <w:jc w:val="right"/>
              <w:rPr>
                <w:sz w:val="16"/>
                <w:szCs w:val="16"/>
              </w:rPr>
            </w:pPr>
          </w:p>
        </w:tc>
        <w:tc>
          <w:tcPr>
            <w:tcW w:w="354" w:type="pct"/>
            <w:tcBorders>
              <w:top w:val="single" w:sz="4" w:space="0" w:color="auto"/>
              <w:left w:val="nil"/>
              <w:bottom w:val="nil"/>
              <w:right w:val="nil"/>
            </w:tcBorders>
            <w:noWrap/>
            <w:vAlign w:val="bottom"/>
            <w:hideMark/>
          </w:tcPr>
          <w:p w14:paraId="7334FE2C"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5307DFD6"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hideMark/>
          </w:tcPr>
          <w:p w14:paraId="7022E656"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05EB6A08" w14:textId="77777777" w:rsidR="00C44869" w:rsidRPr="00D46B6F" w:rsidRDefault="00C44869" w:rsidP="007B3453">
            <w:pPr>
              <w:jc w:val="right"/>
              <w:rPr>
                <w:sz w:val="16"/>
                <w:szCs w:val="16"/>
              </w:rPr>
            </w:pPr>
          </w:p>
        </w:tc>
        <w:tc>
          <w:tcPr>
            <w:tcW w:w="347" w:type="pct"/>
            <w:tcBorders>
              <w:top w:val="single" w:sz="4" w:space="0" w:color="auto"/>
              <w:left w:val="nil"/>
              <w:bottom w:val="nil"/>
              <w:right w:val="nil"/>
            </w:tcBorders>
            <w:noWrap/>
            <w:vAlign w:val="bottom"/>
            <w:hideMark/>
          </w:tcPr>
          <w:p w14:paraId="334F60E4"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0744D636" w14:textId="77777777" w:rsidR="00C44869" w:rsidRPr="00D46B6F" w:rsidRDefault="00C44869" w:rsidP="007B3453">
            <w:pPr>
              <w:jc w:val="right"/>
              <w:rPr>
                <w:sz w:val="16"/>
                <w:szCs w:val="16"/>
              </w:rPr>
            </w:pPr>
          </w:p>
        </w:tc>
        <w:tc>
          <w:tcPr>
            <w:tcW w:w="349" w:type="pct"/>
            <w:tcBorders>
              <w:top w:val="single" w:sz="4" w:space="0" w:color="auto"/>
              <w:left w:val="nil"/>
              <w:bottom w:val="nil"/>
              <w:right w:val="nil"/>
            </w:tcBorders>
            <w:noWrap/>
            <w:vAlign w:val="bottom"/>
            <w:hideMark/>
          </w:tcPr>
          <w:p w14:paraId="76DA7EC0" w14:textId="77777777" w:rsidR="00C44869" w:rsidRPr="00D46B6F" w:rsidRDefault="00C44869" w:rsidP="007B3453">
            <w:pPr>
              <w:jc w:val="right"/>
              <w:rPr>
                <w:sz w:val="16"/>
                <w:szCs w:val="16"/>
              </w:rPr>
            </w:pPr>
            <w:r w:rsidRPr="00D46B6F">
              <w:rPr>
                <w:sz w:val="16"/>
                <w:szCs w:val="16"/>
              </w:rPr>
              <w:t xml:space="preserve">                            </w:t>
            </w:r>
            <w:r>
              <w:rPr>
                <w:sz w:val="16"/>
                <w:szCs w:val="16"/>
              </w:rPr>
              <w:t>(32,832)</w:t>
            </w:r>
            <w:r w:rsidRPr="00D46B6F">
              <w:rPr>
                <w:sz w:val="16"/>
                <w:szCs w:val="16"/>
              </w:rPr>
              <w:t xml:space="preserve"> </w:t>
            </w:r>
          </w:p>
        </w:tc>
        <w:tc>
          <w:tcPr>
            <w:tcW w:w="87" w:type="pct"/>
            <w:tcBorders>
              <w:top w:val="single" w:sz="4" w:space="0" w:color="auto"/>
              <w:left w:val="nil"/>
              <w:bottom w:val="nil"/>
              <w:right w:val="nil"/>
            </w:tcBorders>
            <w:noWrap/>
            <w:vAlign w:val="bottom"/>
            <w:hideMark/>
          </w:tcPr>
          <w:p w14:paraId="373D813D" w14:textId="77777777" w:rsidR="00C44869" w:rsidRPr="00D46B6F" w:rsidRDefault="00C44869" w:rsidP="007B3453">
            <w:pPr>
              <w:jc w:val="right"/>
              <w:rPr>
                <w:sz w:val="16"/>
                <w:szCs w:val="16"/>
              </w:rPr>
            </w:pPr>
          </w:p>
        </w:tc>
        <w:tc>
          <w:tcPr>
            <w:tcW w:w="305" w:type="pct"/>
            <w:tcBorders>
              <w:top w:val="single" w:sz="4" w:space="0" w:color="auto"/>
              <w:left w:val="nil"/>
              <w:bottom w:val="nil"/>
              <w:right w:val="nil"/>
            </w:tcBorders>
            <w:vAlign w:val="bottom"/>
          </w:tcPr>
          <w:p w14:paraId="4D93D3CE" w14:textId="77777777" w:rsidR="00C44869" w:rsidRPr="00D46B6F" w:rsidRDefault="00C44869" w:rsidP="007B3453">
            <w:pPr>
              <w:jc w:val="right"/>
              <w:rPr>
                <w:sz w:val="16"/>
                <w:szCs w:val="16"/>
              </w:rPr>
            </w:pPr>
            <w:r w:rsidRPr="00D46B6F">
              <w:rPr>
                <w:sz w:val="16"/>
                <w:szCs w:val="16"/>
              </w:rPr>
              <w:t xml:space="preserve">                                 - </w:t>
            </w:r>
          </w:p>
        </w:tc>
        <w:tc>
          <w:tcPr>
            <w:tcW w:w="397" w:type="pct"/>
            <w:tcBorders>
              <w:top w:val="single" w:sz="4" w:space="0" w:color="auto"/>
              <w:left w:val="nil"/>
              <w:bottom w:val="nil"/>
              <w:right w:val="nil"/>
            </w:tcBorders>
            <w:noWrap/>
            <w:vAlign w:val="bottom"/>
            <w:hideMark/>
          </w:tcPr>
          <w:p w14:paraId="3B316D16" w14:textId="77777777" w:rsidR="00C44869" w:rsidRPr="00D46B6F" w:rsidRDefault="00C44869" w:rsidP="007B3453">
            <w:pPr>
              <w:jc w:val="right"/>
              <w:rPr>
                <w:sz w:val="16"/>
                <w:szCs w:val="16"/>
              </w:rPr>
            </w:pPr>
            <w:r w:rsidRPr="00D46B6F">
              <w:rPr>
                <w:sz w:val="16"/>
                <w:szCs w:val="16"/>
              </w:rPr>
              <w:t xml:space="preserve">           (</w:t>
            </w:r>
            <w:r>
              <w:rPr>
                <w:sz w:val="16"/>
                <w:szCs w:val="16"/>
              </w:rPr>
              <w:t>3</w:t>
            </w:r>
            <w:r w:rsidRPr="00D46B6F">
              <w:rPr>
                <w:sz w:val="16"/>
                <w:szCs w:val="16"/>
              </w:rPr>
              <w:t>,</w:t>
            </w:r>
            <w:r>
              <w:rPr>
                <w:sz w:val="16"/>
                <w:szCs w:val="16"/>
              </w:rPr>
              <w:t>370</w:t>
            </w:r>
            <w:r w:rsidRPr="00D46B6F">
              <w:rPr>
                <w:sz w:val="16"/>
                <w:szCs w:val="16"/>
              </w:rPr>
              <w:t>,</w:t>
            </w:r>
            <w:r>
              <w:rPr>
                <w:sz w:val="16"/>
                <w:szCs w:val="16"/>
              </w:rPr>
              <w:t>293</w:t>
            </w:r>
            <w:r w:rsidRPr="00D46B6F">
              <w:rPr>
                <w:sz w:val="16"/>
                <w:szCs w:val="16"/>
              </w:rPr>
              <w:t>)</w:t>
            </w:r>
          </w:p>
        </w:tc>
        <w:tc>
          <w:tcPr>
            <w:tcW w:w="87" w:type="pct"/>
            <w:tcBorders>
              <w:top w:val="nil"/>
              <w:left w:val="nil"/>
              <w:bottom w:val="nil"/>
              <w:right w:val="nil"/>
            </w:tcBorders>
            <w:noWrap/>
            <w:vAlign w:val="bottom"/>
            <w:hideMark/>
          </w:tcPr>
          <w:p w14:paraId="7232CA5E" w14:textId="77777777" w:rsidR="00C44869" w:rsidRPr="00D46B6F" w:rsidRDefault="00C44869" w:rsidP="007B3453">
            <w:pPr>
              <w:jc w:val="right"/>
              <w:rPr>
                <w:sz w:val="16"/>
                <w:szCs w:val="16"/>
              </w:rPr>
            </w:pPr>
          </w:p>
        </w:tc>
        <w:tc>
          <w:tcPr>
            <w:tcW w:w="343" w:type="pct"/>
            <w:tcBorders>
              <w:top w:val="nil"/>
              <w:left w:val="nil"/>
              <w:bottom w:val="nil"/>
              <w:right w:val="nil"/>
            </w:tcBorders>
            <w:noWrap/>
            <w:vAlign w:val="bottom"/>
            <w:hideMark/>
          </w:tcPr>
          <w:p w14:paraId="218A6F23" w14:textId="77777777" w:rsidR="00C44869" w:rsidRPr="00D46B6F" w:rsidRDefault="00C44869" w:rsidP="007B3453">
            <w:pPr>
              <w:jc w:val="right"/>
              <w:rPr>
                <w:sz w:val="16"/>
                <w:szCs w:val="16"/>
              </w:rPr>
            </w:pPr>
            <w:r w:rsidRPr="00D46B6F">
              <w:rPr>
                <w:sz w:val="16"/>
                <w:szCs w:val="16"/>
              </w:rPr>
              <w:t xml:space="preserve">      (</w:t>
            </w:r>
            <w:r>
              <w:rPr>
                <w:sz w:val="16"/>
                <w:szCs w:val="16"/>
              </w:rPr>
              <w:t>3</w:t>
            </w:r>
            <w:r w:rsidRPr="00D46B6F">
              <w:rPr>
                <w:sz w:val="16"/>
                <w:szCs w:val="16"/>
              </w:rPr>
              <w:t>,</w:t>
            </w:r>
            <w:r>
              <w:rPr>
                <w:sz w:val="16"/>
                <w:szCs w:val="16"/>
              </w:rPr>
              <w:t>403</w:t>
            </w:r>
            <w:r w:rsidRPr="00D46B6F">
              <w:rPr>
                <w:sz w:val="16"/>
                <w:szCs w:val="16"/>
              </w:rPr>
              <w:t>,</w:t>
            </w:r>
            <w:r>
              <w:rPr>
                <w:sz w:val="16"/>
                <w:szCs w:val="16"/>
              </w:rPr>
              <w:t>125</w:t>
            </w:r>
            <w:r w:rsidRPr="00D46B6F">
              <w:rPr>
                <w:sz w:val="16"/>
                <w:szCs w:val="16"/>
              </w:rPr>
              <w:t>)</w:t>
            </w:r>
          </w:p>
        </w:tc>
      </w:tr>
      <w:tr w:rsidR="00C44869" w:rsidRPr="00D46B6F" w14:paraId="704E065F" w14:textId="77777777" w:rsidTr="007B3453">
        <w:trPr>
          <w:trHeight w:val="240"/>
        </w:trPr>
        <w:tc>
          <w:tcPr>
            <w:tcW w:w="1000" w:type="pct"/>
            <w:gridSpan w:val="2"/>
            <w:tcBorders>
              <w:top w:val="nil"/>
              <w:left w:val="nil"/>
              <w:bottom w:val="nil"/>
              <w:right w:val="nil"/>
            </w:tcBorders>
            <w:noWrap/>
            <w:vAlign w:val="bottom"/>
            <w:hideMark/>
          </w:tcPr>
          <w:p w14:paraId="77B89CFC" w14:textId="77777777" w:rsidR="00C44869" w:rsidRPr="00D46B6F" w:rsidRDefault="00C44869" w:rsidP="007B3453">
            <w:pPr>
              <w:ind w:firstLineChars="20" w:firstLine="36"/>
              <w:rPr>
                <w:sz w:val="18"/>
                <w:szCs w:val="18"/>
              </w:rPr>
            </w:pPr>
            <w:r w:rsidRPr="00D46B6F">
              <w:rPr>
                <w:sz w:val="18"/>
                <w:szCs w:val="18"/>
              </w:rPr>
              <w:t>Shares issued in the period</w:t>
            </w:r>
          </w:p>
        </w:tc>
        <w:tc>
          <w:tcPr>
            <w:tcW w:w="130" w:type="pct"/>
            <w:tcBorders>
              <w:top w:val="nil"/>
              <w:left w:val="nil"/>
              <w:bottom w:val="nil"/>
              <w:right w:val="nil"/>
            </w:tcBorders>
            <w:shd w:val="clear" w:color="000000" w:fill="FFFFFF"/>
            <w:noWrap/>
            <w:vAlign w:val="bottom"/>
            <w:hideMark/>
          </w:tcPr>
          <w:p w14:paraId="006B5C6C" w14:textId="77777777" w:rsidR="00C44869" w:rsidRPr="00D46B6F" w:rsidRDefault="00C44869" w:rsidP="007B3453">
            <w:pPr>
              <w:jc w:val="center"/>
              <w:rPr>
                <w:b/>
                <w:bCs/>
                <w:sz w:val="18"/>
                <w:szCs w:val="18"/>
              </w:rPr>
            </w:pPr>
            <w:r w:rsidRPr="00D46B6F">
              <w:rPr>
                <w:b/>
                <w:bCs/>
                <w:sz w:val="18"/>
                <w:szCs w:val="18"/>
              </w:rPr>
              <w:t> </w:t>
            </w:r>
          </w:p>
        </w:tc>
        <w:tc>
          <w:tcPr>
            <w:tcW w:w="375" w:type="pct"/>
            <w:tcBorders>
              <w:top w:val="nil"/>
              <w:left w:val="nil"/>
              <w:bottom w:val="nil"/>
              <w:right w:val="nil"/>
            </w:tcBorders>
            <w:noWrap/>
            <w:vAlign w:val="bottom"/>
            <w:hideMark/>
          </w:tcPr>
          <w:p w14:paraId="31C54BDD" w14:textId="77777777" w:rsidR="00C44869" w:rsidRPr="00D46B6F" w:rsidRDefault="00C44869" w:rsidP="007B3453">
            <w:pPr>
              <w:jc w:val="right"/>
              <w:rPr>
                <w:sz w:val="16"/>
                <w:szCs w:val="16"/>
              </w:rPr>
            </w:pPr>
            <w:r w:rsidRPr="00D46B6F">
              <w:rPr>
                <w:sz w:val="16"/>
                <w:szCs w:val="16"/>
              </w:rPr>
              <w:t xml:space="preserve">                  </w:t>
            </w:r>
            <w:r>
              <w:rPr>
                <w:sz w:val="16"/>
                <w:szCs w:val="16"/>
              </w:rPr>
              <w:t>2,342,016</w:t>
            </w:r>
            <w:r w:rsidRPr="00D46B6F">
              <w:rPr>
                <w:sz w:val="16"/>
                <w:szCs w:val="16"/>
              </w:rPr>
              <w:t xml:space="preserve"> </w:t>
            </w:r>
          </w:p>
        </w:tc>
        <w:tc>
          <w:tcPr>
            <w:tcW w:w="93" w:type="pct"/>
            <w:tcBorders>
              <w:top w:val="nil"/>
              <w:left w:val="nil"/>
              <w:bottom w:val="nil"/>
              <w:right w:val="nil"/>
            </w:tcBorders>
            <w:noWrap/>
            <w:vAlign w:val="bottom"/>
            <w:hideMark/>
          </w:tcPr>
          <w:p w14:paraId="78FC32B4"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hideMark/>
          </w:tcPr>
          <w:p w14:paraId="7E320B6D" w14:textId="77777777" w:rsidR="00C44869" w:rsidRPr="00D46B6F" w:rsidRDefault="00C44869" w:rsidP="007B3453">
            <w:pPr>
              <w:jc w:val="right"/>
              <w:rPr>
                <w:sz w:val="16"/>
                <w:szCs w:val="16"/>
              </w:rPr>
            </w:pPr>
            <w:r w:rsidRPr="00D46B6F">
              <w:rPr>
                <w:sz w:val="16"/>
                <w:szCs w:val="16"/>
              </w:rPr>
              <w:t xml:space="preserve">                        </w:t>
            </w:r>
            <w:r>
              <w:rPr>
                <w:sz w:val="16"/>
                <w:szCs w:val="16"/>
              </w:rPr>
              <w:t>3,992,025</w:t>
            </w:r>
            <w:r w:rsidRPr="00D46B6F">
              <w:rPr>
                <w:sz w:val="16"/>
                <w:szCs w:val="16"/>
              </w:rPr>
              <w:t xml:space="preserve"> </w:t>
            </w:r>
          </w:p>
        </w:tc>
        <w:tc>
          <w:tcPr>
            <w:tcW w:w="87" w:type="pct"/>
            <w:tcBorders>
              <w:top w:val="nil"/>
              <w:left w:val="nil"/>
              <w:bottom w:val="nil"/>
              <w:right w:val="nil"/>
            </w:tcBorders>
            <w:noWrap/>
            <w:vAlign w:val="bottom"/>
            <w:hideMark/>
          </w:tcPr>
          <w:p w14:paraId="60ED498F"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0A2BE19F"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507B4F1A"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hideMark/>
          </w:tcPr>
          <w:p w14:paraId="25967715" w14:textId="77777777" w:rsidR="00C44869" w:rsidRPr="00D46B6F" w:rsidRDefault="00C44869" w:rsidP="007B3453">
            <w:pPr>
              <w:jc w:val="right"/>
              <w:rPr>
                <w:sz w:val="16"/>
                <w:szCs w:val="16"/>
              </w:rPr>
            </w:pPr>
            <w:r w:rsidRPr="00D46B6F">
              <w:rPr>
                <w:sz w:val="16"/>
                <w:szCs w:val="16"/>
              </w:rPr>
              <w:t xml:space="preserve">                            </w:t>
            </w:r>
            <w:r>
              <w:rPr>
                <w:sz w:val="16"/>
                <w:szCs w:val="16"/>
              </w:rPr>
              <w:t>-</w:t>
            </w:r>
            <w:r w:rsidRPr="00D46B6F">
              <w:rPr>
                <w:sz w:val="16"/>
                <w:szCs w:val="16"/>
              </w:rPr>
              <w:t xml:space="preserve"> </w:t>
            </w:r>
          </w:p>
        </w:tc>
        <w:tc>
          <w:tcPr>
            <w:tcW w:w="87" w:type="pct"/>
            <w:tcBorders>
              <w:top w:val="nil"/>
              <w:left w:val="nil"/>
              <w:bottom w:val="nil"/>
              <w:right w:val="nil"/>
            </w:tcBorders>
            <w:noWrap/>
            <w:vAlign w:val="bottom"/>
            <w:hideMark/>
          </w:tcPr>
          <w:p w14:paraId="186323EB"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2E65A632" w14:textId="77777777" w:rsidR="00C44869" w:rsidRPr="00D46B6F" w:rsidRDefault="00C44869" w:rsidP="007B3453">
            <w:pPr>
              <w:jc w:val="right"/>
              <w:rPr>
                <w:sz w:val="16"/>
                <w:szCs w:val="16"/>
              </w:rPr>
            </w:pPr>
            <w:r w:rsidRPr="00D46B6F">
              <w:rPr>
                <w:sz w:val="16"/>
                <w:szCs w:val="16"/>
              </w:rPr>
              <w:t xml:space="preserve">                    (</w:t>
            </w:r>
            <w:r>
              <w:rPr>
                <w:sz w:val="16"/>
                <w:szCs w:val="16"/>
              </w:rPr>
              <w:t>1,060,000</w:t>
            </w:r>
            <w:r w:rsidRPr="00D46B6F">
              <w:rPr>
                <w:sz w:val="16"/>
                <w:szCs w:val="16"/>
              </w:rPr>
              <w:t>)</w:t>
            </w:r>
          </w:p>
        </w:tc>
        <w:tc>
          <w:tcPr>
            <w:tcW w:w="87" w:type="pct"/>
            <w:tcBorders>
              <w:top w:val="nil"/>
              <w:left w:val="nil"/>
              <w:bottom w:val="nil"/>
              <w:right w:val="nil"/>
            </w:tcBorders>
            <w:noWrap/>
            <w:vAlign w:val="bottom"/>
            <w:hideMark/>
          </w:tcPr>
          <w:p w14:paraId="0CA58C02"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hideMark/>
          </w:tcPr>
          <w:p w14:paraId="45F8D2E9"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75C01899"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657C8B42" w14:textId="77777777" w:rsidR="00C44869" w:rsidRPr="00D46B6F" w:rsidRDefault="00C44869" w:rsidP="007B3453">
            <w:pPr>
              <w:jc w:val="right"/>
              <w:rPr>
                <w:sz w:val="16"/>
                <w:szCs w:val="16"/>
              </w:rPr>
            </w:pPr>
            <w:r w:rsidRPr="00D46B6F">
              <w:rPr>
                <w:sz w:val="16"/>
                <w:szCs w:val="16"/>
              </w:rPr>
              <w:t xml:space="preserve">                  </w:t>
            </w:r>
            <w:r>
              <w:rPr>
                <w:sz w:val="16"/>
                <w:szCs w:val="16"/>
              </w:rPr>
              <w:t>-</w:t>
            </w:r>
            <w:r w:rsidRPr="00D46B6F">
              <w:rPr>
                <w:sz w:val="16"/>
                <w:szCs w:val="16"/>
              </w:rPr>
              <w:t xml:space="preserve"> </w:t>
            </w:r>
          </w:p>
        </w:tc>
        <w:tc>
          <w:tcPr>
            <w:tcW w:w="397" w:type="pct"/>
            <w:tcBorders>
              <w:top w:val="nil"/>
              <w:left w:val="nil"/>
              <w:bottom w:val="nil"/>
              <w:right w:val="nil"/>
            </w:tcBorders>
            <w:noWrap/>
            <w:vAlign w:val="bottom"/>
            <w:hideMark/>
          </w:tcPr>
          <w:p w14:paraId="75F74F8B"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2BB38F45" w14:textId="77777777" w:rsidR="00C44869" w:rsidRPr="00D46B6F" w:rsidRDefault="00C44869" w:rsidP="007B3453">
            <w:pPr>
              <w:jc w:val="right"/>
              <w:rPr>
                <w:sz w:val="16"/>
                <w:szCs w:val="16"/>
              </w:rPr>
            </w:pPr>
          </w:p>
        </w:tc>
        <w:tc>
          <w:tcPr>
            <w:tcW w:w="343" w:type="pct"/>
            <w:tcBorders>
              <w:top w:val="nil"/>
              <w:left w:val="nil"/>
              <w:bottom w:val="nil"/>
              <w:right w:val="nil"/>
            </w:tcBorders>
            <w:noWrap/>
            <w:vAlign w:val="bottom"/>
            <w:hideMark/>
          </w:tcPr>
          <w:p w14:paraId="228C02A4" w14:textId="77777777" w:rsidR="00C44869" w:rsidRPr="00D46B6F" w:rsidRDefault="00C44869" w:rsidP="007B3453">
            <w:pPr>
              <w:jc w:val="right"/>
              <w:rPr>
                <w:sz w:val="16"/>
                <w:szCs w:val="16"/>
              </w:rPr>
            </w:pPr>
            <w:r w:rsidRPr="00D46B6F">
              <w:rPr>
                <w:sz w:val="16"/>
                <w:szCs w:val="16"/>
              </w:rPr>
              <w:t xml:space="preserve">        </w:t>
            </w:r>
            <w:r>
              <w:rPr>
                <w:sz w:val="16"/>
                <w:szCs w:val="16"/>
              </w:rPr>
              <w:t>5,274,041</w:t>
            </w:r>
            <w:r w:rsidRPr="00D46B6F">
              <w:rPr>
                <w:sz w:val="16"/>
                <w:szCs w:val="16"/>
              </w:rPr>
              <w:t xml:space="preserve"> </w:t>
            </w:r>
          </w:p>
        </w:tc>
      </w:tr>
      <w:tr w:rsidR="00C44869" w:rsidRPr="00D46B6F" w14:paraId="34D42B22" w14:textId="77777777" w:rsidTr="007B3453">
        <w:trPr>
          <w:trHeight w:val="240"/>
        </w:trPr>
        <w:tc>
          <w:tcPr>
            <w:tcW w:w="1000" w:type="pct"/>
            <w:gridSpan w:val="2"/>
            <w:tcBorders>
              <w:top w:val="nil"/>
              <w:left w:val="nil"/>
              <w:bottom w:val="nil"/>
              <w:right w:val="nil"/>
            </w:tcBorders>
            <w:noWrap/>
            <w:vAlign w:val="bottom"/>
          </w:tcPr>
          <w:p w14:paraId="7C575E93" w14:textId="77777777" w:rsidR="00C44869" w:rsidRDefault="00C44869" w:rsidP="007B3453">
            <w:pPr>
              <w:ind w:left="36"/>
              <w:rPr>
                <w:sz w:val="18"/>
                <w:szCs w:val="18"/>
              </w:rPr>
            </w:pPr>
            <w:r>
              <w:rPr>
                <w:sz w:val="18"/>
                <w:szCs w:val="18"/>
              </w:rPr>
              <w:t>Transfer on conversion of convertible loan notes</w:t>
            </w:r>
          </w:p>
        </w:tc>
        <w:tc>
          <w:tcPr>
            <w:tcW w:w="130" w:type="pct"/>
            <w:tcBorders>
              <w:top w:val="nil"/>
              <w:left w:val="nil"/>
              <w:bottom w:val="nil"/>
              <w:right w:val="nil"/>
            </w:tcBorders>
            <w:shd w:val="clear" w:color="000000" w:fill="FFFFFF"/>
            <w:noWrap/>
            <w:vAlign w:val="bottom"/>
          </w:tcPr>
          <w:p w14:paraId="3ED4152E" w14:textId="77777777" w:rsidR="00C44869" w:rsidRPr="00D46B6F" w:rsidRDefault="00C44869" w:rsidP="007B3453">
            <w:pPr>
              <w:jc w:val="center"/>
              <w:rPr>
                <w:b/>
                <w:bCs/>
                <w:sz w:val="18"/>
                <w:szCs w:val="18"/>
              </w:rPr>
            </w:pPr>
          </w:p>
        </w:tc>
        <w:tc>
          <w:tcPr>
            <w:tcW w:w="375" w:type="pct"/>
            <w:tcBorders>
              <w:top w:val="nil"/>
              <w:left w:val="nil"/>
              <w:bottom w:val="nil"/>
              <w:right w:val="nil"/>
            </w:tcBorders>
            <w:noWrap/>
            <w:vAlign w:val="bottom"/>
          </w:tcPr>
          <w:p w14:paraId="693D4F37" w14:textId="77777777" w:rsidR="00C44869" w:rsidRPr="00D46B6F" w:rsidRDefault="00C44869" w:rsidP="007B3453">
            <w:pPr>
              <w:jc w:val="right"/>
              <w:rPr>
                <w:sz w:val="16"/>
                <w:szCs w:val="16"/>
              </w:rPr>
            </w:pPr>
            <w:r>
              <w:rPr>
                <w:sz w:val="16"/>
                <w:szCs w:val="16"/>
              </w:rPr>
              <w:t>-</w:t>
            </w:r>
          </w:p>
        </w:tc>
        <w:tc>
          <w:tcPr>
            <w:tcW w:w="93" w:type="pct"/>
            <w:tcBorders>
              <w:top w:val="nil"/>
              <w:left w:val="nil"/>
              <w:bottom w:val="nil"/>
              <w:right w:val="nil"/>
            </w:tcBorders>
            <w:noWrap/>
            <w:vAlign w:val="bottom"/>
          </w:tcPr>
          <w:p w14:paraId="7014D216"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tcPr>
          <w:p w14:paraId="69CC7F6A" w14:textId="77777777" w:rsidR="00C44869" w:rsidRPr="00D46B6F" w:rsidRDefault="00C44869" w:rsidP="007B3453">
            <w:pPr>
              <w:jc w:val="right"/>
              <w:rPr>
                <w:sz w:val="16"/>
                <w:szCs w:val="16"/>
              </w:rPr>
            </w:pPr>
            <w:r>
              <w:rPr>
                <w:sz w:val="16"/>
                <w:szCs w:val="16"/>
              </w:rPr>
              <w:t>-</w:t>
            </w:r>
          </w:p>
        </w:tc>
        <w:tc>
          <w:tcPr>
            <w:tcW w:w="87" w:type="pct"/>
            <w:tcBorders>
              <w:top w:val="nil"/>
              <w:left w:val="nil"/>
              <w:bottom w:val="nil"/>
              <w:right w:val="nil"/>
            </w:tcBorders>
            <w:noWrap/>
            <w:vAlign w:val="bottom"/>
          </w:tcPr>
          <w:p w14:paraId="6540F539"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tcPr>
          <w:p w14:paraId="080C853F" w14:textId="77777777" w:rsidR="00C44869" w:rsidRPr="00D46B6F" w:rsidRDefault="00C44869" w:rsidP="007B3453">
            <w:pPr>
              <w:jc w:val="right"/>
              <w:rPr>
                <w:sz w:val="16"/>
                <w:szCs w:val="16"/>
              </w:rPr>
            </w:pPr>
            <w:r>
              <w:rPr>
                <w:sz w:val="16"/>
                <w:szCs w:val="16"/>
              </w:rPr>
              <w:t>-</w:t>
            </w:r>
          </w:p>
        </w:tc>
        <w:tc>
          <w:tcPr>
            <w:tcW w:w="87" w:type="pct"/>
            <w:tcBorders>
              <w:top w:val="nil"/>
              <w:left w:val="nil"/>
              <w:bottom w:val="nil"/>
              <w:right w:val="nil"/>
            </w:tcBorders>
            <w:noWrap/>
            <w:vAlign w:val="bottom"/>
          </w:tcPr>
          <w:p w14:paraId="636066D3"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tcPr>
          <w:p w14:paraId="04559B8D" w14:textId="77777777" w:rsidR="00C44869" w:rsidRPr="00D46B6F" w:rsidRDefault="00C44869" w:rsidP="007B3453">
            <w:pPr>
              <w:jc w:val="right"/>
              <w:rPr>
                <w:sz w:val="16"/>
                <w:szCs w:val="16"/>
              </w:rPr>
            </w:pPr>
            <w:r>
              <w:rPr>
                <w:sz w:val="16"/>
                <w:szCs w:val="16"/>
              </w:rPr>
              <w:t>(400,119)</w:t>
            </w:r>
          </w:p>
        </w:tc>
        <w:tc>
          <w:tcPr>
            <w:tcW w:w="87" w:type="pct"/>
            <w:tcBorders>
              <w:top w:val="nil"/>
              <w:left w:val="nil"/>
              <w:bottom w:val="nil"/>
              <w:right w:val="nil"/>
            </w:tcBorders>
            <w:noWrap/>
            <w:vAlign w:val="bottom"/>
          </w:tcPr>
          <w:p w14:paraId="633D1D1A"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tcPr>
          <w:p w14:paraId="3A926715"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tcPr>
          <w:p w14:paraId="1D89550A"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tcPr>
          <w:p w14:paraId="38903441"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tcPr>
          <w:p w14:paraId="0F31705E"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76B075F3" w14:textId="77777777" w:rsidR="00C44869" w:rsidRPr="00D46B6F" w:rsidRDefault="00C44869" w:rsidP="007B3453">
            <w:pPr>
              <w:jc w:val="right"/>
              <w:rPr>
                <w:sz w:val="16"/>
                <w:szCs w:val="16"/>
              </w:rPr>
            </w:pPr>
            <w:r>
              <w:rPr>
                <w:sz w:val="16"/>
                <w:szCs w:val="16"/>
              </w:rPr>
              <w:t>400,116</w:t>
            </w:r>
          </w:p>
        </w:tc>
        <w:tc>
          <w:tcPr>
            <w:tcW w:w="397" w:type="pct"/>
            <w:tcBorders>
              <w:top w:val="nil"/>
              <w:left w:val="nil"/>
              <w:bottom w:val="nil"/>
              <w:right w:val="nil"/>
            </w:tcBorders>
            <w:noWrap/>
            <w:vAlign w:val="bottom"/>
          </w:tcPr>
          <w:p w14:paraId="6AA9E722" w14:textId="77777777" w:rsidR="00C44869" w:rsidRPr="00D46B6F" w:rsidRDefault="00C44869" w:rsidP="007B3453">
            <w:pPr>
              <w:jc w:val="right"/>
              <w:rPr>
                <w:sz w:val="16"/>
                <w:szCs w:val="16"/>
              </w:rPr>
            </w:pPr>
            <w:r>
              <w:rPr>
                <w:sz w:val="16"/>
                <w:szCs w:val="16"/>
              </w:rPr>
              <w:t>-</w:t>
            </w:r>
          </w:p>
        </w:tc>
        <w:tc>
          <w:tcPr>
            <w:tcW w:w="87" w:type="pct"/>
            <w:tcBorders>
              <w:top w:val="nil"/>
              <w:left w:val="nil"/>
              <w:bottom w:val="nil"/>
              <w:right w:val="nil"/>
            </w:tcBorders>
            <w:noWrap/>
            <w:vAlign w:val="bottom"/>
          </w:tcPr>
          <w:p w14:paraId="1314E6EF" w14:textId="77777777" w:rsidR="00C44869" w:rsidRPr="00D46B6F" w:rsidRDefault="00C44869" w:rsidP="007B3453">
            <w:pPr>
              <w:jc w:val="right"/>
              <w:rPr>
                <w:sz w:val="16"/>
                <w:szCs w:val="16"/>
              </w:rPr>
            </w:pPr>
          </w:p>
        </w:tc>
        <w:tc>
          <w:tcPr>
            <w:tcW w:w="343" w:type="pct"/>
            <w:tcBorders>
              <w:top w:val="nil"/>
              <w:left w:val="nil"/>
              <w:bottom w:val="nil"/>
              <w:right w:val="nil"/>
            </w:tcBorders>
            <w:noWrap/>
            <w:vAlign w:val="bottom"/>
          </w:tcPr>
          <w:p w14:paraId="23EC21AA" w14:textId="77777777" w:rsidR="00C44869" w:rsidRPr="00D46B6F" w:rsidRDefault="00C44869" w:rsidP="007B3453">
            <w:pPr>
              <w:jc w:val="right"/>
              <w:rPr>
                <w:sz w:val="16"/>
                <w:szCs w:val="16"/>
              </w:rPr>
            </w:pPr>
            <w:r>
              <w:rPr>
                <w:sz w:val="16"/>
                <w:szCs w:val="16"/>
              </w:rPr>
              <w:t>-</w:t>
            </w:r>
          </w:p>
        </w:tc>
      </w:tr>
      <w:tr w:rsidR="00C44869" w:rsidRPr="00D46B6F" w14:paraId="35D2A890" w14:textId="77777777" w:rsidTr="007B3453">
        <w:trPr>
          <w:trHeight w:val="240"/>
        </w:trPr>
        <w:tc>
          <w:tcPr>
            <w:tcW w:w="1000" w:type="pct"/>
            <w:gridSpan w:val="2"/>
            <w:tcBorders>
              <w:top w:val="nil"/>
              <w:left w:val="nil"/>
              <w:bottom w:val="nil"/>
              <w:right w:val="nil"/>
            </w:tcBorders>
            <w:noWrap/>
            <w:vAlign w:val="bottom"/>
            <w:hideMark/>
          </w:tcPr>
          <w:p w14:paraId="4A878FEB" w14:textId="77777777" w:rsidR="00C44869" w:rsidRPr="00D46B6F" w:rsidRDefault="00C44869" w:rsidP="007B3453">
            <w:pPr>
              <w:ind w:firstLineChars="20" w:firstLine="36"/>
              <w:rPr>
                <w:sz w:val="18"/>
                <w:szCs w:val="18"/>
              </w:rPr>
            </w:pPr>
            <w:r>
              <w:rPr>
                <w:sz w:val="18"/>
                <w:szCs w:val="18"/>
              </w:rPr>
              <w:t>Termination of shares to be issued</w:t>
            </w:r>
          </w:p>
        </w:tc>
        <w:tc>
          <w:tcPr>
            <w:tcW w:w="130" w:type="pct"/>
            <w:tcBorders>
              <w:top w:val="nil"/>
              <w:left w:val="nil"/>
              <w:bottom w:val="nil"/>
              <w:right w:val="nil"/>
            </w:tcBorders>
            <w:shd w:val="clear" w:color="000000" w:fill="FFFFFF"/>
            <w:noWrap/>
            <w:vAlign w:val="bottom"/>
            <w:hideMark/>
          </w:tcPr>
          <w:p w14:paraId="4DA8F8AC" w14:textId="77777777" w:rsidR="00C44869" w:rsidRPr="00D46B6F" w:rsidRDefault="00C44869" w:rsidP="007B3453">
            <w:pPr>
              <w:jc w:val="center"/>
              <w:rPr>
                <w:b/>
                <w:bCs/>
                <w:sz w:val="18"/>
                <w:szCs w:val="18"/>
              </w:rPr>
            </w:pPr>
            <w:r w:rsidRPr="00D46B6F">
              <w:rPr>
                <w:b/>
                <w:bCs/>
                <w:sz w:val="18"/>
                <w:szCs w:val="18"/>
              </w:rPr>
              <w:t> </w:t>
            </w:r>
          </w:p>
        </w:tc>
        <w:tc>
          <w:tcPr>
            <w:tcW w:w="375" w:type="pct"/>
            <w:tcBorders>
              <w:top w:val="nil"/>
              <w:left w:val="nil"/>
              <w:bottom w:val="nil"/>
              <w:right w:val="nil"/>
            </w:tcBorders>
            <w:noWrap/>
            <w:vAlign w:val="bottom"/>
            <w:hideMark/>
          </w:tcPr>
          <w:p w14:paraId="6658B134" w14:textId="77777777" w:rsidR="00C44869" w:rsidRPr="00D46B6F" w:rsidRDefault="00C44869" w:rsidP="007B3453">
            <w:pPr>
              <w:jc w:val="right"/>
              <w:rPr>
                <w:sz w:val="16"/>
                <w:szCs w:val="16"/>
              </w:rPr>
            </w:pPr>
            <w:r w:rsidRPr="00D46B6F">
              <w:rPr>
                <w:sz w:val="16"/>
                <w:szCs w:val="16"/>
              </w:rPr>
              <w:t xml:space="preserve">                                 - </w:t>
            </w:r>
          </w:p>
        </w:tc>
        <w:tc>
          <w:tcPr>
            <w:tcW w:w="93" w:type="pct"/>
            <w:tcBorders>
              <w:top w:val="nil"/>
              <w:left w:val="nil"/>
              <w:bottom w:val="nil"/>
              <w:right w:val="nil"/>
            </w:tcBorders>
            <w:noWrap/>
            <w:vAlign w:val="bottom"/>
            <w:hideMark/>
          </w:tcPr>
          <w:p w14:paraId="7393061B"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hideMark/>
          </w:tcPr>
          <w:p w14:paraId="6A5E416D"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3D00E9F5"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671C4367"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4252B9BC" w14:textId="77777777" w:rsidR="00C44869" w:rsidRPr="00D46B6F" w:rsidRDefault="00C44869" w:rsidP="007B3453">
            <w:pPr>
              <w:jc w:val="right"/>
              <w:rPr>
                <w:sz w:val="16"/>
                <w:szCs w:val="16"/>
              </w:rPr>
            </w:pPr>
          </w:p>
        </w:tc>
        <w:tc>
          <w:tcPr>
            <w:tcW w:w="397" w:type="pct"/>
            <w:tcBorders>
              <w:top w:val="nil"/>
              <w:left w:val="nil"/>
              <w:bottom w:val="nil"/>
              <w:right w:val="nil"/>
            </w:tcBorders>
            <w:noWrap/>
            <w:vAlign w:val="bottom"/>
            <w:hideMark/>
          </w:tcPr>
          <w:p w14:paraId="7AAC29AD" w14:textId="77777777" w:rsidR="00C44869" w:rsidRPr="00D46B6F" w:rsidRDefault="00C44869" w:rsidP="007B3453">
            <w:pPr>
              <w:jc w:val="right"/>
              <w:rPr>
                <w:sz w:val="16"/>
                <w:szCs w:val="16"/>
              </w:rPr>
            </w:pPr>
            <w:r w:rsidRPr="00D46B6F">
              <w:rPr>
                <w:sz w:val="16"/>
                <w:szCs w:val="16"/>
              </w:rPr>
              <w:t xml:space="preserve">              </w:t>
            </w:r>
            <w:r>
              <w:rPr>
                <w:sz w:val="16"/>
                <w:szCs w:val="16"/>
              </w:rPr>
              <w:t>-</w:t>
            </w:r>
            <w:r w:rsidRPr="00D46B6F">
              <w:rPr>
                <w:sz w:val="16"/>
                <w:szCs w:val="16"/>
              </w:rPr>
              <w:t xml:space="preserve"> </w:t>
            </w:r>
          </w:p>
        </w:tc>
        <w:tc>
          <w:tcPr>
            <w:tcW w:w="87" w:type="pct"/>
            <w:tcBorders>
              <w:top w:val="nil"/>
              <w:left w:val="nil"/>
              <w:bottom w:val="nil"/>
              <w:right w:val="nil"/>
            </w:tcBorders>
            <w:noWrap/>
            <w:vAlign w:val="bottom"/>
            <w:hideMark/>
          </w:tcPr>
          <w:p w14:paraId="39C7BD85"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3EBE71E8" w14:textId="77777777" w:rsidR="00C44869" w:rsidRPr="00D46B6F" w:rsidRDefault="00C44869" w:rsidP="007B3453">
            <w:pPr>
              <w:jc w:val="right"/>
              <w:rPr>
                <w:sz w:val="16"/>
                <w:szCs w:val="16"/>
              </w:rPr>
            </w:pPr>
            <w:r w:rsidRPr="00D46B6F">
              <w:rPr>
                <w:sz w:val="16"/>
                <w:szCs w:val="16"/>
              </w:rPr>
              <w:t xml:space="preserve">                                  </w:t>
            </w:r>
            <w:r>
              <w:rPr>
                <w:sz w:val="16"/>
                <w:szCs w:val="16"/>
              </w:rPr>
              <w:t>(19,256)</w:t>
            </w:r>
            <w:r w:rsidRPr="00D46B6F">
              <w:rPr>
                <w:sz w:val="16"/>
                <w:szCs w:val="16"/>
              </w:rPr>
              <w:t xml:space="preserve"> </w:t>
            </w:r>
          </w:p>
        </w:tc>
        <w:tc>
          <w:tcPr>
            <w:tcW w:w="87" w:type="pct"/>
            <w:tcBorders>
              <w:top w:val="nil"/>
              <w:left w:val="nil"/>
              <w:bottom w:val="nil"/>
              <w:right w:val="nil"/>
            </w:tcBorders>
            <w:noWrap/>
            <w:vAlign w:val="bottom"/>
            <w:hideMark/>
          </w:tcPr>
          <w:p w14:paraId="2B249BE9"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hideMark/>
          </w:tcPr>
          <w:p w14:paraId="367E1030"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1D3FD369"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349E320C" w14:textId="77777777" w:rsidR="00C44869" w:rsidRPr="00D46B6F" w:rsidRDefault="00C44869" w:rsidP="007B3453">
            <w:pPr>
              <w:jc w:val="right"/>
              <w:rPr>
                <w:sz w:val="16"/>
                <w:szCs w:val="16"/>
              </w:rPr>
            </w:pPr>
            <w:r w:rsidRPr="00D46B6F">
              <w:rPr>
                <w:sz w:val="16"/>
                <w:szCs w:val="16"/>
              </w:rPr>
              <w:t xml:space="preserve">                                 - </w:t>
            </w:r>
          </w:p>
        </w:tc>
        <w:tc>
          <w:tcPr>
            <w:tcW w:w="397" w:type="pct"/>
            <w:tcBorders>
              <w:top w:val="nil"/>
              <w:left w:val="nil"/>
              <w:bottom w:val="nil"/>
              <w:right w:val="nil"/>
            </w:tcBorders>
            <w:noWrap/>
            <w:vAlign w:val="bottom"/>
            <w:hideMark/>
          </w:tcPr>
          <w:p w14:paraId="33F2B41A"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00F416B3" w14:textId="77777777" w:rsidR="00C44869" w:rsidRPr="00D46B6F" w:rsidRDefault="00C44869" w:rsidP="007B3453">
            <w:pPr>
              <w:jc w:val="right"/>
              <w:rPr>
                <w:sz w:val="16"/>
                <w:szCs w:val="16"/>
              </w:rPr>
            </w:pPr>
          </w:p>
        </w:tc>
        <w:tc>
          <w:tcPr>
            <w:tcW w:w="343" w:type="pct"/>
            <w:tcBorders>
              <w:top w:val="nil"/>
              <w:left w:val="nil"/>
              <w:bottom w:val="nil"/>
              <w:right w:val="nil"/>
            </w:tcBorders>
            <w:noWrap/>
            <w:vAlign w:val="bottom"/>
            <w:hideMark/>
          </w:tcPr>
          <w:p w14:paraId="2F178EEB" w14:textId="77777777" w:rsidR="00C44869" w:rsidRPr="00D46B6F" w:rsidRDefault="00C44869" w:rsidP="007B3453">
            <w:pPr>
              <w:jc w:val="right"/>
              <w:rPr>
                <w:sz w:val="16"/>
                <w:szCs w:val="16"/>
              </w:rPr>
            </w:pPr>
            <w:r w:rsidRPr="00D46B6F">
              <w:rPr>
                <w:sz w:val="16"/>
                <w:szCs w:val="16"/>
              </w:rPr>
              <w:t xml:space="preserve">            </w:t>
            </w:r>
            <w:r>
              <w:rPr>
                <w:sz w:val="16"/>
                <w:szCs w:val="16"/>
              </w:rPr>
              <w:t>(19,256)</w:t>
            </w:r>
            <w:r w:rsidRPr="00D46B6F">
              <w:rPr>
                <w:sz w:val="16"/>
                <w:szCs w:val="16"/>
              </w:rPr>
              <w:t xml:space="preserve"> </w:t>
            </w:r>
          </w:p>
        </w:tc>
      </w:tr>
      <w:tr w:rsidR="00C44869" w:rsidRPr="00D46B6F" w14:paraId="503E5BC4" w14:textId="77777777" w:rsidTr="007B3453">
        <w:trPr>
          <w:trHeight w:val="240"/>
        </w:trPr>
        <w:tc>
          <w:tcPr>
            <w:tcW w:w="1000" w:type="pct"/>
            <w:gridSpan w:val="2"/>
            <w:tcBorders>
              <w:top w:val="nil"/>
              <w:left w:val="nil"/>
              <w:bottom w:val="nil"/>
              <w:right w:val="nil"/>
            </w:tcBorders>
            <w:noWrap/>
            <w:vAlign w:val="bottom"/>
            <w:hideMark/>
          </w:tcPr>
          <w:p w14:paraId="6D995D76" w14:textId="77777777" w:rsidR="00C44869" w:rsidRPr="00D46B6F" w:rsidRDefault="00C44869" w:rsidP="007B3453">
            <w:pPr>
              <w:rPr>
                <w:sz w:val="18"/>
                <w:szCs w:val="18"/>
              </w:rPr>
            </w:pPr>
            <w:r>
              <w:rPr>
                <w:sz w:val="18"/>
                <w:szCs w:val="18"/>
              </w:rPr>
              <w:t xml:space="preserve"> </w:t>
            </w:r>
            <w:r w:rsidRPr="00D46B6F">
              <w:rPr>
                <w:sz w:val="18"/>
                <w:szCs w:val="18"/>
              </w:rPr>
              <w:t>Cost relating to share issues</w:t>
            </w:r>
          </w:p>
        </w:tc>
        <w:tc>
          <w:tcPr>
            <w:tcW w:w="130" w:type="pct"/>
            <w:tcBorders>
              <w:top w:val="nil"/>
              <w:left w:val="nil"/>
              <w:bottom w:val="nil"/>
              <w:right w:val="nil"/>
            </w:tcBorders>
            <w:shd w:val="clear" w:color="000000" w:fill="FFFFFF"/>
            <w:noWrap/>
            <w:vAlign w:val="bottom"/>
            <w:hideMark/>
          </w:tcPr>
          <w:p w14:paraId="2FA3627E" w14:textId="77777777" w:rsidR="00C44869" w:rsidRPr="00D46B6F" w:rsidRDefault="00C44869" w:rsidP="007B3453">
            <w:pPr>
              <w:ind w:firstLineChars="100" w:firstLine="180"/>
              <w:rPr>
                <w:sz w:val="18"/>
                <w:szCs w:val="18"/>
              </w:rPr>
            </w:pPr>
            <w:r w:rsidRPr="00D46B6F">
              <w:rPr>
                <w:sz w:val="18"/>
                <w:szCs w:val="18"/>
              </w:rPr>
              <w:t> </w:t>
            </w:r>
          </w:p>
        </w:tc>
        <w:tc>
          <w:tcPr>
            <w:tcW w:w="375" w:type="pct"/>
            <w:tcBorders>
              <w:top w:val="nil"/>
              <w:left w:val="nil"/>
              <w:bottom w:val="nil"/>
              <w:right w:val="nil"/>
            </w:tcBorders>
            <w:noWrap/>
            <w:vAlign w:val="bottom"/>
            <w:hideMark/>
          </w:tcPr>
          <w:p w14:paraId="2A064189" w14:textId="77777777" w:rsidR="00C44869" w:rsidRPr="00D46B6F" w:rsidRDefault="00C44869" w:rsidP="007B3453">
            <w:pPr>
              <w:jc w:val="right"/>
              <w:rPr>
                <w:sz w:val="16"/>
                <w:szCs w:val="16"/>
              </w:rPr>
            </w:pPr>
            <w:r w:rsidRPr="00D46B6F">
              <w:rPr>
                <w:sz w:val="16"/>
                <w:szCs w:val="16"/>
              </w:rPr>
              <w:t xml:space="preserve">                                 - </w:t>
            </w:r>
          </w:p>
        </w:tc>
        <w:tc>
          <w:tcPr>
            <w:tcW w:w="93" w:type="pct"/>
            <w:tcBorders>
              <w:top w:val="nil"/>
              <w:left w:val="nil"/>
              <w:bottom w:val="nil"/>
              <w:right w:val="nil"/>
            </w:tcBorders>
            <w:noWrap/>
            <w:vAlign w:val="bottom"/>
            <w:hideMark/>
          </w:tcPr>
          <w:p w14:paraId="4D0CDC5E" w14:textId="77777777" w:rsidR="00C44869" w:rsidRPr="00D46B6F" w:rsidRDefault="00C44869" w:rsidP="007B3453">
            <w:pPr>
              <w:jc w:val="right"/>
              <w:rPr>
                <w:sz w:val="16"/>
                <w:szCs w:val="16"/>
              </w:rPr>
            </w:pPr>
          </w:p>
        </w:tc>
        <w:tc>
          <w:tcPr>
            <w:tcW w:w="389" w:type="pct"/>
            <w:tcBorders>
              <w:top w:val="nil"/>
              <w:left w:val="nil"/>
              <w:bottom w:val="nil"/>
              <w:right w:val="nil"/>
            </w:tcBorders>
            <w:noWrap/>
            <w:vAlign w:val="bottom"/>
            <w:hideMark/>
          </w:tcPr>
          <w:p w14:paraId="016ED373" w14:textId="77777777" w:rsidR="00C44869" w:rsidRPr="00D46B6F" w:rsidRDefault="00C44869" w:rsidP="007B3453">
            <w:pPr>
              <w:jc w:val="right"/>
              <w:rPr>
                <w:sz w:val="16"/>
                <w:szCs w:val="16"/>
              </w:rPr>
            </w:pPr>
            <w:r w:rsidRPr="00D46B6F">
              <w:rPr>
                <w:sz w:val="16"/>
                <w:szCs w:val="16"/>
              </w:rPr>
              <w:t xml:space="preserve">                      (1</w:t>
            </w:r>
            <w:r>
              <w:rPr>
                <w:sz w:val="16"/>
                <w:szCs w:val="16"/>
              </w:rPr>
              <w:t>59</w:t>
            </w:r>
            <w:r w:rsidRPr="00D46B6F">
              <w:rPr>
                <w:sz w:val="16"/>
                <w:szCs w:val="16"/>
              </w:rPr>
              <w:t>,</w:t>
            </w:r>
            <w:r>
              <w:rPr>
                <w:sz w:val="16"/>
                <w:szCs w:val="16"/>
              </w:rPr>
              <w:t>455</w:t>
            </w:r>
            <w:r w:rsidRPr="00D46B6F">
              <w:rPr>
                <w:sz w:val="16"/>
                <w:szCs w:val="16"/>
              </w:rPr>
              <w:t>)</w:t>
            </w:r>
          </w:p>
        </w:tc>
        <w:tc>
          <w:tcPr>
            <w:tcW w:w="87" w:type="pct"/>
            <w:tcBorders>
              <w:top w:val="nil"/>
              <w:left w:val="nil"/>
              <w:bottom w:val="nil"/>
              <w:right w:val="nil"/>
            </w:tcBorders>
            <w:noWrap/>
            <w:vAlign w:val="bottom"/>
            <w:hideMark/>
          </w:tcPr>
          <w:p w14:paraId="13B29954"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45B0E7FC"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2EC083EE" w14:textId="77777777" w:rsidR="00C44869" w:rsidRPr="00D46B6F" w:rsidRDefault="00C44869" w:rsidP="007B3453">
            <w:pPr>
              <w:jc w:val="right"/>
              <w:rPr>
                <w:sz w:val="16"/>
                <w:szCs w:val="16"/>
              </w:rPr>
            </w:pPr>
          </w:p>
        </w:tc>
        <w:tc>
          <w:tcPr>
            <w:tcW w:w="397" w:type="pct"/>
            <w:tcBorders>
              <w:top w:val="nil"/>
              <w:left w:val="nil"/>
              <w:bottom w:val="single" w:sz="4" w:space="0" w:color="auto"/>
              <w:right w:val="nil"/>
            </w:tcBorders>
            <w:noWrap/>
            <w:vAlign w:val="bottom"/>
            <w:hideMark/>
          </w:tcPr>
          <w:p w14:paraId="2A92075F"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3F318D0C"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6AFCCE6A"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7F87962A" w14:textId="77777777" w:rsidR="00C44869" w:rsidRPr="00D46B6F" w:rsidRDefault="00C44869" w:rsidP="007B3453">
            <w:pPr>
              <w:jc w:val="right"/>
              <w:rPr>
                <w:sz w:val="16"/>
                <w:szCs w:val="16"/>
              </w:rPr>
            </w:pPr>
          </w:p>
        </w:tc>
        <w:tc>
          <w:tcPr>
            <w:tcW w:w="349" w:type="pct"/>
            <w:tcBorders>
              <w:top w:val="nil"/>
              <w:left w:val="nil"/>
              <w:bottom w:val="nil"/>
              <w:right w:val="nil"/>
            </w:tcBorders>
            <w:noWrap/>
            <w:vAlign w:val="bottom"/>
            <w:hideMark/>
          </w:tcPr>
          <w:p w14:paraId="0F98CB69"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73C04240" w14:textId="77777777" w:rsidR="00C44869" w:rsidRPr="00D46B6F" w:rsidRDefault="00C44869" w:rsidP="007B3453">
            <w:pPr>
              <w:jc w:val="right"/>
              <w:rPr>
                <w:sz w:val="16"/>
                <w:szCs w:val="16"/>
              </w:rPr>
            </w:pPr>
          </w:p>
        </w:tc>
        <w:tc>
          <w:tcPr>
            <w:tcW w:w="305" w:type="pct"/>
            <w:tcBorders>
              <w:top w:val="nil"/>
              <w:left w:val="nil"/>
              <w:bottom w:val="nil"/>
              <w:right w:val="nil"/>
            </w:tcBorders>
            <w:vAlign w:val="bottom"/>
          </w:tcPr>
          <w:p w14:paraId="31BA798D" w14:textId="77777777" w:rsidR="00C44869" w:rsidRPr="00D46B6F" w:rsidRDefault="00C44869" w:rsidP="007B3453">
            <w:pPr>
              <w:jc w:val="right"/>
              <w:rPr>
                <w:sz w:val="16"/>
                <w:szCs w:val="16"/>
              </w:rPr>
            </w:pPr>
            <w:r w:rsidRPr="00D46B6F">
              <w:rPr>
                <w:sz w:val="16"/>
                <w:szCs w:val="16"/>
              </w:rPr>
              <w:t xml:space="preserve">                                 - </w:t>
            </w:r>
          </w:p>
        </w:tc>
        <w:tc>
          <w:tcPr>
            <w:tcW w:w="397" w:type="pct"/>
            <w:tcBorders>
              <w:top w:val="nil"/>
              <w:left w:val="nil"/>
              <w:bottom w:val="nil"/>
              <w:right w:val="nil"/>
            </w:tcBorders>
            <w:noWrap/>
            <w:vAlign w:val="bottom"/>
            <w:hideMark/>
          </w:tcPr>
          <w:p w14:paraId="59D5EA11" w14:textId="77777777" w:rsidR="00C44869" w:rsidRPr="00D46B6F" w:rsidRDefault="00C44869" w:rsidP="007B3453">
            <w:pPr>
              <w:jc w:val="right"/>
              <w:rPr>
                <w:sz w:val="16"/>
                <w:szCs w:val="16"/>
              </w:rPr>
            </w:pPr>
            <w:r w:rsidRPr="00D46B6F">
              <w:rPr>
                <w:sz w:val="16"/>
                <w:szCs w:val="16"/>
              </w:rPr>
              <w:t xml:space="preserve">                               - </w:t>
            </w:r>
          </w:p>
        </w:tc>
        <w:tc>
          <w:tcPr>
            <w:tcW w:w="87" w:type="pct"/>
            <w:tcBorders>
              <w:top w:val="nil"/>
              <w:left w:val="nil"/>
              <w:bottom w:val="nil"/>
              <w:right w:val="nil"/>
            </w:tcBorders>
            <w:noWrap/>
            <w:vAlign w:val="bottom"/>
            <w:hideMark/>
          </w:tcPr>
          <w:p w14:paraId="7E8171D4" w14:textId="77777777" w:rsidR="00C44869" w:rsidRPr="00D46B6F" w:rsidRDefault="00C44869" w:rsidP="007B3453">
            <w:pPr>
              <w:jc w:val="right"/>
              <w:rPr>
                <w:sz w:val="16"/>
                <w:szCs w:val="16"/>
              </w:rPr>
            </w:pPr>
          </w:p>
        </w:tc>
        <w:tc>
          <w:tcPr>
            <w:tcW w:w="343" w:type="pct"/>
            <w:tcBorders>
              <w:top w:val="nil"/>
              <w:left w:val="nil"/>
              <w:bottom w:val="nil"/>
              <w:right w:val="nil"/>
            </w:tcBorders>
            <w:noWrap/>
            <w:vAlign w:val="bottom"/>
            <w:hideMark/>
          </w:tcPr>
          <w:p w14:paraId="46F8C22F" w14:textId="77777777" w:rsidR="00C44869" w:rsidRPr="00D46B6F" w:rsidRDefault="00C44869" w:rsidP="007B3453">
            <w:pPr>
              <w:jc w:val="right"/>
              <w:rPr>
                <w:sz w:val="16"/>
                <w:szCs w:val="16"/>
              </w:rPr>
            </w:pPr>
            <w:r w:rsidRPr="00D46B6F">
              <w:rPr>
                <w:sz w:val="16"/>
                <w:szCs w:val="16"/>
              </w:rPr>
              <w:t xml:space="preserve">          (1</w:t>
            </w:r>
            <w:r>
              <w:rPr>
                <w:sz w:val="16"/>
                <w:szCs w:val="16"/>
              </w:rPr>
              <w:t>59</w:t>
            </w:r>
            <w:r w:rsidRPr="00D46B6F">
              <w:rPr>
                <w:sz w:val="16"/>
                <w:szCs w:val="16"/>
              </w:rPr>
              <w:t>,</w:t>
            </w:r>
            <w:r>
              <w:rPr>
                <w:sz w:val="16"/>
                <w:szCs w:val="16"/>
              </w:rPr>
              <w:t>455</w:t>
            </w:r>
            <w:r w:rsidRPr="00D46B6F">
              <w:rPr>
                <w:sz w:val="16"/>
                <w:szCs w:val="16"/>
              </w:rPr>
              <w:t>)</w:t>
            </w:r>
          </w:p>
        </w:tc>
      </w:tr>
      <w:tr w:rsidR="00C44869" w:rsidRPr="00D46B6F" w14:paraId="24A5A3CB" w14:textId="77777777" w:rsidTr="007B3453">
        <w:trPr>
          <w:trHeight w:val="260"/>
        </w:trPr>
        <w:tc>
          <w:tcPr>
            <w:tcW w:w="1000" w:type="pct"/>
            <w:gridSpan w:val="2"/>
            <w:tcBorders>
              <w:top w:val="single" w:sz="4" w:space="0" w:color="auto"/>
              <w:left w:val="nil"/>
              <w:bottom w:val="single" w:sz="4" w:space="0" w:color="auto"/>
              <w:right w:val="nil"/>
            </w:tcBorders>
            <w:vAlign w:val="bottom"/>
            <w:hideMark/>
          </w:tcPr>
          <w:p w14:paraId="03534E1E" w14:textId="77777777" w:rsidR="00C44869" w:rsidRPr="00D46B6F" w:rsidRDefault="00C44869" w:rsidP="007B3453">
            <w:pPr>
              <w:rPr>
                <w:b/>
                <w:bCs/>
                <w:sz w:val="18"/>
                <w:szCs w:val="18"/>
              </w:rPr>
            </w:pPr>
            <w:r w:rsidRPr="00D46B6F">
              <w:rPr>
                <w:b/>
                <w:bCs/>
                <w:sz w:val="18"/>
                <w:szCs w:val="18"/>
              </w:rPr>
              <w:t>At 31 March 202</w:t>
            </w:r>
            <w:r>
              <w:rPr>
                <w:b/>
                <w:bCs/>
                <w:sz w:val="18"/>
                <w:szCs w:val="18"/>
              </w:rPr>
              <w:t>4</w:t>
            </w:r>
          </w:p>
        </w:tc>
        <w:tc>
          <w:tcPr>
            <w:tcW w:w="130" w:type="pct"/>
            <w:tcBorders>
              <w:top w:val="nil"/>
              <w:left w:val="nil"/>
              <w:bottom w:val="nil"/>
              <w:right w:val="nil"/>
            </w:tcBorders>
            <w:vAlign w:val="bottom"/>
            <w:hideMark/>
          </w:tcPr>
          <w:p w14:paraId="2DE87532" w14:textId="77777777" w:rsidR="00C44869" w:rsidRPr="00D46B6F" w:rsidRDefault="00C44869" w:rsidP="007B3453">
            <w:pPr>
              <w:rPr>
                <w:b/>
                <w:bCs/>
                <w:sz w:val="18"/>
                <w:szCs w:val="18"/>
              </w:rPr>
            </w:pPr>
          </w:p>
        </w:tc>
        <w:tc>
          <w:tcPr>
            <w:tcW w:w="375" w:type="pct"/>
            <w:tcBorders>
              <w:top w:val="single" w:sz="4" w:space="0" w:color="auto"/>
              <w:left w:val="nil"/>
              <w:bottom w:val="single" w:sz="4" w:space="0" w:color="auto"/>
              <w:right w:val="nil"/>
            </w:tcBorders>
            <w:vAlign w:val="bottom"/>
            <w:hideMark/>
          </w:tcPr>
          <w:p w14:paraId="49E4BDA8"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4,953,169</w:t>
            </w:r>
            <w:r w:rsidRPr="00D46B6F">
              <w:rPr>
                <w:b/>
                <w:bCs/>
                <w:sz w:val="16"/>
                <w:szCs w:val="16"/>
              </w:rPr>
              <w:t xml:space="preserve"> </w:t>
            </w:r>
          </w:p>
        </w:tc>
        <w:tc>
          <w:tcPr>
            <w:tcW w:w="93" w:type="pct"/>
            <w:tcBorders>
              <w:top w:val="nil"/>
              <w:left w:val="nil"/>
              <w:bottom w:val="nil"/>
              <w:right w:val="nil"/>
            </w:tcBorders>
            <w:vAlign w:val="bottom"/>
            <w:hideMark/>
          </w:tcPr>
          <w:p w14:paraId="674CB33D" w14:textId="77777777" w:rsidR="00C44869" w:rsidRPr="00D46B6F" w:rsidRDefault="00C44869" w:rsidP="007B3453">
            <w:pPr>
              <w:jc w:val="right"/>
              <w:rPr>
                <w:b/>
                <w:bCs/>
                <w:sz w:val="16"/>
                <w:szCs w:val="16"/>
              </w:rPr>
            </w:pPr>
          </w:p>
        </w:tc>
        <w:tc>
          <w:tcPr>
            <w:tcW w:w="389" w:type="pct"/>
            <w:tcBorders>
              <w:top w:val="single" w:sz="4" w:space="0" w:color="auto"/>
              <w:left w:val="nil"/>
              <w:bottom w:val="single" w:sz="4" w:space="0" w:color="auto"/>
              <w:right w:val="nil"/>
            </w:tcBorders>
            <w:vAlign w:val="bottom"/>
            <w:hideMark/>
          </w:tcPr>
          <w:p w14:paraId="048529DE"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14,755,570</w:t>
            </w:r>
            <w:r w:rsidRPr="00D46B6F">
              <w:rPr>
                <w:b/>
                <w:bCs/>
                <w:sz w:val="16"/>
                <w:szCs w:val="16"/>
              </w:rPr>
              <w:t xml:space="preserve"> </w:t>
            </w:r>
          </w:p>
        </w:tc>
        <w:tc>
          <w:tcPr>
            <w:tcW w:w="87" w:type="pct"/>
            <w:tcBorders>
              <w:top w:val="nil"/>
              <w:left w:val="nil"/>
              <w:bottom w:val="nil"/>
              <w:right w:val="nil"/>
            </w:tcBorders>
            <w:noWrap/>
            <w:vAlign w:val="bottom"/>
            <w:hideMark/>
          </w:tcPr>
          <w:p w14:paraId="03A3E30C" w14:textId="77777777" w:rsidR="00C44869" w:rsidRPr="00D46B6F" w:rsidRDefault="00C44869" w:rsidP="007B3453">
            <w:pPr>
              <w:jc w:val="right"/>
              <w:rPr>
                <w:b/>
                <w:bCs/>
                <w:sz w:val="16"/>
                <w:szCs w:val="16"/>
              </w:rPr>
            </w:pPr>
          </w:p>
        </w:tc>
        <w:tc>
          <w:tcPr>
            <w:tcW w:w="354" w:type="pct"/>
            <w:tcBorders>
              <w:top w:val="single" w:sz="4" w:space="0" w:color="auto"/>
              <w:left w:val="nil"/>
              <w:bottom w:val="single" w:sz="4" w:space="0" w:color="auto"/>
              <w:right w:val="nil"/>
            </w:tcBorders>
            <w:noWrap/>
            <w:vAlign w:val="bottom"/>
            <w:hideMark/>
          </w:tcPr>
          <w:p w14:paraId="4149FC15" w14:textId="77777777" w:rsidR="00C44869" w:rsidRPr="00D46B6F" w:rsidRDefault="00C44869" w:rsidP="007B3453">
            <w:pPr>
              <w:jc w:val="right"/>
              <w:rPr>
                <w:b/>
                <w:bCs/>
                <w:sz w:val="16"/>
                <w:szCs w:val="16"/>
              </w:rPr>
            </w:pPr>
            <w:r w:rsidRPr="00D46B6F">
              <w:rPr>
                <w:b/>
                <w:bCs/>
                <w:sz w:val="16"/>
                <w:szCs w:val="16"/>
              </w:rPr>
              <w:t xml:space="preserve">                4,516,608 </w:t>
            </w:r>
          </w:p>
        </w:tc>
        <w:tc>
          <w:tcPr>
            <w:tcW w:w="87" w:type="pct"/>
            <w:tcBorders>
              <w:top w:val="nil"/>
              <w:left w:val="nil"/>
              <w:bottom w:val="nil"/>
              <w:right w:val="nil"/>
            </w:tcBorders>
            <w:noWrap/>
            <w:vAlign w:val="bottom"/>
            <w:hideMark/>
          </w:tcPr>
          <w:p w14:paraId="4E58785C" w14:textId="77777777" w:rsidR="00C44869" w:rsidRPr="00D46B6F" w:rsidRDefault="00C44869" w:rsidP="007B3453">
            <w:pPr>
              <w:jc w:val="right"/>
              <w:rPr>
                <w:b/>
                <w:bCs/>
                <w:sz w:val="16"/>
                <w:szCs w:val="16"/>
              </w:rPr>
            </w:pPr>
          </w:p>
        </w:tc>
        <w:tc>
          <w:tcPr>
            <w:tcW w:w="397" w:type="pct"/>
            <w:tcBorders>
              <w:top w:val="nil"/>
              <w:left w:val="nil"/>
              <w:bottom w:val="single" w:sz="4" w:space="0" w:color="auto"/>
              <w:right w:val="nil"/>
            </w:tcBorders>
            <w:noWrap/>
            <w:vAlign w:val="bottom"/>
            <w:hideMark/>
          </w:tcPr>
          <w:p w14:paraId="330E4D3F" w14:textId="77777777" w:rsidR="00C44869" w:rsidRPr="00D46B6F" w:rsidRDefault="00C44869" w:rsidP="007B3453">
            <w:pPr>
              <w:jc w:val="right"/>
              <w:rPr>
                <w:b/>
                <w:bCs/>
                <w:sz w:val="16"/>
                <w:szCs w:val="16"/>
              </w:rPr>
            </w:pPr>
            <w:r w:rsidRPr="00D46B6F">
              <w:rPr>
                <w:b/>
                <w:bCs/>
                <w:sz w:val="16"/>
                <w:szCs w:val="16"/>
              </w:rPr>
              <w:t xml:space="preserve">              19,</w:t>
            </w:r>
            <w:r>
              <w:rPr>
                <w:b/>
                <w:bCs/>
                <w:sz w:val="16"/>
                <w:szCs w:val="16"/>
              </w:rPr>
              <w:t>052</w:t>
            </w:r>
            <w:r w:rsidRPr="00D46B6F">
              <w:rPr>
                <w:b/>
                <w:bCs/>
                <w:sz w:val="16"/>
                <w:szCs w:val="16"/>
              </w:rPr>
              <w:t xml:space="preserve"> </w:t>
            </w:r>
          </w:p>
        </w:tc>
        <w:tc>
          <w:tcPr>
            <w:tcW w:w="87" w:type="pct"/>
            <w:tcBorders>
              <w:top w:val="nil"/>
              <w:left w:val="nil"/>
              <w:bottom w:val="nil"/>
              <w:right w:val="nil"/>
            </w:tcBorders>
            <w:noWrap/>
            <w:vAlign w:val="bottom"/>
            <w:hideMark/>
          </w:tcPr>
          <w:p w14:paraId="46B62BF9" w14:textId="77777777" w:rsidR="00C44869" w:rsidRPr="00D46B6F" w:rsidRDefault="00C44869" w:rsidP="007B3453">
            <w:pPr>
              <w:jc w:val="right"/>
              <w:rPr>
                <w:b/>
                <w:bCs/>
                <w:sz w:val="16"/>
                <w:szCs w:val="16"/>
              </w:rPr>
            </w:pPr>
          </w:p>
        </w:tc>
        <w:tc>
          <w:tcPr>
            <w:tcW w:w="347" w:type="pct"/>
            <w:tcBorders>
              <w:top w:val="single" w:sz="4" w:space="0" w:color="auto"/>
              <w:left w:val="nil"/>
              <w:bottom w:val="single" w:sz="4" w:space="0" w:color="auto"/>
              <w:right w:val="nil"/>
            </w:tcBorders>
            <w:noWrap/>
            <w:vAlign w:val="bottom"/>
            <w:hideMark/>
          </w:tcPr>
          <w:p w14:paraId="55C1D13D"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w:t>
            </w:r>
            <w:r w:rsidRPr="00D46B6F">
              <w:rPr>
                <w:b/>
                <w:bCs/>
                <w:sz w:val="16"/>
                <w:szCs w:val="16"/>
              </w:rPr>
              <w:t xml:space="preserve"> </w:t>
            </w:r>
          </w:p>
        </w:tc>
        <w:tc>
          <w:tcPr>
            <w:tcW w:w="87" w:type="pct"/>
            <w:tcBorders>
              <w:top w:val="nil"/>
              <w:left w:val="nil"/>
              <w:bottom w:val="nil"/>
              <w:right w:val="nil"/>
            </w:tcBorders>
            <w:noWrap/>
            <w:vAlign w:val="bottom"/>
            <w:hideMark/>
          </w:tcPr>
          <w:p w14:paraId="0784EC94" w14:textId="77777777" w:rsidR="00C44869" w:rsidRPr="00D46B6F" w:rsidRDefault="00C44869" w:rsidP="007B3453">
            <w:pPr>
              <w:jc w:val="right"/>
              <w:rPr>
                <w:b/>
                <w:bCs/>
                <w:sz w:val="16"/>
                <w:szCs w:val="16"/>
              </w:rPr>
            </w:pPr>
          </w:p>
        </w:tc>
        <w:tc>
          <w:tcPr>
            <w:tcW w:w="349" w:type="pct"/>
            <w:tcBorders>
              <w:top w:val="single" w:sz="4" w:space="0" w:color="auto"/>
              <w:left w:val="nil"/>
              <w:bottom w:val="single" w:sz="4" w:space="0" w:color="auto"/>
              <w:right w:val="nil"/>
            </w:tcBorders>
            <w:vAlign w:val="bottom"/>
            <w:hideMark/>
          </w:tcPr>
          <w:p w14:paraId="11748DF6" w14:textId="77777777" w:rsidR="00C44869" w:rsidRPr="00D46B6F" w:rsidRDefault="00C44869" w:rsidP="007B3453">
            <w:pPr>
              <w:jc w:val="right"/>
              <w:rPr>
                <w:b/>
                <w:bCs/>
                <w:sz w:val="16"/>
                <w:szCs w:val="16"/>
              </w:rPr>
            </w:pPr>
            <w:r w:rsidRPr="00D46B6F">
              <w:rPr>
                <w:b/>
                <w:bCs/>
                <w:sz w:val="16"/>
                <w:szCs w:val="16"/>
              </w:rPr>
              <w:t xml:space="preserve">                           2</w:t>
            </w:r>
            <w:r>
              <w:rPr>
                <w:b/>
                <w:bCs/>
                <w:sz w:val="16"/>
                <w:szCs w:val="16"/>
              </w:rPr>
              <w:t>03</w:t>
            </w:r>
            <w:r w:rsidRPr="00D46B6F">
              <w:rPr>
                <w:b/>
                <w:bCs/>
                <w:sz w:val="16"/>
                <w:szCs w:val="16"/>
              </w:rPr>
              <w:t>,</w:t>
            </w:r>
            <w:r>
              <w:rPr>
                <w:b/>
                <w:bCs/>
                <w:sz w:val="16"/>
                <w:szCs w:val="16"/>
              </w:rPr>
              <w:t>704</w:t>
            </w:r>
            <w:r w:rsidRPr="00D46B6F">
              <w:rPr>
                <w:b/>
                <w:bCs/>
                <w:sz w:val="16"/>
                <w:szCs w:val="16"/>
              </w:rPr>
              <w:t xml:space="preserve"> </w:t>
            </w:r>
          </w:p>
        </w:tc>
        <w:tc>
          <w:tcPr>
            <w:tcW w:w="87" w:type="pct"/>
            <w:tcBorders>
              <w:top w:val="nil"/>
              <w:left w:val="nil"/>
              <w:bottom w:val="nil"/>
              <w:right w:val="nil"/>
            </w:tcBorders>
            <w:vAlign w:val="bottom"/>
            <w:hideMark/>
          </w:tcPr>
          <w:p w14:paraId="3F76BF94" w14:textId="77777777" w:rsidR="00C44869" w:rsidRPr="00D46B6F" w:rsidRDefault="00C44869" w:rsidP="007B3453">
            <w:pPr>
              <w:jc w:val="right"/>
              <w:rPr>
                <w:b/>
                <w:bCs/>
                <w:sz w:val="16"/>
                <w:szCs w:val="16"/>
              </w:rPr>
            </w:pPr>
          </w:p>
        </w:tc>
        <w:tc>
          <w:tcPr>
            <w:tcW w:w="305" w:type="pct"/>
            <w:tcBorders>
              <w:top w:val="single" w:sz="4" w:space="0" w:color="auto"/>
              <w:left w:val="nil"/>
              <w:bottom w:val="single" w:sz="4" w:space="0" w:color="auto"/>
              <w:right w:val="nil"/>
            </w:tcBorders>
            <w:vAlign w:val="bottom"/>
          </w:tcPr>
          <w:p w14:paraId="49A066DC"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400,116</w:t>
            </w:r>
            <w:r w:rsidRPr="00D46B6F">
              <w:rPr>
                <w:b/>
                <w:bCs/>
                <w:sz w:val="16"/>
                <w:szCs w:val="16"/>
              </w:rPr>
              <w:t xml:space="preserve"> </w:t>
            </w:r>
          </w:p>
        </w:tc>
        <w:tc>
          <w:tcPr>
            <w:tcW w:w="397" w:type="pct"/>
            <w:tcBorders>
              <w:top w:val="single" w:sz="4" w:space="0" w:color="auto"/>
              <w:left w:val="nil"/>
              <w:bottom w:val="single" w:sz="4" w:space="0" w:color="auto"/>
              <w:right w:val="nil"/>
            </w:tcBorders>
            <w:vAlign w:val="bottom"/>
            <w:hideMark/>
          </w:tcPr>
          <w:p w14:paraId="2996D473"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22</w:t>
            </w:r>
            <w:r w:rsidRPr="00D46B6F">
              <w:rPr>
                <w:b/>
                <w:bCs/>
                <w:sz w:val="16"/>
                <w:szCs w:val="16"/>
              </w:rPr>
              <w:t>,</w:t>
            </w:r>
            <w:r>
              <w:rPr>
                <w:b/>
                <w:bCs/>
                <w:sz w:val="16"/>
                <w:szCs w:val="16"/>
              </w:rPr>
              <w:t>277</w:t>
            </w:r>
            <w:r w:rsidRPr="00D46B6F">
              <w:rPr>
                <w:b/>
                <w:bCs/>
                <w:sz w:val="16"/>
                <w:szCs w:val="16"/>
              </w:rPr>
              <w:t>,</w:t>
            </w:r>
            <w:r>
              <w:rPr>
                <w:b/>
                <w:bCs/>
                <w:sz w:val="16"/>
                <w:szCs w:val="16"/>
              </w:rPr>
              <w:t>342</w:t>
            </w:r>
            <w:r w:rsidRPr="00D46B6F">
              <w:rPr>
                <w:b/>
                <w:bCs/>
                <w:sz w:val="16"/>
                <w:szCs w:val="16"/>
              </w:rPr>
              <w:t>)</w:t>
            </w:r>
          </w:p>
        </w:tc>
        <w:tc>
          <w:tcPr>
            <w:tcW w:w="87" w:type="pct"/>
            <w:tcBorders>
              <w:top w:val="nil"/>
              <w:left w:val="nil"/>
              <w:bottom w:val="nil"/>
              <w:right w:val="nil"/>
            </w:tcBorders>
            <w:vAlign w:val="bottom"/>
            <w:hideMark/>
          </w:tcPr>
          <w:p w14:paraId="1A61010B" w14:textId="77777777" w:rsidR="00C44869" w:rsidRPr="00D46B6F" w:rsidRDefault="00C44869" w:rsidP="007B3453">
            <w:pPr>
              <w:jc w:val="right"/>
              <w:rPr>
                <w:b/>
                <w:bCs/>
                <w:sz w:val="16"/>
                <w:szCs w:val="16"/>
              </w:rPr>
            </w:pPr>
          </w:p>
        </w:tc>
        <w:tc>
          <w:tcPr>
            <w:tcW w:w="343" w:type="pct"/>
            <w:tcBorders>
              <w:top w:val="single" w:sz="4" w:space="0" w:color="auto"/>
              <w:left w:val="nil"/>
              <w:bottom w:val="single" w:sz="4" w:space="0" w:color="auto"/>
              <w:right w:val="nil"/>
            </w:tcBorders>
            <w:noWrap/>
            <w:vAlign w:val="bottom"/>
            <w:hideMark/>
          </w:tcPr>
          <w:p w14:paraId="1671BE7E" w14:textId="77777777" w:rsidR="00C44869" w:rsidRPr="00D46B6F" w:rsidRDefault="00C44869" w:rsidP="007B3453">
            <w:pPr>
              <w:jc w:val="right"/>
              <w:rPr>
                <w:b/>
                <w:bCs/>
                <w:sz w:val="16"/>
                <w:szCs w:val="16"/>
              </w:rPr>
            </w:pPr>
            <w:r w:rsidRPr="00D46B6F">
              <w:rPr>
                <w:b/>
                <w:bCs/>
                <w:sz w:val="16"/>
                <w:szCs w:val="16"/>
              </w:rPr>
              <w:t xml:space="preserve">            </w:t>
            </w:r>
            <w:r>
              <w:rPr>
                <w:b/>
                <w:bCs/>
                <w:sz w:val="16"/>
                <w:szCs w:val="16"/>
              </w:rPr>
              <w:t>2,570,877</w:t>
            </w:r>
            <w:r w:rsidRPr="00D46B6F">
              <w:rPr>
                <w:b/>
                <w:bCs/>
                <w:sz w:val="16"/>
                <w:szCs w:val="16"/>
              </w:rPr>
              <w:t xml:space="preserve"> </w:t>
            </w:r>
          </w:p>
        </w:tc>
      </w:tr>
      <w:tr w:rsidR="00C44869" w:rsidRPr="00D46B6F" w14:paraId="1ABFE84D" w14:textId="77777777" w:rsidTr="007B3453">
        <w:trPr>
          <w:trHeight w:val="260"/>
        </w:trPr>
        <w:tc>
          <w:tcPr>
            <w:tcW w:w="1000" w:type="pct"/>
            <w:gridSpan w:val="2"/>
            <w:tcBorders>
              <w:top w:val="nil"/>
              <w:left w:val="nil"/>
              <w:bottom w:val="nil"/>
              <w:right w:val="nil"/>
            </w:tcBorders>
            <w:vAlign w:val="bottom"/>
            <w:hideMark/>
          </w:tcPr>
          <w:p w14:paraId="0189692F" w14:textId="77777777" w:rsidR="00C44869" w:rsidRDefault="00C44869" w:rsidP="007B3453">
            <w:pPr>
              <w:rPr>
                <w:b/>
                <w:bCs/>
                <w:sz w:val="18"/>
                <w:szCs w:val="18"/>
              </w:rPr>
            </w:pPr>
          </w:p>
          <w:p w14:paraId="0F94D9AA" w14:textId="77777777" w:rsidR="00C44869" w:rsidRPr="00D46B6F" w:rsidRDefault="00C44869" w:rsidP="007B3453">
            <w:pPr>
              <w:rPr>
                <w:b/>
                <w:bCs/>
                <w:sz w:val="18"/>
                <w:szCs w:val="18"/>
              </w:rPr>
            </w:pPr>
            <w:r w:rsidRPr="00D46B6F">
              <w:rPr>
                <w:b/>
                <w:bCs/>
                <w:sz w:val="18"/>
                <w:szCs w:val="18"/>
              </w:rPr>
              <w:t>Comprehensive income for the period</w:t>
            </w:r>
          </w:p>
        </w:tc>
        <w:tc>
          <w:tcPr>
            <w:tcW w:w="130" w:type="pct"/>
            <w:tcBorders>
              <w:top w:val="nil"/>
              <w:left w:val="nil"/>
              <w:bottom w:val="nil"/>
              <w:right w:val="nil"/>
            </w:tcBorders>
            <w:vAlign w:val="bottom"/>
            <w:hideMark/>
          </w:tcPr>
          <w:p w14:paraId="5C6EFAF7" w14:textId="77777777" w:rsidR="00C44869" w:rsidRPr="00D46B6F" w:rsidRDefault="00C44869" w:rsidP="007B3453">
            <w:pPr>
              <w:rPr>
                <w:b/>
                <w:bCs/>
                <w:sz w:val="18"/>
                <w:szCs w:val="18"/>
              </w:rPr>
            </w:pPr>
          </w:p>
        </w:tc>
        <w:tc>
          <w:tcPr>
            <w:tcW w:w="375" w:type="pct"/>
            <w:tcBorders>
              <w:top w:val="nil"/>
              <w:left w:val="nil"/>
              <w:bottom w:val="nil"/>
              <w:right w:val="nil"/>
            </w:tcBorders>
            <w:vAlign w:val="bottom"/>
            <w:hideMark/>
          </w:tcPr>
          <w:p w14:paraId="289EC184" w14:textId="77777777" w:rsidR="00C44869" w:rsidRPr="00D46B6F" w:rsidRDefault="00C44869" w:rsidP="007B3453">
            <w:pPr>
              <w:jc w:val="right"/>
              <w:rPr>
                <w:sz w:val="16"/>
                <w:szCs w:val="16"/>
              </w:rPr>
            </w:pPr>
          </w:p>
        </w:tc>
        <w:tc>
          <w:tcPr>
            <w:tcW w:w="93" w:type="pct"/>
            <w:tcBorders>
              <w:top w:val="nil"/>
              <w:left w:val="nil"/>
              <w:bottom w:val="nil"/>
              <w:right w:val="nil"/>
            </w:tcBorders>
            <w:vAlign w:val="bottom"/>
            <w:hideMark/>
          </w:tcPr>
          <w:p w14:paraId="6D72B6C6" w14:textId="77777777" w:rsidR="00C44869" w:rsidRPr="00D46B6F" w:rsidRDefault="00C44869" w:rsidP="007B3453">
            <w:pPr>
              <w:jc w:val="right"/>
              <w:rPr>
                <w:sz w:val="16"/>
                <w:szCs w:val="16"/>
              </w:rPr>
            </w:pPr>
          </w:p>
        </w:tc>
        <w:tc>
          <w:tcPr>
            <w:tcW w:w="389" w:type="pct"/>
            <w:tcBorders>
              <w:top w:val="nil"/>
              <w:left w:val="nil"/>
              <w:bottom w:val="nil"/>
              <w:right w:val="nil"/>
            </w:tcBorders>
            <w:vAlign w:val="bottom"/>
            <w:hideMark/>
          </w:tcPr>
          <w:p w14:paraId="64DAB141"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34CEF709" w14:textId="77777777" w:rsidR="00C44869" w:rsidRPr="00D46B6F" w:rsidRDefault="00C44869" w:rsidP="007B3453">
            <w:pPr>
              <w:jc w:val="right"/>
              <w:rPr>
                <w:sz w:val="16"/>
                <w:szCs w:val="16"/>
              </w:rPr>
            </w:pPr>
          </w:p>
        </w:tc>
        <w:tc>
          <w:tcPr>
            <w:tcW w:w="354" w:type="pct"/>
            <w:tcBorders>
              <w:top w:val="nil"/>
              <w:left w:val="nil"/>
              <w:bottom w:val="nil"/>
              <w:right w:val="nil"/>
            </w:tcBorders>
            <w:noWrap/>
            <w:vAlign w:val="bottom"/>
            <w:hideMark/>
          </w:tcPr>
          <w:p w14:paraId="02E7E7BE"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15B224D7" w14:textId="77777777" w:rsidR="00C44869" w:rsidRPr="00D46B6F" w:rsidRDefault="00C44869" w:rsidP="007B3453">
            <w:pPr>
              <w:jc w:val="right"/>
              <w:rPr>
                <w:sz w:val="16"/>
                <w:szCs w:val="16"/>
              </w:rPr>
            </w:pPr>
          </w:p>
        </w:tc>
        <w:tc>
          <w:tcPr>
            <w:tcW w:w="397" w:type="pct"/>
            <w:tcBorders>
              <w:top w:val="nil"/>
              <w:left w:val="nil"/>
              <w:right w:val="nil"/>
            </w:tcBorders>
            <w:noWrap/>
            <w:vAlign w:val="bottom"/>
            <w:hideMark/>
          </w:tcPr>
          <w:p w14:paraId="6E3C0427"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0F7837EB" w14:textId="77777777" w:rsidR="00C44869" w:rsidRPr="00D46B6F" w:rsidRDefault="00C44869" w:rsidP="007B3453">
            <w:pPr>
              <w:jc w:val="right"/>
              <w:rPr>
                <w:sz w:val="16"/>
                <w:szCs w:val="16"/>
              </w:rPr>
            </w:pPr>
          </w:p>
        </w:tc>
        <w:tc>
          <w:tcPr>
            <w:tcW w:w="347" w:type="pct"/>
            <w:tcBorders>
              <w:top w:val="nil"/>
              <w:left w:val="nil"/>
              <w:bottom w:val="nil"/>
              <w:right w:val="nil"/>
            </w:tcBorders>
            <w:noWrap/>
            <w:vAlign w:val="bottom"/>
            <w:hideMark/>
          </w:tcPr>
          <w:p w14:paraId="1205ED7E"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0874BA51" w14:textId="77777777" w:rsidR="00C44869" w:rsidRPr="00D46B6F" w:rsidRDefault="00C44869" w:rsidP="007B3453">
            <w:pPr>
              <w:jc w:val="right"/>
              <w:rPr>
                <w:sz w:val="16"/>
                <w:szCs w:val="16"/>
              </w:rPr>
            </w:pPr>
          </w:p>
        </w:tc>
        <w:tc>
          <w:tcPr>
            <w:tcW w:w="349" w:type="pct"/>
            <w:tcBorders>
              <w:top w:val="nil"/>
              <w:left w:val="nil"/>
              <w:bottom w:val="nil"/>
              <w:right w:val="nil"/>
            </w:tcBorders>
            <w:vAlign w:val="bottom"/>
            <w:hideMark/>
          </w:tcPr>
          <w:p w14:paraId="011C6A1B" w14:textId="77777777" w:rsidR="00C44869" w:rsidRPr="00D46B6F" w:rsidRDefault="00C44869" w:rsidP="007B3453">
            <w:pPr>
              <w:jc w:val="right"/>
              <w:rPr>
                <w:sz w:val="16"/>
                <w:szCs w:val="16"/>
              </w:rPr>
            </w:pPr>
          </w:p>
        </w:tc>
        <w:tc>
          <w:tcPr>
            <w:tcW w:w="87" w:type="pct"/>
            <w:tcBorders>
              <w:top w:val="nil"/>
              <w:left w:val="nil"/>
              <w:bottom w:val="nil"/>
              <w:right w:val="nil"/>
            </w:tcBorders>
            <w:vAlign w:val="bottom"/>
            <w:hideMark/>
          </w:tcPr>
          <w:p w14:paraId="3A1F3585" w14:textId="77777777" w:rsidR="00C44869" w:rsidRPr="00D46B6F" w:rsidRDefault="00C44869" w:rsidP="007B3453">
            <w:pPr>
              <w:jc w:val="right"/>
              <w:rPr>
                <w:sz w:val="16"/>
                <w:szCs w:val="16"/>
              </w:rPr>
            </w:pPr>
          </w:p>
        </w:tc>
        <w:tc>
          <w:tcPr>
            <w:tcW w:w="305" w:type="pct"/>
            <w:tcBorders>
              <w:top w:val="nil"/>
              <w:left w:val="nil"/>
              <w:bottom w:val="nil"/>
              <w:right w:val="nil"/>
            </w:tcBorders>
          </w:tcPr>
          <w:p w14:paraId="5A55137F" w14:textId="77777777" w:rsidR="00C44869" w:rsidRPr="00D46B6F" w:rsidRDefault="00C44869" w:rsidP="007B3453">
            <w:pPr>
              <w:jc w:val="right"/>
              <w:rPr>
                <w:sz w:val="16"/>
                <w:szCs w:val="16"/>
              </w:rPr>
            </w:pPr>
          </w:p>
        </w:tc>
        <w:tc>
          <w:tcPr>
            <w:tcW w:w="397" w:type="pct"/>
            <w:tcBorders>
              <w:top w:val="nil"/>
              <w:left w:val="nil"/>
              <w:bottom w:val="nil"/>
              <w:right w:val="nil"/>
            </w:tcBorders>
            <w:vAlign w:val="bottom"/>
            <w:hideMark/>
          </w:tcPr>
          <w:p w14:paraId="0CD9CED3" w14:textId="77777777" w:rsidR="00C44869" w:rsidRPr="00D46B6F" w:rsidRDefault="00C44869" w:rsidP="007B3453">
            <w:pPr>
              <w:jc w:val="right"/>
              <w:rPr>
                <w:sz w:val="16"/>
                <w:szCs w:val="16"/>
              </w:rPr>
            </w:pPr>
          </w:p>
        </w:tc>
        <w:tc>
          <w:tcPr>
            <w:tcW w:w="87" w:type="pct"/>
            <w:tcBorders>
              <w:top w:val="nil"/>
              <w:left w:val="nil"/>
              <w:bottom w:val="nil"/>
              <w:right w:val="nil"/>
            </w:tcBorders>
            <w:noWrap/>
            <w:vAlign w:val="bottom"/>
            <w:hideMark/>
          </w:tcPr>
          <w:p w14:paraId="1AE02668" w14:textId="77777777" w:rsidR="00C44869" w:rsidRPr="00D46B6F" w:rsidRDefault="00C44869" w:rsidP="007B3453">
            <w:pPr>
              <w:jc w:val="right"/>
              <w:rPr>
                <w:sz w:val="16"/>
                <w:szCs w:val="16"/>
              </w:rPr>
            </w:pPr>
          </w:p>
        </w:tc>
        <w:tc>
          <w:tcPr>
            <w:tcW w:w="343" w:type="pct"/>
            <w:tcBorders>
              <w:top w:val="nil"/>
              <w:left w:val="nil"/>
              <w:bottom w:val="nil"/>
              <w:right w:val="nil"/>
            </w:tcBorders>
            <w:vAlign w:val="bottom"/>
            <w:hideMark/>
          </w:tcPr>
          <w:p w14:paraId="242E2EA3" w14:textId="77777777" w:rsidR="00C44869" w:rsidRPr="00D46B6F" w:rsidRDefault="00C44869" w:rsidP="007B3453">
            <w:pPr>
              <w:jc w:val="right"/>
              <w:rPr>
                <w:sz w:val="16"/>
                <w:szCs w:val="16"/>
              </w:rPr>
            </w:pPr>
          </w:p>
        </w:tc>
      </w:tr>
      <w:tr w:rsidR="00C44869" w:rsidRPr="00653833" w14:paraId="4EA97C71" w14:textId="77777777" w:rsidTr="007B3453">
        <w:trPr>
          <w:trHeight w:val="240"/>
        </w:trPr>
        <w:tc>
          <w:tcPr>
            <w:tcW w:w="1000" w:type="pct"/>
            <w:gridSpan w:val="2"/>
            <w:tcBorders>
              <w:top w:val="nil"/>
              <w:left w:val="nil"/>
              <w:bottom w:val="nil"/>
              <w:right w:val="nil"/>
            </w:tcBorders>
            <w:noWrap/>
            <w:vAlign w:val="bottom"/>
            <w:hideMark/>
          </w:tcPr>
          <w:p w14:paraId="4F3F9795" w14:textId="77777777" w:rsidR="00C44869" w:rsidRPr="00D46B6F" w:rsidRDefault="00C44869" w:rsidP="007B3453">
            <w:pPr>
              <w:tabs>
                <w:tab w:val="left" w:pos="194"/>
              </w:tabs>
              <w:ind w:firstLineChars="20" w:firstLine="36"/>
              <w:rPr>
                <w:sz w:val="18"/>
                <w:szCs w:val="18"/>
              </w:rPr>
            </w:pPr>
            <w:r w:rsidRPr="00D46B6F">
              <w:rPr>
                <w:sz w:val="18"/>
                <w:szCs w:val="18"/>
              </w:rPr>
              <w:t>Loss for the period</w:t>
            </w:r>
          </w:p>
        </w:tc>
        <w:tc>
          <w:tcPr>
            <w:tcW w:w="130" w:type="pct"/>
            <w:tcBorders>
              <w:top w:val="nil"/>
              <w:left w:val="nil"/>
              <w:bottom w:val="nil"/>
              <w:right w:val="nil"/>
            </w:tcBorders>
            <w:noWrap/>
            <w:vAlign w:val="bottom"/>
            <w:hideMark/>
          </w:tcPr>
          <w:p w14:paraId="55A6FF27" w14:textId="77777777" w:rsidR="00C44869" w:rsidRPr="00D46B6F" w:rsidRDefault="00C44869" w:rsidP="007B3453">
            <w:pPr>
              <w:ind w:firstLineChars="100" w:firstLine="180"/>
              <w:rPr>
                <w:sz w:val="18"/>
                <w:szCs w:val="18"/>
              </w:rPr>
            </w:pPr>
          </w:p>
        </w:tc>
        <w:tc>
          <w:tcPr>
            <w:tcW w:w="375" w:type="pct"/>
            <w:tcBorders>
              <w:top w:val="nil"/>
              <w:left w:val="nil"/>
              <w:bottom w:val="nil"/>
              <w:right w:val="nil"/>
            </w:tcBorders>
            <w:noWrap/>
            <w:vAlign w:val="bottom"/>
            <w:hideMark/>
          </w:tcPr>
          <w:p w14:paraId="029754B6" w14:textId="77777777" w:rsidR="00C44869" w:rsidRPr="006236B7" w:rsidRDefault="00C44869" w:rsidP="007B3453">
            <w:pPr>
              <w:jc w:val="right"/>
              <w:rPr>
                <w:sz w:val="16"/>
                <w:szCs w:val="16"/>
              </w:rPr>
            </w:pPr>
            <w:r w:rsidRPr="006236B7">
              <w:rPr>
                <w:sz w:val="16"/>
                <w:szCs w:val="16"/>
              </w:rPr>
              <w:t xml:space="preserve">                                 - </w:t>
            </w:r>
          </w:p>
        </w:tc>
        <w:tc>
          <w:tcPr>
            <w:tcW w:w="93" w:type="pct"/>
            <w:tcBorders>
              <w:top w:val="nil"/>
              <w:left w:val="nil"/>
              <w:bottom w:val="nil"/>
              <w:right w:val="nil"/>
            </w:tcBorders>
            <w:noWrap/>
            <w:vAlign w:val="bottom"/>
            <w:hideMark/>
          </w:tcPr>
          <w:p w14:paraId="02997FEB" w14:textId="77777777" w:rsidR="00C44869" w:rsidRPr="006236B7" w:rsidRDefault="00C44869" w:rsidP="007B3453">
            <w:pPr>
              <w:jc w:val="right"/>
              <w:rPr>
                <w:b/>
                <w:bCs/>
                <w:sz w:val="16"/>
                <w:szCs w:val="16"/>
              </w:rPr>
            </w:pPr>
            <w:r w:rsidRPr="006236B7">
              <w:rPr>
                <w:b/>
                <w:bCs/>
                <w:sz w:val="16"/>
                <w:szCs w:val="16"/>
              </w:rPr>
              <w:t xml:space="preserve"> . </w:t>
            </w:r>
          </w:p>
        </w:tc>
        <w:tc>
          <w:tcPr>
            <w:tcW w:w="389" w:type="pct"/>
            <w:tcBorders>
              <w:top w:val="nil"/>
              <w:left w:val="nil"/>
              <w:bottom w:val="nil"/>
              <w:right w:val="nil"/>
            </w:tcBorders>
            <w:noWrap/>
            <w:vAlign w:val="bottom"/>
            <w:hideMark/>
          </w:tcPr>
          <w:p w14:paraId="55CD1DE2" w14:textId="77777777" w:rsidR="00C44869" w:rsidRPr="006236B7" w:rsidRDefault="00C44869" w:rsidP="007B3453">
            <w:pPr>
              <w:jc w:val="right"/>
              <w:rPr>
                <w:sz w:val="16"/>
                <w:szCs w:val="16"/>
              </w:rPr>
            </w:pPr>
            <w:r w:rsidRPr="006236B7">
              <w:rPr>
                <w:sz w:val="16"/>
                <w:szCs w:val="16"/>
              </w:rPr>
              <w:t xml:space="preserve">                                      - </w:t>
            </w:r>
          </w:p>
        </w:tc>
        <w:tc>
          <w:tcPr>
            <w:tcW w:w="87" w:type="pct"/>
            <w:tcBorders>
              <w:top w:val="nil"/>
              <w:left w:val="nil"/>
              <w:bottom w:val="nil"/>
              <w:right w:val="nil"/>
            </w:tcBorders>
            <w:noWrap/>
            <w:vAlign w:val="bottom"/>
            <w:hideMark/>
          </w:tcPr>
          <w:p w14:paraId="39004AD4" w14:textId="77777777" w:rsidR="00C44869" w:rsidRPr="006236B7" w:rsidRDefault="00C44869" w:rsidP="007B3453">
            <w:pPr>
              <w:jc w:val="right"/>
              <w:rPr>
                <w:sz w:val="16"/>
                <w:szCs w:val="16"/>
              </w:rPr>
            </w:pPr>
          </w:p>
        </w:tc>
        <w:tc>
          <w:tcPr>
            <w:tcW w:w="354" w:type="pct"/>
            <w:tcBorders>
              <w:top w:val="nil"/>
              <w:left w:val="nil"/>
              <w:bottom w:val="nil"/>
              <w:right w:val="nil"/>
            </w:tcBorders>
            <w:noWrap/>
            <w:vAlign w:val="bottom"/>
            <w:hideMark/>
          </w:tcPr>
          <w:p w14:paraId="5B437025" w14:textId="77777777" w:rsidR="00C44869" w:rsidRPr="006236B7" w:rsidRDefault="00C44869" w:rsidP="007B3453">
            <w:pPr>
              <w:jc w:val="right"/>
              <w:rPr>
                <w:sz w:val="16"/>
                <w:szCs w:val="16"/>
              </w:rPr>
            </w:pPr>
            <w:r w:rsidRPr="006236B7">
              <w:rPr>
                <w:sz w:val="16"/>
                <w:szCs w:val="16"/>
              </w:rPr>
              <w:t xml:space="preserve">                                  - </w:t>
            </w:r>
          </w:p>
        </w:tc>
        <w:tc>
          <w:tcPr>
            <w:tcW w:w="87" w:type="pct"/>
            <w:tcBorders>
              <w:top w:val="nil"/>
              <w:left w:val="nil"/>
              <w:bottom w:val="nil"/>
              <w:right w:val="nil"/>
            </w:tcBorders>
            <w:noWrap/>
            <w:vAlign w:val="bottom"/>
            <w:hideMark/>
          </w:tcPr>
          <w:p w14:paraId="45322012" w14:textId="77777777" w:rsidR="00C44869" w:rsidRPr="00653833" w:rsidRDefault="00C44869" w:rsidP="007B3453">
            <w:pPr>
              <w:jc w:val="right"/>
              <w:rPr>
                <w:sz w:val="16"/>
                <w:szCs w:val="16"/>
              </w:rPr>
            </w:pPr>
          </w:p>
        </w:tc>
        <w:tc>
          <w:tcPr>
            <w:tcW w:w="397" w:type="pct"/>
            <w:tcBorders>
              <w:top w:val="nil"/>
              <w:left w:val="nil"/>
              <w:bottom w:val="nil"/>
              <w:right w:val="nil"/>
            </w:tcBorders>
            <w:noWrap/>
            <w:vAlign w:val="bottom"/>
            <w:hideMark/>
          </w:tcPr>
          <w:p w14:paraId="2F052A35" w14:textId="77777777" w:rsidR="00C44869" w:rsidRPr="00653833" w:rsidRDefault="00C44869" w:rsidP="007B3453">
            <w:pPr>
              <w:jc w:val="right"/>
              <w:rPr>
                <w:sz w:val="16"/>
                <w:szCs w:val="16"/>
              </w:rPr>
            </w:pPr>
            <w:r w:rsidRPr="006236B7">
              <w:rPr>
                <w:sz w:val="16"/>
                <w:szCs w:val="16"/>
              </w:rPr>
              <w:t xml:space="preserve">                                  - </w:t>
            </w:r>
          </w:p>
        </w:tc>
        <w:tc>
          <w:tcPr>
            <w:tcW w:w="87" w:type="pct"/>
            <w:tcBorders>
              <w:top w:val="nil"/>
              <w:left w:val="nil"/>
              <w:bottom w:val="nil"/>
              <w:right w:val="nil"/>
            </w:tcBorders>
            <w:noWrap/>
            <w:vAlign w:val="bottom"/>
            <w:hideMark/>
          </w:tcPr>
          <w:p w14:paraId="7430FAA8" w14:textId="77777777" w:rsidR="00C44869" w:rsidRPr="00653833" w:rsidRDefault="00C44869" w:rsidP="007B3453">
            <w:pPr>
              <w:jc w:val="right"/>
              <w:rPr>
                <w:sz w:val="16"/>
                <w:szCs w:val="16"/>
              </w:rPr>
            </w:pPr>
          </w:p>
        </w:tc>
        <w:tc>
          <w:tcPr>
            <w:tcW w:w="347" w:type="pct"/>
            <w:tcBorders>
              <w:top w:val="nil"/>
              <w:left w:val="nil"/>
              <w:bottom w:val="nil"/>
              <w:right w:val="nil"/>
            </w:tcBorders>
            <w:noWrap/>
            <w:vAlign w:val="bottom"/>
            <w:hideMark/>
          </w:tcPr>
          <w:p w14:paraId="160D0335" w14:textId="77777777" w:rsidR="00C44869" w:rsidRPr="00653833" w:rsidRDefault="00C44869" w:rsidP="007B3453">
            <w:pPr>
              <w:jc w:val="right"/>
              <w:rPr>
                <w:sz w:val="16"/>
                <w:szCs w:val="16"/>
              </w:rPr>
            </w:pPr>
            <w:r w:rsidRPr="00653833">
              <w:rPr>
                <w:sz w:val="16"/>
                <w:szCs w:val="16"/>
              </w:rPr>
              <w:t xml:space="preserve">                                  - </w:t>
            </w:r>
          </w:p>
        </w:tc>
        <w:tc>
          <w:tcPr>
            <w:tcW w:w="87" w:type="pct"/>
            <w:tcBorders>
              <w:top w:val="nil"/>
              <w:left w:val="nil"/>
              <w:bottom w:val="nil"/>
              <w:right w:val="nil"/>
            </w:tcBorders>
            <w:noWrap/>
            <w:vAlign w:val="bottom"/>
            <w:hideMark/>
          </w:tcPr>
          <w:p w14:paraId="0C40CB9E" w14:textId="77777777" w:rsidR="00C44869" w:rsidRPr="00653833" w:rsidRDefault="00C44869" w:rsidP="007B3453">
            <w:pPr>
              <w:jc w:val="right"/>
              <w:rPr>
                <w:sz w:val="16"/>
                <w:szCs w:val="16"/>
              </w:rPr>
            </w:pPr>
          </w:p>
        </w:tc>
        <w:tc>
          <w:tcPr>
            <w:tcW w:w="349" w:type="pct"/>
            <w:tcBorders>
              <w:top w:val="nil"/>
              <w:left w:val="nil"/>
              <w:bottom w:val="nil"/>
              <w:right w:val="nil"/>
            </w:tcBorders>
            <w:noWrap/>
            <w:vAlign w:val="bottom"/>
            <w:hideMark/>
          </w:tcPr>
          <w:p w14:paraId="2CD02B31" w14:textId="77777777" w:rsidR="00C44869" w:rsidRPr="00653833" w:rsidRDefault="00C44869" w:rsidP="007B3453">
            <w:pPr>
              <w:jc w:val="right"/>
              <w:rPr>
                <w:sz w:val="16"/>
                <w:szCs w:val="16"/>
              </w:rPr>
            </w:pPr>
            <w:r w:rsidRPr="00653833">
              <w:rPr>
                <w:sz w:val="16"/>
                <w:szCs w:val="16"/>
              </w:rPr>
              <w:t xml:space="preserve">                                         - </w:t>
            </w:r>
          </w:p>
        </w:tc>
        <w:tc>
          <w:tcPr>
            <w:tcW w:w="87" w:type="pct"/>
            <w:tcBorders>
              <w:top w:val="nil"/>
              <w:left w:val="nil"/>
              <w:bottom w:val="nil"/>
              <w:right w:val="nil"/>
            </w:tcBorders>
            <w:noWrap/>
            <w:vAlign w:val="bottom"/>
            <w:hideMark/>
          </w:tcPr>
          <w:p w14:paraId="4915B285" w14:textId="77777777" w:rsidR="00C44869" w:rsidRPr="00653833" w:rsidRDefault="00C44869" w:rsidP="007B3453">
            <w:pPr>
              <w:jc w:val="right"/>
              <w:rPr>
                <w:sz w:val="16"/>
                <w:szCs w:val="16"/>
              </w:rPr>
            </w:pPr>
          </w:p>
        </w:tc>
        <w:tc>
          <w:tcPr>
            <w:tcW w:w="305" w:type="pct"/>
            <w:tcBorders>
              <w:top w:val="nil"/>
              <w:left w:val="nil"/>
              <w:bottom w:val="nil"/>
              <w:right w:val="nil"/>
            </w:tcBorders>
            <w:vAlign w:val="bottom"/>
          </w:tcPr>
          <w:p w14:paraId="606E693D" w14:textId="77777777" w:rsidR="00C44869" w:rsidRPr="00653833" w:rsidRDefault="00C44869" w:rsidP="007B3453">
            <w:pPr>
              <w:jc w:val="right"/>
              <w:rPr>
                <w:sz w:val="16"/>
                <w:szCs w:val="16"/>
              </w:rPr>
            </w:pPr>
            <w:r w:rsidRPr="006236B7">
              <w:rPr>
                <w:sz w:val="16"/>
                <w:szCs w:val="16"/>
              </w:rPr>
              <w:t xml:space="preserve">                                  - </w:t>
            </w:r>
          </w:p>
        </w:tc>
        <w:tc>
          <w:tcPr>
            <w:tcW w:w="397" w:type="pct"/>
            <w:tcBorders>
              <w:top w:val="nil"/>
              <w:left w:val="nil"/>
              <w:bottom w:val="nil"/>
              <w:right w:val="nil"/>
            </w:tcBorders>
            <w:noWrap/>
            <w:vAlign w:val="bottom"/>
            <w:hideMark/>
          </w:tcPr>
          <w:p w14:paraId="06C82999" w14:textId="77777777" w:rsidR="00C44869" w:rsidRPr="00653833" w:rsidRDefault="00C44869" w:rsidP="007B3453">
            <w:pPr>
              <w:jc w:val="right"/>
              <w:rPr>
                <w:sz w:val="16"/>
                <w:szCs w:val="16"/>
              </w:rPr>
            </w:pPr>
            <w:r w:rsidRPr="00653833">
              <w:rPr>
                <w:sz w:val="16"/>
                <w:szCs w:val="16"/>
              </w:rPr>
              <w:t xml:space="preserve">           (2,575,440)</w:t>
            </w:r>
          </w:p>
        </w:tc>
        <w:tc>
          <w:tcPr>
            <w:tcW w:w="87" w:type="pct"/>
            <w:tcBorders>
              <w:top w:val="nil"/>
              <w:left w:val="nil"/>
              <w:bottom w:val="nil"/>
              <w:right w:val="nil"/>
            </w:tcBorders>
            <w:noWrap/>
            <w:vAlign w:val="bottom"/>
            <w:hideMark/>
          </w:tcPr>
          <w:p w14:paraId="47F07D4A" w14:textId="77777777" w:rsidR="00C44869" w:rsidRPr="00653833" w:rsidRDefault="00C44869" w:rsidP="007B3453">
            <w:pPr>
              <w:jc w:val="right"/>
              <w:rPr>
                <w:sz w:val="16"/>
                <w:szCs w:val="16"/>
              </w:rPr>
            </w:pPr>
          </w:p>
        </w:tc>
        <w:tc>
          <w:tcPr>
            <w:tcW w:w="343" w:type="pct"/>
            <w:tcBorders>
              <w:top w:val="nil"/>
              <w:left w:val="nil"/>
              <w:bottom w:val="nil"/>
              <w:right w:val="nil"/>
            </w:tcBorders>
            <w:vAlign w:val="bottom"/>
            <w:hideMark/>
          </w:tcPr>
          <w:p w14:paraId="70036E40" w14:textId="77777777" w:rsidR="00C44869" w:rsidRPr="00653833" w:rsidRDefault="00C44869" w:rsidP="007B3453">
            <w:pPr>
              <w:jc w:val="right"/>
              <w:rPr>
                <w:sz w:val="16"/>
                <w:szCs w:val="16"/>
              </w:rPr>
            </w:pPr>
            <w:r w:rsidRPr="00653833">
              <w:rPr>
                <w:sz w:val="16"/>
                <w:szCs w:val="16"/>
              </w:rPr>
              <w:t xml:space="preserve">           (2,575,440)</w:t>
            </w:r>
          </w:p>
        </w:tc>
      </w:tr>
      <w:tr w:rsidR="00C44869" w:rsidRPr="00653833" w14:paraId="2DCBDFCE" w14:textId="77777777" w:rsidTr="007B3453">
        <w:trPr>
          <w:trHeight w:val="240"/>
        </w:trPr>
        <w:tc>
          <w:tcPr>
            <w:tcW w:w="1000" w:type="pct"/>
            <w:gridSpan w:val="2"/>
            <w:tcBorders>
              <w:top w:val="nil"/>
              <w:left w:val="nil"/>
              <w:bottom w:val="nil"/>
              <w:right w:val="nil"/>
            </w:tcBorders>
            <w:noWrap/>
            <w:vAlign w:val="bottom"/>
            <w:hideMark/>
          </w:tcPr>
          <w:p w14:paraId="5717EA2B" w14:textId="77777777" w:rsidR="00C44869" w:rsidRPr="00D46B6F" w:rsidRDefault="00C44869" w:rsidP="007B3453">
            <w:pPr>
              <w:tabs>
                <w:tab w:val="left" w:pos="194"/>
              </w:tabs>
              <w:ind w:firstLineChars="20" w:firstLine="36"/>
              <w:rPr>
                <w:sz w:val="18"/>
                <w:szCs w:val="18"/>
              </w:rPr>
            </w:pPr>
          </w:p>
        </w:tc>
        <w:tc>
          <w:tcPr>
            <w:tcW w:w="130" w:type="pct"/>
            <w:tcBorders>
              <w:top w:val="nil"/>
              <w:left w:val="nil"/>
              <w:bottom w:val="nil"/>
              <w:right w:val="nil"/>
            </w:tcBorders>
            <w:noWrap/>
            <w:vAlign w:val="bottom"/>
            <w:hideMark/>
          </w:tcPr>
          <w:p w14:paraId="4B7F5BC5" w14:textId="77777777" w:rsidR="00C44869" w:rsidRPr="00D46B6F" w:rsidRDefault="00C44869" w:rsidP="007B3453">
            <w:pPr>
              <w:ind w:firstLineChars="100" w:firstLine="180"/>
              <w:rPr>
                <w:sz w:val="18"/>
                <w:szCs w:val="18"/>
              </w:rPr>
            </w:pPr>
          </w:p>
        </w:tc>
        <w:tc>
          <w:tcPr>
            <w:tcW w:w="375" w:type="pct"/>
            <w:tcBorders>
              <w:top w:val="nil"/>
              <w:left w:val="nil"/>
              <w:bottom w:val="nil"/>
              <w:right w:val="nil"/>
            </w:tcBorders>
            <w:noWrap/>
            <w:vAlign w:val="bottom"/>
            <w:hideMark/>
          </w:tcPr>
          <w:p w14:paraId="6FF080D6" w14:textId="77777777" w:rsidR="00C44869" w:rsidRPr="006236B7" w:rsidRDefault="00C44869" w:rsidP="007B3453">
            <w:pPr>
              <w:jc w:val="right"/>
              <w:rPr>
                <w:sz w:val="16"/>
                <w:szCs w:val="16"/>
              </w:rPr>
            </w:pPr>
          </w:p>
        </w:tc>
        <w:tc>
          <w:tcPr>
            <w:tcW w:w="93" w:type="pct"/>
            <w:tcBorders>
              <w:top w:val="nil"/>
              <w:left w:val="nil"/>
              <w:bottom w:val="nil"/>
              <w:right w:val="nil"/>
            </w:tcBorders>
            <w:noWrap/>
            <w:vAlign w:val="bottom"/>
            <w:hideMark/>
          </w:tcPr>
          <w:p w14:paraId="788B7DA3" w14:textId="77777777" w:rsidR="00C44869" w:rsidRPr="006236B7" w:rsidRDefault="00C44869" w:rsidP="007B3453">
            <w:pPr>
              <w:jc w:val="right"/>
              <w:rPr>
                <w:sz w:val="16"/>
                <w:szCs w:val="16"/>
              </w:rPr>
            </w:pPr>
          </w:p>
        </w:tc>
        <w:tc>
          <w:tcPr>
            <w:tcW w:w="389" w:type="pct"/>
            <w:tcBorders>
              <w:top w:val="nil"/>
              <w:left w:val="nil"/>
              <w:bottom w:val="nil"/>
              <w:right w:val="nil"/>
            </w:tcBorders>
            <w:noWrap/>
            <w:vAlign w:val="bottom"/>
            <w:hideMark/>
          </w:tcPr>
          <w:p w14:paraId="1A5FC5A3" w14:textId="77777777" w:rsidR="00C44869" w:rsidRPr="006236B7" w:rsidRDefault="00C44869" w:rsidP="007B3453">
            <w:pPr>
              <w:jc w:val="right"/>
              <w:rPr>
                <w:sz w:val="16"/>
                <w:szCs w:val="16"/>
              </w:rPr>
            </w:pPr>
          </w:p>
        </w:tc>
        <w:tc>
          <w:tcPr>
            <w:tcW w:w="87" w:type="pct"/>
            <w:tcBorders>
              <w:top w:val="nil"/>
              <w:left w:val="nil"/>
              <w:bottom w:val="nil"/>
              <w:right w:val="nil"/>
            </w:tcBorders>
            <w:noWrap/>
            <w:vAlign w:val="bottom"/>
            <w:hideMark/>
          </w:tcPr>
          <w:p w14:paraId="672DB596" w14:textId="77777777" w:rsidR="00C44869" w:rsidRPr="006236B7" w:rsidRDefault="00C44869" w:rsidP="007B3453">
            <w:pPr>
              <w:jc w:val="right"/>
              <w:rPr>
                <w:sz w:val="16"/>
                <w:szCs w:val="16"/>
              </w:rPr>
            </w:pPr>
          </w:p>
        </w:tc>
        <w:tc>
          <w:tcPr>
            <w:tcW w:w="354" w:type="pct"/>
            <w:tcBorders>
              <w:top w:val="nil"/>
              <w:left w:val="nil"/>
              <w:bottom w:val="nil"/>
              <w:right w:val="nil"/>
            </w:tcBorders>
            <w:noWrap/>
            <w:vAlign w:val="bottom"/>
            <w:hideMark/>
          </w:tcPr>
          <w:p w14:paraId="5F9C1E3F" w14:textId="77777777" w:rsidR="00C44869" w:rsidRPr="006236B7" w:rsidRDefault="00C44869" w:rsidP="007B3453">
            <w:pPr>
              <w:jc w:val="right"/>
              <w:rPr>
                <w:sz w:val="16"/>
                <w:szCs w:val="16"/>
              </w:rPr>
            </w:pPr>
          </w:p>
        </w:tc>
        <w:tc>
          <w:tcPr>
            <w:tcW w:w="87" w:type="pct"/>
            <w:tcBorders>
              <w:top w:val="nil"/>
              <w:left w:val="nil"/>
              <w:bottom w:val="nil"/>
              <w:right w:val="nil"/>
            </w:tcBorders>
            <w:noWrap/>
            <w:vAlign w:val="bottom"/>
            <w:hideMark/>
          </w:tcPr>
          <w:p w14:paraId="0341402A" w14:textId="77777777" w:rsidR="00C44869" w:rsidRPr="00653833" w:rsidRDefault="00C44869" w:rsidP="007B3453">
            <w:pPr>
              <w:jc w:val="right"/>
              <w:rPr>
                <w:sz w:val="16"/>
                <w:szCs w:val="16"/>
              </w:rPr>
            </w:pPr>
          </w:p>
        </w:tc>
        <w:tc>
          <w:tcPr>
            <w:tcW w:w="397" w:type="pct"/>
            <w:tcBorders>
              <w:top w:val="nil"/>
              <w:left w:val="nil"/>
              <w:bottom w:val="nil"/>
              <w:right w:val="nil"/>
            </w:tcBorders>
            <w:noWrap/>
            <w:vAlign w:val="bottom"/>
            <w:hideMark/>
          </w:tcPr>
          <w:p w14:paraId="79474699" w14:textId="77777777" w:rsidR="00C44869" w:rsidRPr="00653833" w:rsidRDefault="00C44869" w:rsidP="007B3453">
            <w:pPr>
              <w:jc w:val="right"/>
              <w:rPr>
                <w:sz w:val="16"/>
                <w:szCs w:val="16"/>
              </w:rPr>
            </w:pPr>
          </w:p>
        </w:tc>
        <w:tc>
          <w:tcPr>
            <w:tcW w:w="87" w:type="pct"/>
            <w:tcBorders>
              <w:top w:val="nil"/>
              <w:left w:val="nil"/>
              <w:bottom w:val="nil"/>
              <w:right w:val="nil"/>
            </w:tcBorders>
            <w:noWrap/>
            <w:vAlign w:val="bottom"/>
            <w:hideMark/>
          </w:tcPr>
          <w:p w14:paraId="3E6C5664" w14:textId="77777777" w:rsidR="00C44869" w:rsidRPr="00653833" w:rsidRDefault="00C44869" w:rsidP="007B3453">
            <w:pPr>
              <w:jc w:val="right"/>
              <w:rPr>
                <w:sz w:val="16"/>
                <w:szCs w:val="16"/>
              </w:rPr>
            </w:pPr>
          </w:p>
        </w:tc>
        <w:tc>
          <w:tcPr>
            <w:tcW w:w="347" w:type="pct"/>
            <w:tcBorders>
              <w:top w:val="nil"/>
              <w:left w:val="nil"/>
              <w:bottom w:val="nil"/>
              <w:right w:val="nil"/>
            </w:tcBorders>
            <w:noWrap/>
            <w:vAlign w:val="bottom"/>
            <w:hideMark/>
          </w:tcPr>
          <w:p w14:paraId="5D3B2001" w14:textId="77777777" w:rsidR="00C44869" w:rsidRPr="00653833" w:rsidRDefault="00C44869" w:rsidP="007B3453">
            <w:pPr>
              <w:jc w:val="right"/>
              <w:rPr>
                <w:sz w:val="16"/>
                <w:szCs w:val="16"/>
              </w:rPr>
            </w:pPr>
          </w:p>
        </w:tc>
        <w:tc>
          <w:tcPr>
            <w:tcW w:w="87" w:type="pct"/>
            <w:tcBorders>
              <w:top w:val="nil"/>
              <w:left w:val="nil"/>
              <w:bottom w:val="nil"/>
              <w:right w:val="nil"/>
            </w:tcBorders>
            <w:noWrap/>
            <w:vAlign w:val="bottom"/>
            <w:hideMark/>
          </w:tcPr>
          <w:p w14:paraId="4047B2DC" w14:textId="77777777" w:rsidR="00C44869" w:rsidRPr="00653833" w:rsidRDefault="00C44869" w:rsidP="007B3453">
            <w:pPr>
              <w:jc w:val="right"/>
              <w:rPr>
                <w:sz w:val="16"/>
                <w:szCs w:val="16"/>
              </w:rPr>
            </w:pPr>
          </w:p>
        </w:tc>
        <w:tc>
          <w:tcPr>
            <w:tcW w:w="349" w:type="pct"/>
            <w:tcBorders>
              <w:top w:val="nil"/>
              <w:left w:val="nil"/>
              <w:bottom w:val="nil"/>
              <w:right w:val="nil"/>
            </w:tcBorders>
            <w:noWrap/>
            <w:vAlign w:val="bottom"/>
            <w:hideMark/>
          </w:tcPr>
          <w:p w14:paraId="19A57C5D" w14:textId="77777777" w:rsidR="00C44869" w:rsidRPr="00653833" w:rsidRDefault="00C44869" w:rsidP="007B3453">
            <w:pPr>
              <w:jc w:val="right"/>
              <w:rPr>
                <w:sz w:val="16"/>
                <w:szCs w:val="16"/>
              </w:rPr>
            </w:pPr>
          </w:p>
        </w:tc>
        <w:tc>
          <w:tcPr>
            <w:tcW w:w="87" w:type="pct"/>
            <w:tcBorders>
              <w:top w:val="nil"/>
              <w:left w:val="nil"/>
              <w:bottom w:val="nil"/>
              <w:right w:val="nil"/>
            </w:tcBorders>
            <w:noWrap/>
            <w:vAlign w:val="bottom"/>
            <w:hideMark/>
          </w:tcPr>
          <w:p w14:paraId="7CA0B879" w14:textId="77777777" w:rsidR="00C44869" w:rsidRPr="00653833" w:rsidRDefault="00C44869" w:rsidP="007B3453">
            <w:pPr>
              <w:jc w:val="right"/>
              <w:rPr>
                <w:sz w:val="16"/>
                <w:szCs w:val="16"/>
              </w:rPr>
            </w:pPr>
          </w:p>
        </w:tc>
        <w:tc>
          <w:tcPr>
            <w:tcW w:w="305" w:type="pct"/>
            <w:tcBorders>
              <w:top w:val="nil"/>
              <w:left w:val="nil"/>
              <w:bottom w:val="nil"/>
              <w:right w:val="nil"/>
            </w:tcBorders>
            <w:vAlign w:val="bottom"/>
          </w:tcPr>
          <w:p w14:paraId="3CD1FF1B" w14:textId="77777777" w:rsidR="00C44869" w:rsidRPr="00653833" w:rsidRDefault="00C44869" w:rsidP="007B3453">
            <w:pPr>
              <w:jc w:val="right"/>
              <w:rPr>
                <w:sz w:val="16"/>
                <w:szCs w:val="16"/>
              </w:rPr>
            </w:pPr>
          </w:p>
        </w:tc>
        <w:tc>
          <w:tcPr>
            <w:tcW w:w="397" w:type="pct"/>
            <w:tcBorders>
              <w:top w:val="nil"/>
              <w:left w:val="nil"/>
              <w:bottom w:val="nil"/>
              <w:right w:val="nil"/>
            </w:tcBorders>
            <w:noWrap/>
            <w:vAlign w:val="bottom"/>
            <w:hideMark/>
          </w:tcPr>
          <w:p w14:paraId="5F34801B" w14:textId="77777777" w:rsidR="00C44869" w:rsidRPr="00653833" w:rsidRDefault="00C44869" w:rsidP="007B3453">
            <w:pPr>
              <w:jc w:val="right"/>
              <w:rPr>
                <w:sz w:val="16"/>
                <w:szCs w:val="16"/>
              </w:rPr>
            </w:pPr>
          </w:p>
        </w:tc>
        <w:tc>
          <w:tcPr>
            <w:tcW w:w="87" w:type="pct"/>
            <w:tcBorders>
              <w:top w:val="nil"/>
              <w:left w:val="nil"/>
              <w:bottom w:val="nil"/>
              <w:right w:val="nil"/>
            </w:tcBorders>
            <w:noWrap/>
            <w:vAlign w:val="bottom"/>
            <w:hideMark/>
          </w:tcPr>
          <w:p w14:paraId="7C2368B7" w14:textId="77777777" w:rsidR="00C44869" w:rsidRPr="00653833" w:rsidRDefault="00C44869" w:rsidP="007B3453">
            <w:pPr>
              <w:jc w:val="right"/>
              <w:rPr>
                <w:sz w:val="16"/>
                <w:szCs w:val="16"/>
              </w:rPr>
            </w:pPr>
          </w:p>
        </w:tc>
        <w:tc>
          <w:tcPr>
            <w:tcW w:w="343" w:type="pct"/>
            <w:tcBorders>
              <w:top w:val="nil"/>
              <w:left w:val="nil"/>
              <w:bottom w:val="nil"/>
              <w:right w:val="nil"/>
            </w:tcBorders>
            <w:vAlign w:val="bottom"/>
            <w:hideMark/>
          </w:tcPr>
          <w:p w14:paraId="75753DAC" w14:textId="77777777" w:rsidR="00C44869" w:rsidRPr="00653833" w:rsidRDefault="00C44869" w:rsidP="007B3453">
            <w:pPr>
              <w:jc w:val="right"/>
              <w:rPr>
                <w:sz w:val="16"/>
                <w:szCs w:val="16"/>
              </w:rPr>
            </w:pPr>
          </w:p>
        </w:tc>
      </w:tr>
      <w:tr w:rsidR="00C44869" w:rsidRPr="00653833" w14:paraId="05E86617" w14:textId="77777777" w:rsidTr="007B3453">
        <w:trPr>
          <w:trHeight w:val="540"/>
        </w:trPr>
        <w:tc>
          <w:tcPr>
            <w:tcW w:w="1000" w:type="pct"/>
            <w:gridSpan w:val="2"/>
            <w:tcBorders>
              <w:top w:val="nil"/>
              <w:left w:val="nil"/>
              <w:bottom w:val="nil"/>
              <w:right w:val="nil"/>
            </w:tcBorders>
            <w:vAlign w:val="bottom"/>
            <w:hideMark/>
          </w:tcPr>
          <w:p w14:paraId="0155A01B" w14:textId="77777777" w:rsidR="00C44869" w:rsidRPr="00D46B6F" w:rsidRDefault="00C44869" w:rsidP="007B3453">
            <w:pPr>
              <w:rPr>
                <w:sz w:val="18"/>
                <w:szCs w:val="18"/>
              </w:rPr>
            </w:pPr>
            <w:r w:rsidRPr="00D46B6F">
              <w:rPr>
                <w:sz w:val="18"/>
                <w:szCs w:val="18"/>
              </w:rPr>
              <w:t>Total comprehensive loss for the period attributable to the equity holders</w:t>
            </w:r>
          </w:p>
        </w:tc>
        <w:tc>
          <w:tcPr>
            <w:tcW w:w="130" w:type="pct"/>
            <w:tcBorders>
              <w:top w:val="nil"/>
              <w:left w:val="nil"/>
              <w:bottom w:val="nil"/>
              <w:right w:val="nil"/>
            </w:tcBorders>
            <w:shd w:val="clear" w:color="000000" w:fill="FFFFFF"/>
            <w:noWrap/>
            <w:vAlign w:val="bottom"/>
            <w:hideMark/>
          </w:tcPr>
          <w:p w14:paraId="4CEBDD1C" w14:textId="77777777" w:rsidR="00C44869" w:rsidRPr="00D46B6F" w:rsidRDefault="00C44869" w:rsidP="007B3453">
            <w:pPr>
              <w:ind w:firstLineChars="100" w:firstLine="180"/>
              <w:rPr>
                <w:sz w:val="18"/>
                <w:szCs w:val="18"/>
              </w:rPr>
            </w:pPr>
            <w:r w:rsidRPr="00D46B6F">
              <w:rPr>
                <w:sz w:val="18"/>
                <w:szCs w:val="18"/>
              </w:rPr>
              <w:t> </w:t>
            </w:r>
          </w:p>
        </w:tc>
        <w:tc>
          <w:tcPr>
            <w:tcW w:w="375" w:type="pct"/>
            <w:tcBorders>
              <w:top w:val="single" w:sz="4" w:space="0" w:color="auto"/>
              <w:left w:val="nil"/>
              <w:bottom w:val="nil"/>
              <w:right w:val="nil"/>
            </w:tcBorders>
            <w:noWrap/>
            <w:vAlign w:val="bottom"/>
            <w:hideMark/>
          </w:tcPr>
          <w:p w14:paraId="0F8E68F2" w14:textId="77777777" w:rsidR="00C44869" w:rsidRPr="006236B7" w:rsidRDefault="00C44869" w:rsidP="007B3453">
            <w:pPr>
              <w:jc w:val="right"/>
              <w:rPr>
                <w:sz w:val="16"/>
                <w:szCs w:val="16"/>
              </w:rPr>
            </w:pPr>
            <w:r w:rsidRPr="006236B7">
              <w:rPr>
                <w:sz w:val="16"/>
                <w:szCs w:val="16"/>
              </w:rPr>
              <w:t xml:space="preserve">                                 - </w:t>
            </w:r>
          </w:p>
        </w:tc>
        <w:tc>
          <w:tcPr>
            <w:tcW w:w="93" w:type="pct"/>
            <w:tcBorders>
              <w:top w:val="nil"/>
              <w:left w:val="nil"/>
              <w:bottom w:val="nil"/>
              <w:right w:val="nil"/>
            </w:tcBorders>
            <w:noWrap/>
            <w:vAlign w:val="bottom"/>
            <w:hideMark/>
          </w:tcPr>
          <w:p w14:paraId="655CCED3" w14:textId="77777777" w:rsidR="00C44869" w:rsidRPr="006236B7" w:rsidRDefault="00C44869" w:rsidP="007B3453">
            <w:pPr>
              <w:jc w:val="right"/>
              <w:rPr>
                <w:sz w:val="16"/>
                <w:szCs w:val="16"/>
              </w:rPr>
            </w:pPr>
          </w:p>
        </w:tc>
        <w:tc>
          <w:tcPr>
            <w:tcW w:w="389" w:type="pct"/>
            <w:tcBorders>
              <w:top w:val="single" w:sz="4" w:space="0" w:color="auto"/>
              <w:left w:val="nil"/>
              <w:bottom w:val="nil"/>
              <w:right w:val="nil"/>
            </w:tcBorders>
            <w:noWrap/>
            <w:vAlign w:val="bottom"/>
            <w:hideMark/>
          </w:tcPr>
          <w:p w14:paraId="3477565C" w14:textId="77777777" w:rsidR="00C44869" w:rsidRPr="006236B7" w:rsidRDefault="00C44869" w:rsidP="007B3453">
            <w:pPr>
              <w:jc w:val="right"/>
              <w:rPr>
                <w:sz w:val="16"/>
                <w:szCs w:val="16"/>
              </w:rPr>
            </w:pPr>
            <w:r w:rsidRPr="006236B7">
              <w:rPr>
                <w:sz w:val="16"/>
                <w:szCs w:val="16"/>
              </w:rPr>
              <w:t xml:space="preserve">                                      - </w:t>
            </w:r>
          </w:p>
        </w:tc>
        <w:tc>
          <w:tcPr>
            <w:tcW w:w="87" w:type="pct"/>
            <w:tcBorders>
              <w:top w:val="nil"/>
              <w:left w:val="nil"/>
              <w:bottom w:val="nil"/>
              <w:right w:val="nil"/>
            </w:tcBorders>
            <w:noWrap/>
            <w:vAlign w:val="bottom"/>
            <w:hideMark/>
          </w:tcPr>
          <w:p w14:paraId="6138DBDD" w14:textId="77777777" w:rsidR="00C44869" w:rsidRPr="006236B7" w:rsidRDefault="00C44869" w:rsidP="007B3453">
            <w:pPr>
              <w:jc w:val="right"/>
              <w:rPr>
                <w:sz w:val="16"/>
                <w:szCs w:val="16"/>
              </w:rPr>
            </w:pPr>
          </w:p>
        </w:tc>
        <w:tc>
          <w:tcPr>
            <w:tcW w:w="354" w:type="pct"/>
            <w:tcBorders>
              <w:top w:val="single" w:sz="4" w:space="0" w:color="auto"/>
              <w:left w:val="nil"/>
              <w:bottom w:val="nil"/>
              <w:right w:val="nil"/>
            </w:tcBorders>
            <w:noWrap/>
            <w:vAlign w:val="bottom"/>
            <w:hideMark/>
          </w:tcPr>
          <w:p w14:paraId="5D57A252" w14:textId="77777777" w:rsidR="00C44869" w:rsidRPr="006236B7" w:rsidRDefault="00C44869" w:rsidP="007B3453">
            <w:pPr>
              <w:jc w:val="right"/>
              <w:rPr>
                <w:sz w:val="16"/>
                <w:szCs w:val="16"/>
              </w:rPr>
            </w:pPr>
            <w:r w:rsidRPr="006236B7">
              <w:rPr>
                <w:sz w:val="16"/>
                <w:szCs w:val="16"/>
              </w:rPr>
              <w:t xml:space="preserve">                                  - </w:t>
            </w:r>
          </w:p>
        </w:tc>
        <w:tc>
          <w:tcPr>
            <w:tcW w:w="87" w:type="pct"/>
            <w:tcBorders>
              <w:top w:val="nil"/>
              <w:left w:val="nil"/>
              <w:bottom w:val="nil"/>
              <w:right w:val="nil"/>
            </w:tcBorders>
            <w:noWrap/>
            <w:vAlign w:val="bottom"/>
            <w:hideMark/>
          </w:tcPr>
          <w:p w14:paraId="05FB195B" w14:textId="77777777" w:rsidR="00C44869" w:rsidRPr="00653833" w:rsidRDefault="00C44869" w:rsidP="007B3453">
            <w:pPr>
              <w:jc w:val="right"/>
              <w:rPr>
                <w:sz w:val="16"/>
                <w:szCs w:val="16"/>
              </w:rPr>
            </w:pPr>
          </w:p>
        </w:tc>
        <w:tc>
          <w:tcPr>
            <w:tcW w:w="397" w:type="pct"/>
            <w:tcBorders>
              <w:top w:val="single" w:sz="4" w:space="0" w:color="auto"/>
              <w:left w:val="nil"/>
              <w:bottom w:val="nil"/>
              <w:right w:val="nil"/>
            </w:tcBorders>
            <w:noWrap/>
            <w:vAlign w:val="bottom"/>
            <w:hideMark/>
          </w:tcPr>
          <w:p w14:paraId="0D086B50" w14:textId="77777777" w:rsidR="00C44869" w:rsidRPr="00653833" w:rsidRDefault="00C44869" w:rsidP="007B3453">
            <w:pPr>
              <w:jc w:val="right"/>
              <w:rPr>
                <w:sz w:val="16"/>
                <w:szCs w:val="16"/>
              </w:rPr>
            </w:pPr>
            <w:r w:rsidRPr="006236B7">
              <w:rPr>
                <w:sz w:val="16"/>
                <w:szCs w:val="16"/>
              </w:rPr>
              <w:t xml:space="preserve">                                  - </w:t>
            </w:r>
          </w:p>
        </w:tc>
        <w:tc>
          <w:tcPr>
            <w:tcW w:w="87" w:type="pct"/>
            <w:tcBorders>
              <w:top w:val="nil"/>
              <w:left w:val="nil"/>
              <w:bottom w:val="nil"/>
              <w:right w:val="nil"/>
            </w:tcBorders>
            <w:noWrap/>
            <w:vAlign w:val="bottom"/>
            <w:hideMark/>
          </w:tcPr>
          <w:p w14:paraId="170998D5" w14:textId="77777777" w:rsidR="00C44869" w:rsidRPr="00653833" w:rsidRDefault="00C44869" w:rsidP="007B3453">
            <w:pPr>
              <w:jc w:val="right"/>
              <w:rPr>
                <w:sz w:val="16"/>
                <w:szCs w:val="16"/>
              </w:rPr>
            </w:pPr>
          </w:p>
        </w:tc>
        <w:tc>
          <w:tcPr>
            <w:tcW w:w="347" w:type="pct"/>
            <w:tcBorders>
              <w:top w:val="single" w:sz="4" w:space="0" w:color="auto"/>
              <w:left w:val="nil"/>
              <w:bottom w:val="nil"/>
              <w:right w:val="nil"/>
            </w:tcBorders>
            <w:noWrap/>
            <w:vAlign w:val="bottom"/>
            <w:hideMark/>
          </w:tcPr>
          <w:p w14:paraId="6638E2C4" w14:textId="77777777" w:rsidR="00C44869" w:rsidRPr="00653833" w:rsidRDefault="00C44869" w:rsidP="007B3453">
            <w:pPr>
              <w:jc w:val="right"/>
              <w:rPr>
                <w:sz w:val="16"/>
                <w:szCs w:val="16"/>
              </w:rPr>
            </w:pPr>
            <w:r w:rsidRPr="00653833">
              <w:rPr>
                <w:sz w:val="16"/>
                <w:szCs w:val="16"/>
              </w:rPr>
              <w:t xml:space="preserve">                                  - </w:t>
            </w:r>
          </w:p>
        </w:tc>
        <w:tc>
          <w:tcPr>
            <w:tcW w:w="87" w:type="pct"/>
            <w:tcBorders>
              <w:top w:val="nil"/>
              <w:left w:val="nil"/>
              <w:bottom w:val="nil"/>
              <w:right w:val="nil"/>
            </w:tcBorders>
            <w:noWrap/>
            <w:vAlign w:val="bottom"/>
            <w:hideMark/>
          </w:tcPr>
          <w:p w14:paraId="2F606CAB" w14:textId="77777777" w:rsidR="00C44869" w:rsidRPr="00653833" w:rsidRDefault="00C44869" w:rsidP="007B3453">
            <w:pPr>
              <w:jc w:val="right"/>
              <w:rPr>
                <w:sz w:val="16"/>
                <w:szCs w:val="16"/>
              </w:rPr>
            </w:pPr>
          </w:p>
        </w:tc>
        <w:tc>
          <w:tcPr>
            <w:tcW w:w="349" w:type="pct"/>
            <w:tcBorders>
              <w:top w:val="single" w:sz="4" w:space="0" w:color="auto"/>
              <w:left w:val="nil"/>
              <w:bottom w:val="nil"/>
              <w:right w:val="nil"/>
            </w:tcBorders>
            <w:noWrap/>
            <w:vAlign w:val="bottom"/>
            <w:hideMark/>
          </w:tcPr>
          <w:p w14:paraId="2135B271" w14:textId="77777777" w:rsidR="00C44869" w:rsidRPr="00653833" w:rsidRDefault="00C44869" w:rsidP="007B3453">
            <w:pPr>
              <w:jc w:val="right"/>
              <w:rPr>
                <w:sz w:val="16"/>
                <w:szCs w:val="16"/>
              </w:rPr>
            </w:pPr>
            <w:r w:rsidRPr="00653833">
              <w:rPr>
                <w:sz w:val="16"/>
                <w:szCs w:val="16"/>
              </w:rPr>
              <w:t xml:space="preserve">                             - </w:t>
            </w:r>
          </w:p>
        </w:tc>
        <w:tc>
          <w:tcPr>
            <w:tcW w:w="87" w:type="pct"/>
            <w:tcBorders>
              <w:top w:val="nil"/>
              <w:left w:val="nil"/>
              <w:bottom w:val="nil"/>
              <w:right w:val="nil"/>
            </w:tcBorders>
            <w:noWrap/>
            <w:vAlign w:val="bottom"/>
            <w:hideMark/>
          </w:tcPr>
          <w:p w14:paraId="240B561F" w14:textId="77777777" w:rsidR="00C44869" w:rsidRPr="00653833" w:rsidRDefault="00C44869" w:rsidP="007B3453">
            <w:pPr>
              <w:jc w:val="right"/>
              <w:rPr>
                <w:sz w:val="16"/>
                <w:szCs w:val="16"/>
              </w:rPr>
            </w:pPr>
          </w:p>
        </w:tc>
        <w:tc>
          <w:tcPr>
            <w:tcW w:w="305" w:type="pct"/>
            <w:tcBorders>
              <w:top w:val="single" w:sz="4" w:space="0" w:color="auto"/>
              <w:left w:val="nil"/>
              <w:bottom w:val="nil"/>
              <w:right w:val="nil"/>
            </w:tcBorders>
            <w:vAlign w:val="bottom"/>
          </w:tcPr>
          <w:p w14:paraId="61F39829" w14:textId="77777777" w:rsidR="00C44869" w:rsidRPr="00653833" w:rsidRDefault="00C44869" w:rsidP="007B3453">
            <w:pPr>
              <w:jc w:val="right"/>
              <w:rPr>
                <w:sz w:val="16"/>
                <w:szCs w:val="16"/>
              </w:rPr>
            </w:pPr>
            <w:r w:rsidRPr="006236B7">
              <w:rPr>
                <w:sz w:val="16"/>
                <w:szCs w:val="16"/>
              </w:rPr>
              <w:t xml:space="preserve">                                  - </w:t>
            </w:r>
          </w:p>
        </w:tc>
        <w:tc>
          <w:tcPr>
            <w:tcW w:w="397" w:type="pct"/>
            <w:tcBorders>
              <w:top w:val="single" w:sz="4" w:space="0" w:color="auto"/>
              <w:left w:val="nil"/>
              <w:bottom w:val="nil"/>
              <w:right w:val="nil"/>
            </w:tcBorders>
            <w:noWrap/>
            <w:vAlign w:val="bottom"/>
            <w:hideMark/>
          </w:tcPr>
          <w:p w14:paraId="59213FE0" w14:textId="77777777" w:rsidR="00C44869" w:rsidRPr="00653833" w:rsidRDefault="00C44869" w:rsidP="007B3453">
            <w:pPr>
              <w:jc w:val="right"/>
              <w:rPr>
                <w:sz w:val="16"/>
                <w:szCs w:val="16"/>
              </w:rPr>
            </w:pPr>
            <w:r w:rsidRPr="00653833">
              <w:rPr>
                <w:sz w:val="16"/>
                <w:szCs w:val="16"/>
              </w:rPr>
              <w:t xml:space="preserve">           (2,575,440)</w:t>
            </w:r>
          </w:p>
        </w:tc>
        <w:tc>
          <w:tcPr>
            <w:tcW w:w="87" w:type="pct"/>
            <w:tcBorders>
              <w:top w:val="nil"/>
              <w:left w:val="nil"/>
              <w:bottom w:val="nil"/>
              <w:right w:val="nil"/>
            </w:tcBorders>
            <w:noWrap/>
            <w:vAlign w:val="bottom"/>
            <w:hideMark/>
          </w:tcPr>
          <w:p w14:paraId="6B9C4C30" w14:textId="77777777" w:rsidR="00C44869" w:rsidRPr="00653833" w:rsidRDefault="00C44869" w:rsidP="007B3453">
            <w:pPr>
              <w:jc w:val="right"/>
              <w:rPr>
                <w:sz w:val="16"/>
                <w:szCs w:val="16"/>
              </w:rPr>
            </w:pPr>
          </w:p>
        </w:tc>
        <w:tc>
          <w:tcPr>
            <w:tcW w:w="343" w:type="pct"/>
            <w:tcBorders>
              <w:top w:val="single" w:sz="4" w:space="0" w:color="auto"/>
              <w:left w:val="nil"/>
              <w:bottom w:val="nil"/>
              <w:right w:val="nil"/>
            </w:tcBorders>
            <w:noWrap/>
            <w:vAlign w:val="bottom"/>
            <w:hideMark/>
          </w:tcPr>
          <w:p w14:paraId="6623C924" w14:textId="77777777" w:rsidR="00C44869" w:rsidRPr="00653833" w:rsidRDefault="00C44869" w:rsidP="007B3453">
            <w:pPr>
              <w:jc w:val="right"/>
              <w:rPr>
                <w:sz w:val="16"/>
                <w:szCs w:val="16"/>
              </w:rPr>
            </w:pPr>
            <w:r w:rsidRPr="00653833">
              <w:rPr>
                <w:sz w:val="16"/>
                <w:szCs w:val="16"/>
              </w:rPr>
              <w:t xml:space="preserve">           (2,575,440)</w:t>
            </w:r>
          </w:p>
        </w:tc>
      </w:tr>
      <w:tr w:rsidR="00C44869" w:rsidRPr="00653833" w14:paraId="1DEDD643" w14:textId="77777777" w:rsidTr="007B3453">
        <w:trPr>
          <w:trHeight w:val="260"/>
        </w:trPr>
        <w:tc>
          <w:tcPr>
            <w:tcW w:w="1000" w:type="pct"/>
            <w:gridSpan w:val="2"/>
            <w:tcBorders>
              <w:top w:val="single" w:sz="4" w:space="0" w:color="auto"/>
              <w:left w:val="nil"/>
              <w:bottom w:val="single" w:sz="4" w:space="0" w:color="auto"/>
              <w:right w:val="nil"/>
            </w:tcBorders>
            <w:vAlign w:val="bottom"/>
            <w:hideMark/>
          </w:tcPr>
          <w:p w14:paraId="3FA12512" w14:textId="77777777" w:rsidR="00C44869" w:rsidRPr="00D46B6F" w:rsidRDefault="00C44869" w:rsidP="007B3453">
            <w:pPr>
              <w:rPr>
                <w:b/>
                <w:bCs/>
                <w:sz w:val="18"/>
                <w:szCs w:val="18"/>
              </w:rPr>
            </w:pPr>
            <w:r>
              <w:rPr>
                <w:b/>
                <w:bCs/>
                <w:sz w:val="18"/>
                <w:szCs w:val="18"/>
              </w:rPr>
              <w:br/>
            </w:r>
            <w:r w:rsidRPr="00D46B6F">
              <w:rPr>
                <w:b/>
                <w:bCs/>
                <w:sz w:val="18"/>
                <w:szCs w:val="18"/>
              </w:rPr>
              <w:t>At 30 September 202</w:t>
            </w:r>
            <w:r>
              <w:rPr>
                <w:b/>
                <w:bCs/>
                <w:sz w:val="18"/>
                <w:szCs w:val="18"/>
              </w:rPr>
              <w:t>4</w:t>
            </w:r>
          </w:p>
        </w:tc>
        <w:tc>
          <w:tcPr>
            <w:tcW w:w="130" w:type="pct"/>
            <w:tcBorders>
              <w:top w:val="nil"/>
              <w:left w:val="nil"/>
              <w:bottom w:val="nil"/>
              <w:right w:val="nil"/>
            </w:tcBorders>
            <w:vAlign w:val="bottom"/>
            <w:hideMark/>
          </w:tcPr>
          <w:p w14:paraId="2417FD88" w14:textId="77777777" w:rsidR="00C44869" w:rsidRPr="00D46B6F" w:rsidRDefault="00C44869" w:rsidP="007B3453">
            <w:pPr>
              <w:rPr>
                <w:b/>
                <w:bCs/>
                <w:sz w:val="18"/>
                <w:szCs w:val="18"/>
              </w:rPr>
            </w:pPr>
          </w:p>
        </w:tc>
        <w:tc>
          <w:tcPr>
            <w:tcW w:w="375" w:type="pct"/>
            <w:tcBorders>
              <w:top w:val="single" w:sz="4" w:space="0" w:color="auto"/>
              <w:left w:val="nil"/>
              <w:bottom w:val="single" w:sz="4" w:space="0" w:color="auto"/>
              <w:right w:val="nil"/>
            </w:tcBorders>
            <w:vAlign w:val="bottom"/>
            <w:hideMark/>
          </w:tcPr>
          <w:p w14:paraId="476603A7" w14:textId="77777777" w:rsidR="00C44869" w:rsidRPr="00D46B6F" w:rsidRDefault="00C44869" w:rsidP="007B3453">
            <w:pPr>
              <w:jc w:val="right"/>
              <w:rPr>
                <w:b/>
                <w:bCs/>
                <w:sz w:val="18"/>
                <w:szCs w:val="18"/>
              </w:rPr>
            </w:pPr>
            <w:r w:rsidRPr="00D46B6F">
              <w:rPr>
                <w:b/>
                <w:bCs/>
                <w:sz w:val="18"/>
                <w:szCs w:val="18"/>
              </w:rPr>
              <w:t xml:space="preserve">               </w:t>
            </w:r>
            <w:r>
              <w:rPr>
                <w:b/>
                <w:bCs/>
                <w:sz w:val="18"/>
                <w:szCs w:val="18"/>
              </w:rPr>
              <w:t>4,953,169</w:t>
            </w:r>
            <w:r w:rsidRPr="00D46B6F">
              <w:rPr>
                <w:b/>
                <w:bCs/>
                <w:sz w:val="18"/>
                <w:szCs w:val="18"/>
              </w:rPr>
              <w:t xml:space="preserve"> </w:t>
            </w:r>
          </w:p>
        </w:tc>
        <w:tc>
          <w:tcPr>
            <w:tcW w:w="93" w:type="pct"/>
            <w:tcBorders>
              <w:top w:val="nil"/>
              <w:left w:val="nil"/>
              <w:bottom w:val="nil"/>
              <w:right w:val="nil"/>
            </w:tcBorders>
            <w:vAlign w:val="bottom"/>
            <w:hideMark/>
          </w:tcPr>
          <w:p w14:paraId="2FA6EED1" w14:textId="77777777" w:rsidR="00C44869" w:rsidRPr="00D46B6F" w:rsidRDefault="00C44869" w:rsidP="007B3453">
            <w:pPr>
              <w:jc w:val="right"/>
              <w:rPr>
                <w:b/>
                <w:bCs/>
                <w:sz w:val="18"/>
                <w:szCs w:val="18"/>
              </w:rPr>
            </w:pPr>
          </w:p>
        </w:tc>
        <w:tc>
          <w:tcPr>
            <w:tcW w:w="389" w:type="pct"/>
            <w:tcBorders>
              <w:top w:val="single" w:sz="4" w:space="0" w:color="auto"/>
              <w:left w:val="nil"/>
              <w:bottom w:val="single" w:sz="4" w:space="0" w:color="auto"/>
              <w:right w:val="nil"/>
            </w:tcBorders>
            <w:vAlign w:val="bottom"/>
            <w:hideMark/>
          </w:tcPr>
          <w:p w14:paraId="322496E7" w14:textId="77777777" w:rsidR="00C44869" w:rsidRPr="00A37D6F" w:rsidRDefault="00C44869" w:rsidP="007B3453">
            <w:pPr>
              <w:jc w:val="right"/>
              <w:rPr>
                <w:b/>
                <w:bCs/>
                <w:sz w:val="18"/>
                <w:szCs w:val="18"/>
              </w:rPr>
            </w:pPr>
            <w:r w:rsidRPr="00A37D6F">
              <w:rPr>
                <w:b/>
                <w:bCs/>
                <w:sz w:val="18"/>
                <w:szCs w:val="18"/>
              </w:rPr>
              <w:t xml:space="preserve">                  14,755,579 </w:t>
            </w:r>
          </w:p>
        </w:tc>
        <w:tc>
          <w:tcPr>
            <w:tcW w:w="87" w:type="pct"/>
            <w:tcBorders>
              <w:top w:val="nil"/>
              <w:left w:val="nil"/>
              <w:bottom w:val="nil"/>
              <w:right w:val="nil"/>
            </w:tcBorders>
            <w:noWrap/>
            <w:vAlign w:val="bottom"/>
            <w:hideMark/>
          </w:tcPr>
          <w:p w14:paraId="40BDE0A1" w14:textId="77777777" w:rsidR="00C44869" w:rsidRPr="00A37D6F" w:rsidRDefault="00C44869" w:rsidP="007B3453">
            <w:pPr>
              <w:jc w:val="right"/>
              <w:rPr>
                <w:b/>
                <w:bCs/>
                <w:sz w:val="18"/>
                <w:szCs w:val="18"/>
              </w:rPr>
            </w:pPr>
          </w:p>
        </w:tc>
        <w:tc>
          <w:tcPr>
            <w:tcW w:w="354" w:type="pct"/>
            <w:tcBorders>
              <w:top w:val="single" w:sz="4" w:space="0" w:color="auto"/>
              <w:left w:val="nil"/>
              <w:bottom w:val="single" w:sz="4" w:space="0" w:color="auto"/>
              <w:right w:val="nil"/>
            </w:tcBorders>
            <w:vAlign w:val="bottom"/>
            <w:hideMark/>
          </w:tcPr>
          <w:p w14:paraId="4F5F499E" w14:textId="77777777" w:rsidR="00C44869" w:rsidRPr="00A37D6F" w:rsidRDefault="00C44869" w:rsidP="007B3453">
            <w:pPr>
              <w:jc w:val="right"/>
              <w:rPr>
                <w:b/>
                <w:bCs/>
                <w:sz w:val="18"/>
                <w:szCs w:val="18"/>
              </w:rPr>
            </w:pPr>
            <w:r w:rsidRPr="00A37D6F">
              <w:rPr>
                <w:b/>
                <w:bCs/>
                <w:sz w:val="18"/>
                <w:szCs w:val="18"/>
              </w:rPr>
              <w:t xml:space="preserve">                4,516,608 </w:t>
            </w:r>
          </w:p>
        </w:tc>
        <w:tc>
          <w:tcPr>
            <w:tcW w:w="87" w:type="pct"/>
            <w:tcBorders>
              <w:top w:val="nil"/>
              <w:left w:val="nil"/>
              <w:bottom w:val="nil"/>
              <w:right w:val="nil"/>
            </w:tcBorders>
            <w:vAlign w:val="bottom"/>
            <w:hideMark/>
          </w:tcPr>
          <w:p w14:paraId="15981708" w14:textId="77777777" w:rsidR="00C44869" w:rsidRPr="00653833" w:rsidRDefault="00C44869" w:rsidP="007B3453">
            <w:pPr>
              <w:jc w:val="right"/>
              <w:rPr>
                <w:b/>
                <w:bCs/>
                <w:sz w:val="18"/>
                <w:szCs w:val="18"/>
              </w:rPr>
            </w:pPr>
          </w:p>
        </w:tc>
        <w:tc>
          <w:tcPr>
            <w:tcW w:w="397" w:type="pct"/>
            <w:tcBorders>
              <w:top w:val="single" w:sz="4" w:space="0" w:color="auto"/>
              <w:left w:val="nil"/>
              <w:bottom w:val="single" w:sz="4" w:space="0" w:color="auto"/>
              <w:right w:val="nil"/>
            </w:tcBorders>
            <w:vAlign w:val="bottom"/>
            <w:hideMark/>
          </w:tcPr>
          <w:p w14:paraId="06B83F37" w14:textId="77777777" w:rsidR="00C44869" w:rsidRPr="00653833" w:rsidRDefault="00C44869" w:rsidP="007B3453">
            <w:pPr>
              <w:jc w:val="right"/>
              <w:rPr>
                <w:b/>
                <w:bCs/>
                <w:sz w:val="18"/>
                <w:szCs w:val="18"/>
              </w:rPr>
            </w:pPr>
            <w:r w:rsidRPr="00653833">
              <w:rPr>
                <w:b/>
                <w:bCs/>
                <w:sz w:val="18"/>
                <w:szCs w:val="18"/>
              </w:rPr>
              <w:t xml:space="preserve">              </w:t>
            </w:r>
            <w:r>
              <w:rPr>
                <w:b/>
                <w:bCs/>
                <w:sz w:val="18"/>
                <w:szCs w:val="18"/>
              </w:rPr>
              <w:t>19,052</w:t>
            </w:r>
            <w:r w:rsidRPr="00653833">
              <w:rPr>
                <w:b/>
                <w:bCs/>
                <w:sz w:val="18"/>
                <w:szCs w:val="18"/>
              </w:rPr>
              <w:t xml:space="preserve"> </w:t>
            </w:r>
          </w:p>
        </w:tc>
        <w:tc>
          <w:tcPr>
            <w:tcW w:w="87" w:type="pct"/>
            <w:tcBorders>
              <w:top w:val="nil"/>
              <w:left w:val="nil"/>
              <w:bottom w:val="nil"/>
              <w:right w:val="nil"/>
            </w:tcBorders>
            <w:vAlign w:val="bottom"/>
            <w:hideMark/>
          </w:tcPr>
          <w:p w14:paraId="655DC206" w14:textId="77777777" w:rsidR="00C44869" w:rsidRPr="00653833" w:rsidRDefault="00C44869" w:rsidP="007B3453">
            <w:pPr>
              <w:jc w:val="right"/>
              <w:rPr>
                <w:b/>
                <w:bCs/>
                <w:sz w:val="18"/>
                <w:szCs w:val="18"/>
              </w:rPr>
            </w:pPr>
          </w:p>
        </w:tc>
        <w:tc>
          <w:tcPr>
            <w:tcW w:w="347" w:type="pct"/>
            <w:tcBorders>
              <w:top w:val="single" w:sz="4" w:space="0" w:color="auto"/>
              <w:left w:val="nil"/>
              <w:bottom w:val="single" w:sz="4" w:space="0" w:color="auto"/>
              <w:right w:val="nil"/>
            </w:tcBorders>
            <w:noWrap/>
            <w:vAlign w:val="bottom"/>
            <w:hideMark/>
          </w:tcPr>
          <w:p w14:paraId="58E93DFD" w14:textId="77777777" w:rsidR="00C44869" w:rsidRPr="00653833" w:rsidRDefault="00C44869" w:rsidP="007B3453">
            <w:pPr>
              <w:jc w:val="right"/>
              <w:rPr>
                <w:sz w:val="18"/>
                <w:szCs w:val="18"/>
              </w:rPr>
            </w:pPr>
            <w:r w:rsidRPr="00653833">
              <w:rPr>
                <w:sz w:val="18"/>
                <w:szCs w:val="18"/>
              </w:rPr>
              <w:t xml:space="preserve">                                  - </w:t>
            </w:r>
          </w:p>
        </w:tc>
        <w:tc>
          <w:tcPr>
            <w:tcW w:w="87" w:type="pct"/>
            <w:tcBorders>
              <w:top w:val="nil"/>
              <w:left w:val="nil"/>
              <w:bottom w:val="nil"/>
              <w:right w:val="nil"/>
            </w:tcBorders>
            <w:noWrap/>
            <w:vAlign w:val="bottom"/>
            <w:hideMark/>
          </w:tcPr>
          <w:p w14:paraId="06FBFCA3" w14:textId="77777777" w:rsidR="00C44869" w:rsidRPr="00653833" w:rsidRDefault="00C44869" w:rsidP="007B3453">
            <w:pPr>
              <w:jc w:val="right"/>
              <w:rPr>
                <w:sz w:val="18"/>
                <w:szCs w:val="18"/>
              </w:rPr>
            </w:pPr>
          </w:p>
        </w:tc>
        <w:tc>
          <w:tcPr>
            <w:tcW w:w="349" w:type="pct"/>
            <w:tcBorders>
              <w:top w:val="single" w:sz="4" w:space="0" w:color="auto"/>
              <w:left w:val="nil"/>
              <w:bottom w:val="single" w:sz="4" w:space="0" w:color="auto"/>
              <w:right w:val="nil"/>
            </w:tcBorders>
            <w:vAlign w:val="bottom"/>
            <w:hideMark/>
          </w:tcPr>
          <w:p w14:paraId="0C17B802" w14:textId="77777777" w:rsidR="00C44869" w:rsidRPr="00653833" w:rsidRDefault="00C44869" w:rsidP="007B3453">
            <w:pPr>
              <w:jc w:val="right"/>
              <w:rPr>
                <w:b/>
                <w:bCs/>
                <w:sz w:val="18"/>
                <w:szCs w:val="18"/>
              </w:rPr>
            </w:pPr>
            <w:r w:rsidRPr="00653833">
              <w:rPr>
                <w:b/>
                <w:bCs/>
                <w:sz w:val="18"/>
                <w:szCs w:val="18"/>
              </w:rPr>
              <w:t xml:space="preserve">                           203,704 </w:t>
            </w:r>
          </w:p>
        </w:tc>
        <w:tc>
          <w:tcPr>
            <w:tcW w:w="87" w:type="pct"/>
            <w:tcBorders>
              <w:top w:val="nil"/>
              <w:left w:val="nil"/>
              <w:bottom w:val="nil"/>
              <w:right w:val="nil"/>
            </w:tcBorders>
            <w:vAlign w:val="bottom"/>
            <w:hideMark/>
          </w:tcPr>
          <w:p w14:paraId="04FAE073" w14:textId="77777777" w:rsidR="00C44869" w:rsidRPr="00653833" w:rsidRDefault="00C44869" w:rsidP="007B3453">
            <w:pPr>
              <w:jc w:val="right"/>
              <w:rPr>
                <w:b/>
                <w:bCs/>
                <w:sz w:val="18"/>
                <w:szCs w:val="18"/>
              </w:rPr>
            </w:pPr>
          </w:p>
        </w:tc>
        <w:tc>
          <w:tcPr>
            <w:tcW w:w="305" w:type="pct"/>
            <w:tcBorders>
              <w:top w:val="single" w:sz="4" w:space="0" w:color="auto"/>
              <w:left w:val="nil"/>
              <w:bottom w:val="single" w:sz="4" w:space="0" w:color="auto"/>
              <w:right w:val="nil"/>
            </w:tcBorders>
          </w:tcPr>
          <w:p w14:paraId="27814657" w14:textId="77777777" w:rsidR="00C44869" w:rsidRDefault="00C44869" w:rsidP="007B3453">
            <w:pPr>
              <w:jc w:val="right"/>
              <w:rPr>
                <w:b/>
                <w:bCs/>
                <w:sz w:val="18"/>
                <w:szCs w:val="18"/>
              </w:rPr>
            </w:pPr>
          </w:p>
          <w:p w14:paraId="257431AD" w14:textId="77777777" w:rsidR="00C44869" w:rsidRPr="00653833" w:rsidRDefault="00C44869" w:rsidP="007B3453">
            <w:pPr>
              <w:jc w:val="right"/>
              <w:rPr>
                <w:b/>
                <w:bCs/>
                <w:sz w:val="18"/>
                <w:szCs w:val="18"/>
              </w:rPr>
            </w:pPr>
            <w:r>
              <w:rPr>
                <w:b/>
                <w:bCs/>
                <w:sz w:val="18"/>
                <w:szCs w:val="18"/>
              </w:rPr>
              <w:t>400,116</w:t>
            </w:r>
          </w:p>
        </w:tc>
        <w:tc>
          <w:tcPr>
            <w:tcW w:w="397" w:type="pct"/>
            <w:tcBorders>
              <w:top w:val="single" w:sz="4" w:space="0" w:color="auto"/>
              <w:left w:val="nil"/>
              <w:bottom w:val="single" w:sz="4" w:space="0" w:color="auto"/>
              <w:right w:val="nil"/>
            </w:tcBorders>
            <w:vAlign w:val="bottom"/>
            <w:hideMark/>
          </w:tcPr>
          <w:p w14:paraId="75A28AEB" w14:textId="77777777" w:rsidR="00C44869" w:rsidRPr="00653833" w:rsidRDefault="00C44869" w:rsidP="007B3453">
            <w:pPr>
              <w:jc w:val="right"/>
              <w:rPr>
                <w:b/>
                <w:bCs/>
                <w:sz w:val="18"/>
                <w:szCs w:val="18"/>
              </w:rPr>
            </w:pPr>
            <w:r w:rsidRPr="00653833">
              <w:rPr>
                <w:b/>
                <w:bCs/>
                <w:sz w:val="18"/>
                <w:szCs w:val="18"/>
              </w:rPr>
              <w:t xml:space="preserve">         (2</w:t>
            </w:r>
            <w:r>
              <w:rPr>
                <w:b/>
                <w:bCs/>
                <w:sz w:val="18"/>
                <w:szCs w:val="18"/>
              </w:rPr>
              <w:t>4</w:t>
            </w:r>
            <w:r w:rsidRPr="00653833">
              <w:rPr>
                <w:b/>
                <w:bCs/>
                <w:sz w:val="18"/>
                <w:szCs w:val="18"/>
              </w:rPr>
              <w:t>,852,782)</w:t>
            </w:r>
          </w:p>
        </w:tc>
        <w:tc>
          <w:tcPr>
            <w:tcW w:w="87" w:type="pct"/>
            <w:tcBorders>
              <w:top w:val="nil"/>
              <w:left w:val="nil"/>
              <w:bottom w:val="nil"/>
              <w:right w:val="nil"/>
            </w:tcBorders>
            <w:vAlign w:val="bottom"/>
            <w:hideMark/>
          </w:tcPr>
          <w:p w14:paraId="77B847BD" w14:textId="77777777" w:rsidR="00C44869" w:rsidRPr="00653833" w:rsidRDefault="00C44869" w:rsidP="007B3453">
            <w:pPr>
              <w:jc w:val="right"/>
              <w:rPr>
                <w:b/>
                <w:bCs/>
                <w:sz w:val="18"/>
                <w:szCs w:val="18"/>
              </w:rPr>
            </w:pPr>
          </w:p>
        </w:tc>
        <w:tc>
          <w:tcPr>
            <w:tcW w:w="343" w:type="pct"/>
            <w:tcBorders>
              <w:top w:val="single" w:sz="4" w:space="0" w:color="auto"/>
              <w:left w:val="nil"/>
              <w:bottom w:val="single" w:sz="4" w:space="0" w:color="auto"/>
              <w:right w:val="nil"/>
            </w:tcBorders>
            <w:vAlign w:val="bottom"/>
            <w:hideMark/>
          </w:tcPr>
          <w:p w14:paraId="73A50CED" w14:textId="77777777" w:rsidR="00C44869" w:rsidRPr="00653833" w:rsidRDefault="00C44869" w:rsidP="007B3453">
            <w:pPr>
              <w:jc w:val="right"/>
              <w:rPr>
                <w:b/>
                <w:bCs/>
                <w:sz w:val="18"/>
                <w:szCs w:val="18"/>
              </w:rPr>
            </w:pPr>
            <w:r w:rsidRPr="00653833">
              <w:rPr>
                <w:b/>
                <w:bCs/>
                <w:sz w:val="18"/>
                <w:szCs w:val="18"/>
              </w:rPr>
              <w:t xml:space="preserve">          (4,563)</w:t>
            </w:r>
          </w:p>
        </w:tc>
      </w:tr>
    </w:tbl>
    <w:p w14:paraId="48418D0D" w14:textId="77777777" w:rsidR="00C44869" w:rsidRDefault="00C44869" w:rsidP="00C44869">
      <w:pPr>
        <w:spacing w:before="240"/>
        <w:rPr>
          <w:b/>
          <w:bCs/>
        </w:rPr>
        <w:sectPr w:rsidR="00C44869" w:rsidSect="00C44869">
          <w:pgSz w:w="16838" w:h="11906" w:orient="landscape"/>
          <w:pgMar w:top="510" w:right="567" w:bottom="510" w:left="567" w:header="709" w:footer="709" w:gutter="0"/>
          <w:cols w:space="708"/>
          <w:docGrid w:linePitch="360"/>
        </w:sectPr>
      </w:pPr>
    </w:p>
    <w:tbl>
      <w:tblPr>
        <w:tblW w:w="5270" w:type="pct"/>
        <w:tblLayout w:type="fixed"/>
        <w:tblLook w:val="04A0" w:firstRow="1" w:lastRow="0" w:firstColumn="1" w:lastColumn="0" w:noHBand="0" w:noVBand="1"/>
      </w:tblPr>
      <w:tblGrid>
        <w:gridCol w:w="4961"/>
        <w:gridCol w:w="262"/>
        <w:gridCol w:w="1620"/>
        <w:gridCol w:w="273"/>
        <w:gridCol w:w="1967"/>
        <w:gridCol w:w="273"/>
        <w:gridCol w:w="1850"/>
        <w:gridCol w:w="268"/>
      </w:tblGrid>
      <w:tr w:rsidR="00C44869" w:rsidRPr="00D46B6F" w14:paraId="72DA33D2" w14:textId="77777777" w:rsidTr="007B3453">
        <w:trPr>
          <w:trHeight w:val="300"/>
        </w:trPr>
        <w:tc>
          <w:tcPr>
            <w:tcW w:w="5000" w:type="pct"/>
            <w:gridSpan w:val="8"/>
            <w:tcBorders>
              <w:top w:val="nil"/>
              <w:left w:val="nil"/>
              <w:bottom w:val="nil"/>
              <w:right w:val="nil"/>
            </w:tcBorders>
            <w:noWrap/>
            <w:vAlign w:val="bottom"/>
            <w:hideMark/>
          </w:tcPr>
          <w:p w14:paraId="15CCF4DB" w14:textId="77777777" w:rsidR="00C44869" w:rsidRPr="00D46B6F" w:rsidRDefault="00C44869" w:rsidP="007B3453">
            <w:pPr>
              <w:jc w:val="center"/>
            </w:pPr>
            <w:r w:rsidRPr="00D46B6F">
              <w:rPr>
                <w:b/>
                <w:bCs/>
              </w:rPr>
              <w:lastRenderedPageBreak/>
              <w:t>Chill Brands Group PLC</w:t>
            </w:r>
            <w:r>
              <w:rPr>
                <w:b/>
                <w:bCs/>
              </w:rPr>
              <w:br/>
            </w:r>
            <w:r>
              <w:t>Consolidated Statement of Cash Flows</w:t>
            </w:r>
            <w:r>
              <w:br/>
              <w:t>For the six months ended 30 September 2024</w:t>
            </w:r>
          </w:p>
        </w:tc>
      </w:tr>
      <w:tr w:rsidR="00C44869" w:rsidRPr="00D46B6F" w14:paraId="01C7BA89" w14:textId="77777777" w:rsidTr="007B3453">
        <w:trPr>
          <w:trHeight w:val="255"/>
        </w:trPr>
        <w:tc>
          <w:tcPr>
            <w:tcW w:w="2162" w:type="pct"/>
            <w:tcBorders>
              <w:top w:val="nil"/>
              <w:left w:val="nil"/>
              <w:bottom w:val="single" w:sz="4" w:space="0" w:color="auto"/>
              <w:right w:val="nil"/>
            </w:tcBorders>
            <w:noWrap/>
            <w:vAlign w:val="bottom"/>
            <w:hideMark/>
          </w:tcPr>
          <w:p w14:paraId="3802FD52" w14:textId="77777777" w:rsidR="00C44869" w:rsidRPr="00D46B6F" w:rsidRDefault="00C44869" w:rsidP="007B3453">
            <w:pPr>
              <w:jc w:val="center"/>
              <w:rPr>
                <w:b/>
                <w:bCs/>
                <w:sz w:val="18"/>
                <w:szCs w:val="18"/>
              </w:rPr>
            </w:pPr>
            <w:r w:rsidRPr="00D46B6F">
              <w:rPr>
                <w:b/>
                <w:bCs/>
                <w:sz w:val="18"/>
                <w:szCs w:val="18"/>
              </w:rPr>
              <w:t> </w:t>
            </w:r>
          </w:p>
        </w:tc>
        <w:tc>
          <w:tcPr>
            <w:tcW w:w="114" w:type="pct"/>
            <w:tcBorders>
              <w:top w:val="nil"/>
              <w:left w:val="nil"/>
              <w:bottom w:val="single" w:sz="4" w:space="0" w:color="auto"/>
              <w:right w:val="nil"/>
            </w:tcBorders>
            <w:noWrap/>
            <w:vAlign w:val="bottom"/>
            <w:hideMark/>
          </w:tcPr>
          <w:p w14:paraId="65BCFA32" w14:textId="77777777" w:rsidR="00C44869" w:rsidRPr="00D46B6F" w:rsidRDefault="00C44869" w:rsidP="007B3453">
            <w:pPr>
              <w:jc w:val="center"/>
              <w:rPr>
                <w:b/>
                <w:bCs/>
                <w:sz w:val="18"/>
                <w:szCs w:val="18"/>
              </w:rPr>
            </w:pPr>
            <w:r w:rsidRPr="00D46B6F">
              <w:rPr>
                <w:b/>
                <w:bCs/>
                <w:sz w:val="18"/>
                <w:szCs w:val="18"/>
              </w:rPr>
              <w:t> </w:t>
            </w:r>
          </w:p>
        </w:tc>
        <w:tc>
          <w:tcPr>
            <w:tcW w:w="706" w:type="pct"/>
            <w:tcBorders>
              <w:top w:val="nil"/>
              <w:left w:val="nil"/>
              <w:bottom w:val="single" w:sz="4" w:space="0" w:color="auto"/>
              <w:right w:val="nil"/>
            </w:tcBorders>
            <w:noWrap/>
            <w:vAlign w:val="bottom"/>
            <w:hideMark/>
          </w:tcPr>
          <w:p w14:paraId="1DD72DFA" w14:textId="77777777" w:rsidR="00C44869" w:rsidRPr="00D46B6F" w:rsidRDefault="00C44869" w:rsidP="007B3453">
            <w:pPr>
              <w:jc w:val="center"/>
              <w:rPr>
                <w:b/>
                <w:bCs/>
                <w:sz w:val="18"/>
                <w:szCs w:val="18"/>
              </w:rPr>
            </w:pPr>
            <w:r w:rsidRPr="00D46B6F">
              <w:rPr>
                <w:b/>
                <w:bCs/>
                <w:sz w:val="18"/>
                <w:szCs w:val="18"/>
              </w:rPr>
              <w:t> </w:t>
            </w:r>
          </w:p>
        </w:tc>
        <w:tc>
          <w:tcPr>
            <w:tcW w:w="119" w:type="pct"/>
            <w:tcBorders>
              <w:top w:val="nil"/>
              <w:left w:val="nil"/>
              <w:bottom w:val="single" w:sz="4" w:space="0" w:color="auto"/>
              <w:right w:val="nil"/>
            </w:tcBorders>
            <w:noWrap/>
            <w:vAlign w:val="bottom"/>
            <w:hideMark/>
          </w:tcPr>
          <w:p w14:paraId="630B932E" w14:textId="77777777" w:rsidR="00C44869" w:rsidRPr="00D46B6F" w:rsidRDefault="00C44869" w:rsidP="007B3453">
            <w:pPr>
              <w:rPr>
                <w:rFonts w:ascii="Arial" w:hAnsi="Arial" w:cs="Arial"/>
                <w:sz w:val="20"/>
                <w:szCs w:val="20"/>
              </w:rPr>
            </w:pPr>
            <w:r w:rsidRPr="00D46B6F">
              <w:rPr>
                <w:rFonts w:ascii="Arial" w:hAnsi="Arial" w:cs="Arial"/>
                <w:sz w:val="20"/>
                <w:szCs w:val="20"/>
              </w:rPr>
              <w:t> </w:t>
            </w:r>
          </w:p>
        </w:tc>
        <w:tc>
          <w:tcPr>
            <w:tcW w:w="857" w:type="pct"/>
            <w:tcBorders>
              <w:top w:val="nil"/>
              <w:left w:val="nil"/>
              <w:bottom w:val="single" w:sz="4" w:space="0" w:color="auto"/>
              <w:right w:val="nil"/>
            </w:tcBorders>
            <w:noWrap/>
            <w:vAlign w:val="bottom"/>
            <w:hideMark/>
          </w:tcPr>
          <w:p w14:paraId="4E1A30DD" w14:textId="77777777" w:rsidR="00C44869" w:rsidRPr="00D46B6F" w:rsidRDefault="00C44869" w:rsidP="007B3453">
            <w:pPr>
              <w:rPr>
                <w:rFonts w:ascii="Arial" w:hAnsi="Arial" w:cs="Arial"/>
                <w:sz w:val="20"/>
                <w:szCs w:val="20"/>
              </w:rPr>
            </w:pPr>
            <w:r w:rsidRPr="00D46B6F">
              <w:rPr>
                <w:rFonts w:ascii="Arial" w:hAnsi="Arial" w:cs="Arial"/>
                <w:sz w:val="20"/>
                <w:szCs w:val="20"/>
              </w:rPr>
              <w:t> </w:t>
            </w:r>
          </w:p>
        </w:tc>
        <w:tc>
          <w:tcPr>
            <w:tcW w:w="119" w:type="pct"/>
            <w:tcBorders>
              <w:top w:val="nil"/>
              <w:left w:val="nil"/>
              <w:bottom w:val="single" w:sz="4" w:space="0" w:color="auto"/>
              <w:right w:val="nil"/>
            </w:tcBorders>
            <w:noWrap/>
            <w:vAlign w:val="bottom"/>
            <w:hideMark/>
          </w:tcPr>
          <w:p w14:paraId="5DD1705D" w14:textId="77777777" w:rsidR="00C44869" w:rsidRPr="00D46B6F" w:rsidRDefault="00C44869" w:rsidP="007B3453">
            <w:pPr>
              <w:rPr>
                <w:rFonts w:ascii="Arial" w:hAnsi="Arial" w:cs="Arial"/>
                <w:sz w:val="20"/>
                <w:szCs w:val="20"/>
              </w:rPr>
            </w:pPr>
            <w:r w:rsidRPr="00D46B6F">
              <w:rPr>
                <w:rFonts w:ascii="Arial" w:hAnsi="Arial" w:cs="Arial"/>
                <w:sz w:val="20"/>
                <w:szCs w:val="20"/>
              </w:rPr>
              <w:t> </w:t>
            </w:r>
          </w:p>
        </w:tc>
        <w:tc>
          <w:tcPr>
            <w:tcW w:w="806" w:type="pct"/>
            <w:tcBorders>
              <w:top w:val="nil"/>
              <w:left w:val="nil"/>
              <w:bottom w:val="single" w:sz="4" w:space="0" w:color="auto"/>
              <w:right w:val="nil"/>
            </w:tcBorders>
            <w:noWrap/>
            <w:vAlign w:val="bottom"/>
            <w:hideMark/>
          </w:tcPr>
          <w:p w14:paraId="46D09712" w14:textId="77777777" w:rsidR="00C44869" w:rsidRPr="00D46B6F" w:rsidRDefault="00C44869" w:rsidP="007B3453">
            <w:pPr>
              <w:rPr>
                <w:rFonts w:ascii="Arial" w:hAnsi="Arial" w:cs="Arial"/>
                <w:sz w:val="20"/>
                <w:szCs w:val="20"/>
              </w:rPr>
            </w:pPr>
            <w:r w:rsidRPr="00D46B6F">
              <w:rPr>
                <w:rFonts w:ascii="Arial" w:hAnsi="Arial" w:cs="Arial"/>
                <w:sz w:val="20"/>
                <w:szCs w:val="20"/>
              </w:rPr>
              <w:t> </w:t>
            </w:r>
          </w:p>
        </w:tc>
        <w:tc>
          <w:tcPr>
            <w:tcW w:w="117" w:type="pct"/>
            <w:tcBorders>
              <w:top w:val="nil"/>
              <w:left w:val="nil"/>
              <w:bottom w:val="single" w:sz="4" w:space="0" w:color="auto"/>
              <w:right w:val="nil"/>
            </w:tcBorders>
            <w:noWrap/>
            <w:vAlign w:val="bottom"/>
            <w:hideMark/>
          </w:tcPr>
          <w:p w14:paraId="4B406DF9" w14:textId="77777777" w:rsidR="00C44869" w:rsidRPr="00D46B6F" w:rsidRDefault="00C44869" w:rsidP="007B3453">
            <w:pPr>
              <w:rPr>
                <w:rFonts w:ascii="Arial" w:hAnsi="Arial" w:cs="Arial"/>
                <w:sz w:val="20"/>
                <w:szCs w:val="20"/>
              </w:rPr>
            </w:pPr>
            <w:r w:rsidRPr="00D46B6F">
              <w:rPr>
                <w:rFonts w:ascii="Arial" w:hAnsi="Arial" w:cs="Arial"/>
                <w:sz w:val="20"/>
                <w:szCs w:val="20"/>
              </w:rPr>
              <w:t> </w:t>
            </w:r>
          </w:p>
        </w:tc>
      </w:tr>
      <w:tr w:rsidR="00C44869" w:rsidRPr="00D46B6F" w14:paraId="1B3212DD" w14:textId="77777777" w:rsidTr="007B3453">
        <w:trPr>
          <w:trHeight w:val="255"/>
        </w:trPr>
        <w:tc>
          <w:tcPr>
            <w:tcW w:w="2162" w:type="pct"/>
            <w:tcBorders>
              <w:top w:val="nil"/>
              <w:left w:val="nil"/>
              <w:bottom w:val="nil"/>
              <w:right w:val="nil"/>
            </w:tcBorders>
            <w:noWrap/>
            <w:vAlign w:val="bottom"/>
            <w:hideMark/>
          </w:tcPr>
          <w:p w14:paraId="664BBB69" w14:textId="77777777" w:rsidR="00C44869" w:rsidRPr="00D46B6F" w:rsidRDefault="00C44869" w:rsidP="007B3453">
            <w:pPr>
              <w:rPr>
                <w:rFonts w:ascii="Arial" w:hAnsi="Arial" w:cs="Arial"/>
                <w:sz w:val="20"/>
                <w:szCs w:val="20"/>
              </w:rPr>
            </w:pPr>
          </w:p>
        </w:tc>
        <w:tc>
          <w:tcPr>
            <w:tcW w:w="114" w:type="pct"/>
            <w:tcBorders>
              <w:top w:val="nil"/>
              <w:left w:val="nil"/>
              <w:bottom w:val="nil"/>
              <w:right w:val="nil"/>
            </w:tcBorders>
            <w:noWrap/>
            <w:vAlign w:val="bottom"/>
            <w:hideMark/>
          </w:tcPr>
          <w:p w14:paraId="02619A58" w14:textId="77777777" w:rsidR="00C44869" w:rsidRPr="00D46B6F" w:rsidRDefault="00C44869" w:rsidP="007B3453">
            <w:pPr>
              <w:jc w:val="center"/>
              <w:rPr>
                <w:sz w:val="20"/>
                <w:szCs w:val="20"/>
              </w:rPr>
            </w:pPr>
          </w:p>
        </w:tc>
        <w:tc>
          <w:tcPr>
            <w:tcW w:w="706" w:type="pct"/>
            <w:tcBorders>
              <w:top w:val="nil"/>
              <w:left w:val="nil"/>
              <w:bottom w:val="nil"/>
              <w:right w:val="nil"/>
            </w:tcBorders>
            <w:noWrap/>
            <w:vAlign w:val="bottom"/>
            <w:hideMark/>
          </w:tcPr>
          <w:p w14:paraId="756ADB5C" w14:textId="77777777" w:rsidR="00C44869" w:rsidRPr="00D46B6F" w:rsidRDefault="00C44869" w:rsidP="007B3453">
            <w:pPr>
              <w:jc w:val="center"/>
              <w:rPr>
                <w:sz w:val="20"/>
                <w:szCs w:val="20"/>
              </w:rPr>
            </w:pPr>
          </w:p>
        </w:tc>
        <w:tc>
          <w:tcPr>
            <w:tcW w:w="119" w:type="pct"/>
            <w:tcBorders>
              <w:top w:val="nil"/>
              <w:left w:val="nil"/>
              <w:bottom w:val="nil"/>
              <w:right w:val="nil"/>
            </w:tcBorders>
            <w:noWrap/>
            <w:vAlign w:val="bottom"/>
            <w:hideMark/>
          </w:tcPr>
          <w:p w14:paraId="1F6E5DE0" w14:textId="77777777" w:rsidR="00C44869" w:rsidRPr="00D46B6F" w:rsidRDefault="00C44869" w:rsidP="007B3453">
            <w:pPr>
              <w:jc w:val="center"/>
              <w:rPr>
                <w:sz w:val="20"/>
                <w:szCs w:val="20"/>
              </w:rPr>
            </w:pPr>
          </w:p>
        </w:tc>
        <w:tc>
          <w:tcPr>
            <w:tcW w:w="857" w:type="pct"/>
            <w:tcBorders>
              <w:top w:val="nil"/>
              <w:left w:val="nil"/>
              <w:bottom w:val="nil"/>
              <w:right w:val="nil"/>
            </w:tcBorders>
            <w:noWrap/>
            <w:vAlign w:val="bottom"/>
            <w:hideMark/>
          </w:tcPr>
          <w:p w14:paraId="681411BF" w14:textId="77777777" w:rsidR="00C44869" w:rsidRPr="00D46B6F" w:rsidRDefault="00C44869" w:rsidP="007B3453">
            <w:pPr>
              <w:rPr>
                <w:sz w:val="20"/>
                <w:szCs w:val="20"/>
              </w:rPr>
            </w:pPr>
          </w:p>
        </w:tc>
        <w:tc>
          <w:tcPr>
            <w:tcW w:w="119" w:type="pct"/>
            <w:tcBorders>
              <w:top w:val="nil"/>
              <w:left w:val="nil"/>
              <w:bottom w:val="nil"/>
              <w:right w:val="nil"/>
            </w:tcBorders>
            <w:noWrap/>
            <w:vAlign w:val="bottom"/>
            <w:hideMark/>
          </w:tcPr>
          <w:p w14:paraId="64F9AF24" w14:textId="77777777" w:rsidR="00C44869" w:rsidRPr="00D46B6F" w:rsidRDefault="00C44869" w:rsidP="007B3453">
            <w:pPr>
              <w:rPr>
                <w:sz w:val="20"/>
                <w:szCs w:val="20"/>
              </w:rPr>
            </w:pPr>
          </w:p>
        </w:tc>
        <w:tc>
          <w:tcPr>
            <w:tcW w:w="806" w:type="pct"/>
            <w:tcBorders>
              <w:top w:val="nil"/>
              <w:left w:val="nil"/>
              <w:bottom w:val="nil"/>
              <w:right w:val="nil"/>
            </w:tcBorders>
            <w:noWrap/>
            <w:vAlign w:val="bottom"/>
            <w:hideMark/>
          </w:tcPr>
          <w:p w14:paraId="59C0E15A" w14:textId="77777777" w:rsidR="00C44869" w:rsidRPr="00D46B6F" w:rsidRDefault="00C44869" w:rsidP="007B3453">
            <w:pPr>
              <w:rPr>
                <w:sz w:val="20"/>
                <w:szCs w:val="20"/>
              </w:rPr>
            </w:pPr>
          </w:p>
        </w:tc>
        <w:tc>
          <w:tcPr>
            <w:tcW w:w="117" w:type="pct"/>
            <w:tcBorders>
              <w:top w:val="nil"/>
              <w:left w:val="nil"/>
              <w:bottom w:val="nil"/>
              <w:right w:val="nil"/>
            </w:tcBorders>
            <w:noWrap/>
            <w:vAlign w:val="bottom"/>
            <w:hideMark/>
          </w:tcPr>
          <w:p w14:paraId="57921B67" w14:textId="77777777" w:rsidR="00C44869" w:rsidRPr="00D46B6F" w:rsidRDefault="00C44869" w:rsidP="007B3453">
            <w:pPr>
              <w:rPr>
                <w:sz w:val="20"/>
                <w:szCs w:val="20"/>
              </w:rPr>
            </w:pPr>
          </w:p>
        </w:tc>
      </w:tr>
      <w:tr w:rsidR="00C44869" w:rsidRPr="00D46B6F" w14:paraId="705764C0" w14:textId="77777777" w:rsidTr="007B3453">
        <w:trPr>
          <w:trHeight w:val="255"/>
        </w:trPr>
        <w:tc>
          <w:tcPr>
            <w:tcW w:w="2162" w:type="pct"/>
            <w:tcBorders>
              <w:top w:val="nil"/>
              <w:left w:val="nil"/>
              <w:bottom w:val="nil"/>
              <w:right w:val="nil"/>
            </w:tcBorders>
            <w:noWrap/>
            <w:vAlign w:val="bottom"/>
            <w:hideMark/>
          </w:tcPr>
          <w:p w14:paraId="6B0A76F5" w14:textId="77777777" w:rsidR="00C44869" w:rsidRPr="00D46B6F" w:rsidRDefault="00C44869" w:rsidP="007B3453">
            <w:pPr>
              <w:rPr>
                <w:sz w:val="20"/>
                <w:szCs w:val="20"/>
              </w:rPr>
            </w:pPr>
          </w:p>
        </w:tc>
        <w:tc>
          <w:tcPr>
            <w:tcW w:w="114" w:type="pct"/>
            <w:tcBorders>
              <w:top w:val="nil"/>
              <w:left w:val="nil"/>
              <w:bottom w:val="nil"/>
              <w:right w:val="nil"/>
            </w:tcBorders>
            <w:noWrap/>
            <w:vAlign w:val="bottom"/>
            <w:hideMark/>
          </w:tcPr>
          <w:p w14:paraId="0B828A92" w14:textId="77777777" w:rsidR="00C44869" w:rsidRPr="00D46B6F" w:rsidRDefault="00C44869" w:rsidP="007B3453">
            <w:pPr>
              <w:jc w:val="center"/>
              <w:rPr>
                <w:sz w:val="20"/>
                <w:szCs w:val="20"/>
              </w:rPr>
            </w:pPr>
          </w:p>
        </w:tc>
        <w:tc>
          <w:tcPr>
            <w:tcW w:w="706" w:type="pct"/>
            <w:vMerge w:val="restart"/>
            <w:tcBorders>
              <w:top w:val="nil"/>
              <w:left w:val="nil"/>
              <w:bottom w:val="single" w:sz="4" w:space="0" w:color="000000"/>
              <w:right w:val="nil"/>
            </w:tcBorders>
            <w:vAlign w:val="bottom"/>
            <w:hideMark/>
          </w:tcPr>
          <w:p w14:paraId="2A0AB65E" w14:textId="77777777" w:rsidR="00C44869" w:rsidRPr="00D46B6F" w:rsidRDefault="00C44869" w:rsidP="007B3453">
            <w:pPr>
              <w:jc w:val="center"/>
              <w:rPr>
                <w:b/>
                <w:bCs/>
                <w:sz w:val="20"/>
                <w:szCs w:val="20"/>
              </w:rPr>
            </w:pPr>
            <w:r w:rsidRPr="00D46B6F">
              <w:rPr>
                <w:b/>
                <w:bCs/>
                <w:sz w:val="20"/>
                <w:szCs w:val="20"/>
              </w:rPr>
              <w:t>Unaudited six months ended 30 September 202</w:t>
            </w:r>
            <w:r>
              <w:rPr>
                <w:b/>
                <w:bCs/>
                <w:sz w:val="20"/>
                <w:szCs w:val="20"/>
              </w:rPr>
              <w:t>4</w:t>
            </w:r>
            <w:r w:rsidRPr="00D46B6F">
              <w:rPr>
                <w:b/>
                <w:bCs/>
                <w:sz w:val="20"/>
                <w:szCs w:val="20"/>
              </w:rPr>
              <w:t xml:space="preserve"> </w:t>
            </w:r>
            <w:r w:rsidRPr="00D46B6F">
              <w:rPr>
                <w:rFonts w:ascii="Calibri" w:hAnsi="Calibri" w:cs="Calibri"/>
                <w:b/>
                <w:bCs/>
                <w:sz w:val="20"/>
                <w:szCs w:val="20"/>
              </w:rPr>
              <w:t>£</w:t>
            </w:r>
          </w:p>
        </w:tc>
        <w:tc>
          <w:tcPr>
            <w:tcW w:w="119" w:type="pct"/>
            <w:tcBorders>
              <w:top w:val="nil"/>
              <w:left w:val="nil"/>
              <w:bottom w:val="nil"/>
              <w:right w:val="nil"/>
            </w:tcBorders>
            <w:noWrap/>
            <w:vAlign w:val="bottom"/>
            <w:hideMark/>
          </w:tcPr>
          <w:p w14:paraId="7802F7E1" w14:textId="77777777" w:rsidR="00C44869" w:rsidRPr="00D46B6F" w:rsidRDefault="00C44869" w:rsidP="007B3453">
            <w:pPr>
              <w:jc w:val="center"/>
              <w:rPr>
                <w:b/>
                <w:bCs/>
                <w:sz w:val="20"/>
                <w:szCs w:val="20"/>
              </w:rPr>
            </w:pPr>
          </w:p>
        </w:tc>
        <w:tc>
          <w:tcPr>
            <w:tcW w:w="857" w:type="pct"/>
            <w:vMerge w:val="restart"/>
            <w:tcBorders>
              <w:top w:val="nil"/>
              <w:left w:val="nil"/>
              <w:bottom w:val="single" w:sz="4" w:space="0" w:color="000000"/>
              <w:right w:val="nil"/>
            </w:tcBorders>
            <w:vAlign w:val="bottom"/>
            <w:hideMark/>
          </w:tcPr>
          <w:p w14:paraId="24EC7ABC" w14:textId="77777777" w:rsidR="00C44869" w:rsidRPr="00D46B6F" w:rsidRDefault="00C44869" w:rsidP="007B3453">
            <w:pPr>
              <w:jc w:val="center"/>
              <w:rPr>
                <w:b/>
                <w:bCs/>
                <w:sz w:val="20"/>
                <w:szCs w:val="20"/>
              </w:rPr>
            </w:pPr>
            <w:r w:rsidRPr="00D46B6F">
              <w:rPr>
                <w:b/>
                <w:bCs/>
                <w:sz w:val="20"/>
                <w:szCs w:val="20"/>
              </w:rPr>
              <w:t>Unaudited six months ended 30 September 202</w:t>
            </w:r>
            <w:r>
              <w:rPr>
                <w:b/>
                <w:bCs/>
                <w:sz w:val="20"/>
                <w:szCs w:val="20"/>
              </w:rPr>
              <w:t>3</w:t>
            </w:r>
            <w:r w:rsidRPr="00D46B6F">
              <w:rPr>
                <w:b/>
                <w:bCs/>
                <w:sz w:val="20"/>
                <w:szCs w:val="20"/>
              </w:rPr>
              <w:t xml:space="preserve"> £</w:t>
            </w:r>
          </w:p>
        </w:tc>
        <w:tc>
          <w:tcPr>
            <w:tcW w:w="119" w:type="pct"/>
            <w:tcBorders>
              <w:top w:val="nil"/>
              <w:left w:val="nil"/>
              <w:bottom w:val="nil"/>
              <w:right w:val="nil"/>
            </w:tcBorders>
            <w:noWrap/>
            <w:vAlign w:val="bottom"/>
            <w:hideMark/>
          </w:tcPr>
          <w:p w14:paraId="1F2D4BDA" w14:textId="77777777" w:rsidR="00C44869" w:rsidRPr="00D46B6F" w:rsidRDefault="00C44869" w:rsidP="007B3453">
            <w:pPr>
              <w:jc w:val="center"/>
              <w:rPr>
                <w:b/>
                <w:bCs/>
                <w:sz w:val="20"/>
                <w:szCs w:val="20"/>
              </w:rPr>
            </w:pPr>
          </w:p>
        </w:tc>
        <w:tc>
          <w:tcPr>
            <w:tcW w:w="806" w:type="pct"/>
            <w:vMerge w:val="restart"/>
            <w:tcBorders>
              <w:top w:val="nil"/>
              <w:left w:val="nil"/>
              <w:bottom w:val="single" w:sz="4" w:space="0" w:color="auto"/>
              <w:right w:val="nil"/>
            </w:tcBorders>
            <w:vAlign w:val="bottom"/>
            <w:hideMark/>
          </w:tcPr>
          <w:p w14:paraId="27C39D99" w14:textId="77777777" w:rsidR="00C44869" w:rsidRDefault="00C44869" w:rsidP="007B3453">
            <w:pPr>
              <w:jc w:val="center"/>
              <w:rPr>
                <w:b/>
                <w:bCs/>
                <w:sz w:val="20"/>
                <w:szCs w:val="20"/>
              </w:rPr>
            </w:pPr>
            <w:r w:rsidRPr="00D46B6F">
              <w:rPr>
                <w:b/>
                <w:bCs/>
                <w:sz w:val="20"/>
                <w:szCs w:val="20"/>
              </w:rPr>
              <w:t>Audited</w:t>
            </w:r>
          </w:p>
          <w:p w14:paraId="1681C14A" w14:textId="77777777" w:rsidR="00C44869" w:rsidRDefault="00C44869" w:rsidP="007B3453">
            <w:pPr>
              <w:jc w:val="center"/>
              <w:rPr>
                <w:b/>
                <w:bCs/>
                <w:sz w:val="20"/>
                <w:szCs w:val="20"/>
              </w:rPr>
            </w:pPr>
            <w:r w:rsidRPr="00D46B6F">
              <w:rPr>
                <w:b/>
                <w:bCs/>
                <w:sz w:val="20"/>
                <w:szCs w:val="20"/>
              </w:rPr>
              <w:t xml:space="preserve"> year ended </w:t>
            </w:r>
          </w:p>
          <w:p w14:paraId="0AE0EB09" w14:textId="77777777" w:rsidR="00C44869" w:rsidRPr="00D46B6F" w:rsidRDefault="00C44869" w:rsidP="007B3453">
            <w:pPr>
              <w:jc w:val="center"/>
              <w:rPr>
                <w:b/>
                <w:bCs/>
                <w:sz w:val="20"/>
                <w:szCs w:val="20"/>
              </w:rPr>
            </w:pPr>
            <w:r w:rsidRPr="00D46B6F">
              <w:rPr>
                <w:b/>
                <w:bCs/>
                <w:sz w:val="20"/>
                <w:szCs w:val="20"/>
              </w:rPr>
              <w:t>31 March 202</w:t>
            </w:r>
            <w:r>
              <w:rPr>
                <w:b/>
                <w:bCs/>
                <w:sz w:val="20"/>
                <w:szCs w:val="20"/>
              </w:rPr>
              <w:t>4</w:t>
            </w:r>
            <w:r w:rsidRPr="00D46B6F">
              <w:rPr>
                <w:b/>
                <w:bCs/>
                <w:sz w:val="20"/>
                <w:szCs w:val="20"/>
              </w:rPr>
              <w:t xml:space="preserve"> </w:t>
            </w:r>
            <w:r w:rsidRPr="00D46B6F">
              <w:rPr>
                <w:rFonts w:ascii="Calibri" w:hAnsi="Calibri" w:cs="Calibri"/>
                <w:b/>
                <w:bCs/>
                <w:sz w:val="20"/>
                <w:szCs w:val="20"/>
              </w:rPr>
              <w:t>£</w:t>
            </w:r>
          </w:p>
        </w:tc>
        <w:tc>
          <w:tcPr>
            <w:tcW w:w="117" w:type="pct"/>
            <w:tcBorders>
              <w:top w:val="nil"/>
              <w:left w:val="nil"/>
              <w:bottom w:val="nil"/>
              <w:right w:val="nil"/>
            </w:tcBorders>
            <w:noWrap/>
            <w:vAlign w:val="bottom"/>
            <w:hideMark/>
          </w:tcPr>
          <w:p w14:paraId="71A55FC1" w14:textId="77777777" w:rsidR="00C44869" w:rsidRPr="00D46B6F" w:rsidRDefault="00C44869" w:rsidP="007B3453">
            <w:pPr>
              <w:jc w:val="center"/>
              <w:rPr>
                <w:b/>
                <w:bCs/>
                <w:sz w:val="20"/>
                <w:szCs w:val="20"/>
              </w:rPr>
            </w:pPr>
          </w:p>
        </w:tc>
      </w:tr>
      <w:tr w:rsidR="00C44869" w:rsidRPr="00D46B6F" w14:paraId="3A693F02" w14:textId="77777777" w:rsidTr="007B3453">
        <w:trPr>
          <w:trHeight w:val="255"/>
        </w:trPr>
        <w:tc>
          <w:tcPr>
            <w:tcW w:w="2162" w:type="pct"/>
            <w:tcBorders>
              <w:top w:val="nil"/>
              <w:left w:val="nil"/>
              <w:bottom w:val="nil"/>
              <w:right w:val="nil"/>
            </w:tcBorders>
            <w:noWrap/>
            <w:vAlign w:val="bottom"/>
            <w:hideMark/>
          </w:tcPr>
          <w:p w14:paraId="63C0FA55" w14:textId="77777777" w:rsidR="00C44869" w:rsidRPr="00D46B6F" w:rsidRDefault="00C44869" w:rsidP="007B3453">
            <w:pPr>
              <w:rPr>
                <w:sz w:val="20"/>
                <w:szCs w:val="20"/>
              </w:rPr>
            </w:pPr>
          </w:p>
        </w:tc>
        <w:tc>
          <w:tcPr>
            <w:tcW w:w="114" w:type="pct"/>
            <w:tcBorders>
              <w:top w:val="nil"/>
              <w:left w:val="nil"/>
              <w:bottom w:val="nil"/>
              <w:right w:val="nil"/>
            </w:tcBorders>
            <w:noWrap/>
            <w:vAlign w:val="bottom"/>
            <w:hideMark/>
          </w:tcPr>
          <w:p w14:paraId="7D506DF6" w14:textId="77777777" w:rsidR="00C44869" w:rsidRPr="00D46B6F" w:rsidRDefault="00C44869" w:rsidP="007B3453">
            <w:pPr>
              <w:jc w:val="center"/>
              <w:rPr>
                <w:sz w:val="20"/>
                <w:szCs w:val="20"/>
              </w:rPr>
            </w:pPr>
          </w:p>
        </w:tc>
        <w:tc>
          <w:tcPr>
            <w:tcW w:w="706" w:type="pct"/>
            <w:vMerge/>
            <w:tcBorders>
              <w:top w:val="nil"/>
              <w:left w:val="nil"/>
              <w:bottom w:val="single" w:sz="4" w:space="0" w:color="000000"/>
              <w:right w:val="nil"/>
            </w:tcBorders>
            <w:vAlign w:val="center"/>
            <w:hideMark/>
          </w:tcPr>
          <w:p w14:paraId="11976377" w14:textId="77777777" w:rsidR="00C44869" w:rsidRPr="00D46B6F" w:rsidRDefault="00C44869" w:rsidP="007B3453">
            <w:pPr>
              <w:rPr>
                <w:b/>
                <w:bCs/>
                <w:sz w:val="20"/>
                <w:szCs w:val="20"/>
              </w:rPr>
            </w:pPr>
          </w:p>
        </w:tc>
        <w:tc>
          <w:tcPr>
            <w:tcW w:w="119" w:type="pct"/>
            <w:tcBorders>
              <w:top w:val="nil"/>
              <w:left w:val="nil"/>
              <w:bottom w:val="nil"/>
              <w:right w:val="nil"/>
            </w:tcBorders>
            <w:noWrap/>
            <w:vAlign w:val="bottom"/>
            <w:hideMark/>
          </w:tcPr>
          <w:p w14:paraId="77CF91B0" w14:textId="77777777" w:rsidR="00C44869" w:rsidRPr="00D46B6F" w:rsidRDefault="00C44869" w:rsidP="007B3453">
            <w:pPr>
              <w:jc w:val="center"/>
              <w:rPr>
                <w:sz w:val="20"/>
                <w:szCs w:val="20"/>
              </w:rPr>
            </w:pPr>
          </w:p>
        </w:tc>
        <w:tc>
          <w:tcPr>
            <w:tcW w:w="857" w:type="pct"/>
            <w:vMerge/>
            <w:tcBorders>
              <w:top w:val="nil"/>
              <w:left w:val="nil"/>
              <w:bottom w:val="single" w:sz="4" w:space="0" w:color="000000"/>
              <w:right w:val="nil"/>
            </w:tcBorders>
            <w:vAlign w:val="center"/>
            <w:hideMark/>
          </w:tcPr>
          <w:p w14:paraId="7114F563" w14:textId="77777777" w:rsidR="00C44869" w:rsidRPr="00D46B6F" w:rsidRDefault="00C44869" w:rsidP="007B3453">
            <w:pPr>
              <w:rPr>
                <w:b/>
                <w:bCs/>
                <w:sz w:val="20"/>
                <w:szCs w:val="20"/>
              </w:rPr>
            </w:pPr>
          </w:p>
        </w:tc>
        <w:tc>
          <w:tcPr>
            <w:tcW w:w="119" w:type="pct"/>
            <w:tcBorders>
              <w:top w:val="nil"/>
              <w:left w:val="nil"/>
              <w:bottom w:val="nil"/>
              <w:right w:val="nil"/>
            </w:tcBorders>
            <w:noWrap/>
            <w:vAlign w:val="bottom"/>
            <w:hideMark/>
          </w:tcPr>
          <w:p w14:paraId="4C16B8BF" w14:textId="77777777" w:rsidR="00C44869" w:rsidRPr="00D46B6F" w:rsidRDefault="00C44869" w:rsidP="007B3453">
            <w:pPr>
              <w:rPr>
                <w:sz w:val="20"/>
                <w:szCs w:val="20"/>
              </w:rPr>
            </w:pPr>
          </w:p>
        </w:tc>
        <w:tc>
          <w:tcPr>
            <w:tcW w:w="806" w:type="pct"/>
            <w:vMerge/>
            <w:tcBorders>
              <w:top w:val="nil"/>
              <w:left w:val="nil"/>
              <w:bottom w:val="single" w:sz="4" w:space="0" w:color="auto"/>
              <w:right w:val="nil"/>
            </w:tcBorders>
            <w:vAlign w:val="center"/>
            <w:hideMark/>
          </w:tcPr>
          <w:p w14:paraId="1EBA52E0" w14:textId="77777777" w:rsidR="00C44869" w:rsidRPr="00D46B6F" w:rsidRDefault="00C44869" w:rsidP="007B3453">
            <w:pPr>
              <w:rPr>
                <w:b/>
                <w:bCs/>
                <w:sz w:val="20"/>
                <w:szCs w:val="20"/>
              </w:rPr>
            </w:pPr>
          </w:p>
        </w:tc>
        <w:tc>
          <w:tcPr>
            <w:tcW w:w="117" w:type="pct"/>
            <w:tcBorders>
              <w:top w:val="nil"/>
              <w:left w:val="nil"/>
              <w:bottom w:val="nil"/>
              <w:right w:val="nil"/>
            </w:tcBorders>
            <w:noWrap/>
            <w:vAlign w:val="bottom"/>
            <w:hideMark/>
          </w:tcPr>
          <w:p w14:paraId="6D0A2CE5" w14:textId="77777777" w:rsidR="00C44869" w:rsidRPr="00D46B6F" w:rsidRDefault="00C44869" w:rsidP="007B3453">
            <w:pPr>
              <w:rPr>
                <w:sz w:val="20"/>
                <w:szCs w:val="20"/>
              </w:rPr>
            </w:pPr>
          </w:p>
        </w:tc>
      </w:tr>
      <w:tr w:rsidR="00C44869" w:rsidRPr="00D46B6F" w14:paraId="117DE46C" w14:textId="77777777" w:rsidTr="007B3453">
        <w:trPr>
          <w:trHeight w:val="660"/>
        </w:trPr>
        <w:tc>
          <w:tcPr>
            <w:tcW w:w="2162" w:type="pct"/>
            <w:tcBorders>
              <w:top w:val="nil"/>
              <w:left w:val="nil"/>
              <w:bottom w:val="nil"/>
              <w:right w:val="nil"/>
            </w:tcBorders>
            <w:noWrap/>
            <w:vAlign w:val="bottom"/>
            <w:hideMark/>
          </w:tcPr>
          <w:p w14:paraId="72A30644" w14:textId="77777777" w:rsidR="00C44869" w:rsidRPr="00D46B6F" w:rsidRDefault="00C44869" w:rsidP="007B3453">
            <w:pPr>
              <w:rPr>
                <w:sz w:val="20"/>
                <w:szCs w:val="20"/>
              </w:rPr>
            </w:pPr>
          </w:p>
        </w:tc>
        <w:tc>
          <w:tcPr>
            <w:tcW w:w="114" w:type="pct"/>
            <w:tcBorders>
              <w:top w:val="nil"/>
              <w:left w:val="nil"/>
              <w:bottom w:val="nil"/>
              <w:right w:val="nil"/>
            </w:tcBorders>
            <w:noWrap/>
            <w:vAlign w:val="bottom"/>
            <w:hideMark/>
          </w:tcPr>
          <w:p w14:paraId="73345709" w14:textId="77777777" w:rsidR="00C44869" w:rsidRPr="00D46B6F" w:rsidRDefault="00C44869" w:rsidP="007B3453">
            <w:pPr>
              <w:jc w:val="center"/>
              <w:rPr>
                <w:sz w:val="20"/>
                <w:szCs w:val="20"/>
              </w:rPr>
            </w:pPr>
          </w:p>
        </w:tc>
        <w:tc>
          <w:tcPr>
            <w:tcW w:w="706" w:type="pct"/>
            <w:vMerge/>
            <w:tcBorders>
              <w:top w:val="nil"/>
              <w:left w:val="nil"/>
              <w:bottom w:val="single" w:sz="4" w:space="0" w:color="000000"/>
              <w:right w:val="nil"/>
            </w:tcBorders>
            <w:vAlign w:val="center"/>
            <w:hideMark/>
          </w:tcPr>
          <w:p w14:paraId="39FBE988" w14:textId="77777777" w:rsidR="00C44869" w:rsidRPr="00D46B6F" w:rsidRDefault="00C44869" w:rsidP="007B3453">
            <w:pPr>
              <w:rPr>
                <w:b/>
                <w:bCs/>
                <w:sz w:val="20"/>
                <w:szCs w:val="20"/>
              </w:rPr>
            </w:pPr>
          </w:p>
        </w:tc>
        <w:tc>
          <w:tcPr>
            <w:tcW w:w="119" w:type="pct"/>
            <w:tcBorders>
              <w:top w:val="nil"/>
              <w:left w:val="nil"/>
              <w:bottom w:val="nil"/>
              <w:right w:val="nil"/>
            </w:tcBorders>
            <w:noWrap/>
            <w:vAlign w:val="bottom"/>
            <w:hideMark/>
          </w:tcPr>
          <w:p w14:paraId="103AEA97" w14:textId="77777777" w:rsidR="00C44869" w:rsidRPr="00D46B6F" w:rsidRDefault="00C44869" w:rsidP="007B3453">
            <w:pPr>
              <w:jc w:val="center"/>
              <w:rPr>
                <w:sz w:val="20"/>
                <w:szCs w:val="20"/>
              </w:rPr>
            </w:pPr>
          </w:p>
        </w:tc>
        <w:tc>
          <w:tcPr>
            <w:tcW w:w="857" w:type="pct"/>
            <w:vMerge/>
            <w:tcBorders>
              <w:top w:val="nil"/>
              <w:left w:val="nil"/>
              <w:bottom w:val="single" w:sz="4" w:space="0" w:color="000000"/>
              <w:right w:val="nil"/>
            </w:tcBorders>
            <w:vAlign w:val="center"/>
            <w:hideMark/>
          </w:tcPr>
          <w:p w14:paraId="3F4650B6" w14:textId="77777777" w:rsidR="00C44869" w:rsidRPr="00D46B6F" w:rsidRDefault="00C44869" w:rsidP="007B3453">
            <w:pPr>
              <w:rPr>
                <w:b/>
                <w:bCs/>
                <w:sz w:val="20"/>
                <w:szCs w:val="20"/>
              </w:rPr>
            </w:pPr>
          </w:p>
        </w:tc>
        <w:tc>
          <w:tcPr>
            <w:tcW w:w="119" w:type="pct"/>
            <w:tcBorders>
              <w:top w:val="nil"/>
              <w:left w:val="nil"/>
              <w:bottom w:val="nil"/>
              <w:right w:val="nil"/>
            </w:tcBorders>
            <w:vAlign w:val="bottom"/>
            <w:hideMark/>
          </w:tcPr>
          <w:p w14:paraId="07933641" w14:textId="77777777" w:rsidR="00C44869" w:rsidRPr="00D46B6F" w:rsidRDefault="00C44869" w:rsidP="007B3453">
            <w:pPr>
              <w:jc w:val="center"/>
              <w:rPr>
                <w:sz w:val="20"/>
                <w:szCs w:val="20"/>
              </w:rPr>
            </w:pPr>
          </w:p>
        </w:tc>
        <w:tc>
          <w:tcPr>
            <w:tcW w:w="806" w:type="pct"/>
            <w:vMerge/>
            <w:tcBorders>
              <w:top w:val="nil"/>
              <w:left w:val="nil"/>
              <w:bottom w:val="single" w:sz="4" w:space="0" w:color="auto"/>
              <w:right w:val="nil"/>
            </w:tcBorders>
            <w:vAlign w:val="center"/>
            <w:hideMark/>
          </w:tcPr>
          <w:p w14:paraId="359510D0" w14:textId="77777777" w:rsidR="00C44869" w:rsidRPr="00D46B6F" w:rsidRDefault="00C44869" w:rsidP="007B3453">
            <w:pPr>
              <w:rPr>
                <w:b/>
                <w:bCs/>
                <w:sz w:val="20"/>
                <w:szCs w:val="20"/>
              </w:rPr>
            </w:pPr>
          </w:p>
        </w:tc>
        <w:tc>
          <w:tcPr>
            <w:tcW w:w="117" w:type="pct"/>
            <w:tcBorders>
              <w:top w:val="nil"/>
              <w:left w:val="nil"/>
              <w:bottom w:val="nil"/>
              <w:right w:val="nil"/>
            </w:tcBorders>
            <w:noWrap/>
            <w:vAlign w:val="bottom"/>
            <w:hideMark/>
          </w:tcPr>
          <w:p w14:paraId="32B2D40E" w14:textId="77777777" w:rsidR="00C44869" w:rsidRPr="00D46B6F" w:rsidRDefault="00C44869" w:rsidP="007B3453">
            <w:pPr>
              <w:jc w:val="center"/>
              <w:rPr>
                <w:sz w:val="20"/>
                <w:szCs w:val="20"/>
              </w:rPr>
            </w:pPr>
          </w:p>
        </w:tc>
      </w:tr>
      <w:tr w:rsidR="00C44869" w:rsidRPr="00D46B6F" w14:paraId="7D1954F8" w14:textId="77777777" w:rsidTr="007B3453">
        <w:trPr>
          <w:trHeight w:val="255"/>
        </w:trPr>
        <w:tc>
          <w:tcPr>
            <w:tcW w:w="2162" w:type="pct"/>
            <w:tcBorders>
              <w:top w:val="nil"/>
              <w:left w:val="nil"/>
              <w:bottom w:val="nil"/>
              <w:right w:val="nil"/>
            </w:tcBorders>
            <w:noWrap/>
            <w:vAlign w:val="bottom"/>
            <w:hideMark/>
          </w:tcPr>
          <w:p w14:paraId="25B0B3B7" w14:textId="77777777" w:rsidR="00C44869" w:rsidRPr="00D46B6F" w:rsidRDefault="00C44869" w:rsidP="007B3453">
            <w:pPr>
              <w:rPr>
                <w:sz w:val="20"/>
                <w:szCs w:val="20"/>
              </w:rPr>
            </w:pPr>
          </w:p>
        </w:tc>
        <w:tc>
          <w:tcPr>
            <w:tcW w:w="114" w:type="pct"/>
            <w:tcBorders>
              <w:top w:val="nil"/>
              <w:left w:val="nil"/>
              <w:bottom w:val="nil"/>
              <w:right w:val="nil"/>
            </w:tcBorders>
            <w:noWrap/>
            <w:vAlign w:val="bottom"/>
            <w:hideMark/>
          </w:tcPr>
          <w:p w14:paraId="06EB3AF7" w14:textId="77777777" w:rsidR="00C44869" w:rsidRPr="00D46B6F" w:rsidRDefault="00C44869" w:rsidP="007B3453">
            <w:pPr>
              <w:jc w:val="center"/>
              <w:rPr>
                <w:sz w:val="20"/>
                <w:szCs w:val="20"/>
              </w:rPr>
            </w:pPr>
          </w:p>
        </w:tc>
        <w:tc>
          <w:tcPr>
            <w:tcW w:w="706" w:type="pct"/>
            <w:tcBorders>
              <w:top w:val="nil"/>
              <w:left w:val="nil"/>
              <w:bottom w:val="nil"/>
              <w:right w:val="nil"/>
            </w:tcBorders>
            <w:vAlign w:val="bottom"/>
            <w:hideMark/>
          </w:tcPr>
          <w:p w14:paraId="0941D426" w14:textId="77777777" w:rsidR="00C44869" w:rsidRPr="00D46B6F" w:rsidRDefault="00C44869" w:rsidP="007B3453">
            <w:pPr>
              <w:jc w:val="center"/>
              <w:rPr>
                <w:sz w:val="20"/>
                <w:szCs w:val="20"/>
              </w:rPr>
            </w:pPr>
          </w:p>
        </w:tc>
        <w:tc>
          <w:tcPr>
            <w:tcW w:w="119" w:type="pct"/>
            <w:tcBorders>
              <w:top w:val="nil"/>
              <w:left w:val="nil"/>
              <w:bottom w:val="nil"/>
              <w:right w:val="nil"/>
            </w:tcBorders>
            <w:noWrap/>
            <w:vAlign w:val="bottom"/>
            <w:hideMark/>
          </w:tcPr>
          <w:p w14:paraId="3D74750B" w14:textId="77777777" w:rsidR="00C44869" w:rsidRPr="00D46B6F" w:rsidRDefault="00C44869" w:rsidP="007B3453">
            <w:pPr>
              <w:rPr>
                <w:sz w:val="20"/>
                <w:szCs w:val="20"/>
              </w:rPr>
            </w:pPr>
          </w:p>
        </w:tc>
        <w:tc>
          <w:tcPr>
            <w:tcW w:w="857" w:type="pct"/>
            <w:tcBorders>
              <w:top w:val="nil"/>
              <w:left w:val="nil"/>
              <w:bottom w:val="nil"/>
              <w:right w:val="nil"/>
            </w:tcBorders>
            <w:vAlign w:val="bottom"/>
            <w:hideMark/>
          </w:tcPr>
          <w:p w14:paraId="37BB0C86" w14:textId="77777777" w:rsidR="00C44869" w:rsidRPr="00D46B6F" w:rsidRDefault="00C44869" w:rsidP="007B3453">
            <w:pPr>
              <w:jc w:val="center"/>
              <w:rPr>
                <w:sz w:val="20"/>
                <w:szCs w:val="20"/>
              </w:rPr>
            </w:pPr>
          </w:p>
        </w:tc>
        <w:tc>
          <w:tcPr>
            <w:tcW w:w="119" w:type="pct"/>
            <w:tcBorders>
              <w:top w:val="nil"/>
              <w:left w:val="nil"/>
              <w:bottom w:val="nil"/>
              <w:right w:val="nil"/>
            </w:tcBorders>
            <w:vAlign w:val="bottom"/>
            <w:hideMark/>
          </w:tcPr>
          <w:p w14:paraId="1DDC4F3E" w14:textId="77777777" w:rsidR="00C44869" w:rsidRPr="00D46B6F" w:rsidRDefault="00C44869" w:rsidP="007B3453">
            <w:pPr>
              <w:rPr>
                <w:sz w:val="20"/>
                <w:szCs w:val="20"/>
              </w:rPr>
            </w:pPr>
          </w:p>
        </w:tc>
        <w:tc>
          <w:tcPr>
            <w:tcW w:w="806" w:type="pct"/>
            <w:tcBorders>
              <w:top w:val="nil"/>
              <w:left w:val="nil"/>
              <w:bottom w:val="nil"/>
              <w:right w:val="nil"/>
            </w:tcBorders>
            <w:vAlign w:val="bottom"/>
            <w:hideMark/>
          </w:tcPr>
          <w:p w14:paraId="27D8B9D8" w14:textId="77777777" w:rsidR="00C44869" w:rsidRPr="00D46B6F" w:rsidRDefault="00C44869" w:rsidP="007B3453">
            <w:pPr>
              <w:rPr>
                <w:sz w:val="20"/>
                <w:szCs w:val="20"/>
              </w:rPr>
            </w:pPr>
          </w:p>
        </w:tc>
        <w:tc>
          <w:tcPr>
            <w:tcW w:w="117" w:type="pct"/>
            <w:tcBorders>
              <w:top w:val="nil"/>
              <w:left w:val="nil"/>
              <w:bottom w:val="nil"/>
              <w:right w:val="nil"/>
            </w:tcBorders>
            <w:noWrap/>
            <w:vAlign w:val="bottom"/>
            <w:hideMark/>
          </w:tcPr>
          <w:p w14:paraId="405E4F69" w14:textId="77777777" w:rsidR="00C44869" w:rsidRPr="00D46B6F" w:rsidRDefault="00C44869" w:rsidP="007B3453">
            <w:pPr>
              <w:rPr>
                <w:sz w:val="20"/>
                <w:szCs w:val="20"/>
              </w:rPr>
            </w:pPr>
          </w:p>
        </w:tc>
      </w:tr>
      <w:tr w:rsidR="00C44869" w:rsidRPr="00D46B6F" w14:paraId="2C0063CA" w14:textId="77777777" w:rsidTr="007B3453">
        <w:trPr>
          <w:trHeight w:val="260"/>
        </w:trPr>
        <w:tc>
          <w:tcPr>
            <w:tcW w:w="2162" w:type="pct"/>
            <w:tcBorders>
              <w:top w:val="nil"/>
              <w:left w:val="nil"/>
              <w:bottom w:val="nil"/>
              <w:right w:val="nil"/>
            </w:tcBorders>
            <w:noWrap/>
            <w:vAlign w:val="bottom"/>
            <w:hideMark/>
          </w:tcPr>
          <w:p w14:paraId="4FDDA887" w14:textId="77777777" w:rsidR="00C44869" w:rsidRPr="00D46B6F" w:rsidRDefault="00C44869" w:rsidP="007B3453">
            <w:pPr>
              <w:rPr>
                <w:b/>
                <w:bCs/>
                <w:sz w:val="20"/>
                <w:szCs w:val="20"/>
              </w:rPr>
            </w:pPr>
            <w:r w:rsidRPr="00D46B6F">
              <w:rPr>
                <w:b/>
                <w:bCs/>
                <w:sz w:val="20"/>
                <w:szCs w:val="20"/>
              </w:rPr>
              <w:t xml:space="preserve">Cash Flows </w:t>
            </w:r>
            <w:proofErr w:type="gramStart"/>
            <w:r w:rsidRPr="00D46B6F">
              <w:rPr>
                <w:b/>
                <w:bCs/>
                <w:sz w:val="20"/>
                <w:szCs w:val="20"/>
              </w:rPr>
              <w:t>From</w:t>
            </w:r>
            <w:proofErr w:type="gramEnd"/>
            <w:r w:rsidRPr="00D46B6F">
              <w:rPr>
                <w:b/>
                <w:bCs/>
                <w:sz w:val="20"/>
                <w:szCs w:val="20"/>
              </w:rPr>
              <w:t xml:space="preserve"> Operating Activities</w:t>
            </w:r>
          </w:p>
        </w:tc>
        <w:tc>
          <w:tcPr>
            <w:tcW w:w="114" w:type="pct"/>
            <w:tcBorders>
              <w:top w:val="nil"/>
              <w:left w:val="nil"/>
              <w:bottom w:val="nil"/>
              <w:right w:val="nil"/>
            </w:tcBorders>
            <w:noWrap/>
            <w:vAlign w:val="bottom"/>
            <w:hideMark/>
          </w:tcPr>
          <w:p w14:paraId="0597153E" w14:textId="77777777" w:rsidR="00C44869" w:rsidRPr="00D46B6F" w:rsidRDefault="00C44869" w:rsidP="007B3453">
            <w:pPr>
              <w:rPr>
                <w:b/>
                <w:bCs/>
                <w:sz w:val="20"/>
                <w:szCs w:val="20"/>
              </w:rPr>
            </w:pPr>
          </w:p>
        </w:tc>
        <w:tc>
          <w:tcPr>
            <w:tcW w:w="706" w:type="pct"/>
            <w:tcBorders>
              <w:top w:val="nil"/>
              <w:left w:val="nil"/>
              <w:bottom w:val="nil"/>
              <w:right w:val="nil"/>
            </w:tcBorders>
            <w:vAlign w:val="bottom"/>
            <w:hideMark/>
          </w:tcPr>
          <w:p w14:paraId="1016A8F8" w14:textId="77777777" w:rsidR="00C44869" w:rsidRPr="00D46B6F" w:rsidRDefault="00C44869" w:rsidP="007B3453">
            <w:pPr>
              <w:rPr>
                <w:sz w:val="20"/>
                <w:szCs w:val="20"/>
              </w:rPr>
            </w:pPr>
          </w:p>
        </w:tc>
        <w:tc>
          <w:tcPr>
            <w:tcW w:w="119" w:type="pct"/>
            <w:tcBorders>
              <w:top w:val="nil"/>
              <w:left w:val="nil"/>
              <w:bottom w:val="nil"/>
              <w:right w:val="nil"/>
            </w:tcBorders>
            <w:noWrap/>
            <w:vAlign w:val="bottom"/>
            <w:hideMark/>
          </w:tcPr>
          <w:p w14:paraId="505CE379" w14:textId="77777777" w:rsidR="00C44869" w:rsidRPr="00D46B6F" w:rsidRDefault="00C44869" w:rsidP="007B3453">
            <w:pPr>
              <w:rPr>
                <w:sz w:val="20"/>
                <w:szCs w:val="20"/>
              </w:rPr>
            </w:pPr>
          </w:p>
        </w:tc>
        <w:tc>
          <w:tcPr>
            <w:tcW w:w="857" w:type="pct"/>
            <w:tcBorders>
              <w:top w:val="nil"/>
              <w:left w:val="nil"/>
              <w:bottom w:val="nil"/>
              <w:right w:val="nil"/>
            </w:tcBorders>
            <w:vAlign w:val="bottom"/>
            <w:hideMark/>
          </w:tcPr>
          <w:p w14:paraId="168F6756" w14:textId="77777777" w:rsidR="00C44869" w:rsidRPr="00D46B6F" w:rsidRDefault="00C44869" w:rsidP="007B3453">
            <w:pPr>
              <w:jc w:val="center"/>
              <w:rPr>
                <w:sz w:val="20"/>
                <w:szCs w:val="20"/>
              </w:rPr>
            </w:pPr>
          </w:p>
        </w:tc>
        <w:tc>
          <w:tcPr>
            <w:tcW w:w="119" w:type="pct"/>
            <w:tcBorders>
              <w:top w:val="nil"/>
              <w:left w:val="nil"/>
              <w:bottom w:val="nil"/>
              <w:right w:val="nil"/>
            </w:tcBorders>
            <w:vAlign w:val="bottom"/>
            <w:hideMark/>
          </w:tcPr>
          <w:p w14:paraId="167C0192" w14:textId="77777777" w:rsidR="00C44869" w:rsidRPr="00D46B6F" w:rsidRDefault="00C44869" w:rsidP="007B3453">
            <w:pPr>
              <w:rPr>
                <w:sz w:val="20"/>
                <w:szCs w:val="20"/>
              </w:rPr>
            </w:pPr>
          </w:p>
        </w:tc>
        <w:tc>
          <w:tcPr>
            <w:tcW w:w="806" w:type="pct"/>
            <w:tcBorders>
              <w:top w:val="nil"/>
              <w:left w:val="nil"/>
              <w:bottom w:val="nil"/>
              <w:right w:val="nil"/>
            </w:tcBorders>
            <w:vAlign w:val="bottom"/>
            <w:hideMark/>
          </w:tcPr>
          <w:p w14:paraId="2E5501C7" w14:textId="77777777" w:rsidR="00C44869" w:rsidRPr="00D46B6F" w:rsidRDefault="00C44869" w:rsidP="007B3453">
            <w:pPr>
              <w:rPr>
                <w:sz w:val="20"/>
                <w:szCs w:val="20"/>
              </w:rPr>
            </w:pPr>
          </w:p>
        </w:tc>
        <w:tc>
          <w:tcPr>
            <w:tcW w:w="117" w:type="pct"/>
            <w:tcBorders>
              <w:top w:val="nil"/>
              <w:left w:val="nil"/>
              <w:bottom w:val="nil"/>
              <w:right w:val="nil"/>
            </w:tcBorders>
            <w:noWrap/>
            <w:vAlign w:val="bottom"/>
            <w:hideMark/>
          </w:tcPr>
          <w:p w14:paraId="0E31EA91" w14:textId="77777777" w:rsidR="00C44869" w:rsidRPr="00D46B6F" w:rsidRDefault="00C44869" w:rsidP="007B3453">
            <w:pPr>
              <w:rPr>
                <w:sz w:val="20"/>
                <w:szCs w:val="20"/>
              </w:rPr>
            </w:pPr>
          </w:p>
        </w:tc>
      </w:tr>
      <w:tr w:rsidR="00C44869" w:rsidRPr="00D46B6F" w14:paraId="6E2E7546" w14:textId="77777777" w:rsidTr="007B3453">
        <w:trPr>
          <w:trHeight w:val="260"/>
        </w:trPr>
        <w:tc>
          <w:tcPr>
            <w:tcW w:w="2162" w:type="pct"/>
            <w:tcBorders>
              <w:top w:val="nil"/>
              <w:left w:val="nil"/>
              <w:bottom w:val="nil"/>
              <w:right w:val="nil"/>
            </w:tcBorders>
            <w:noWrap/>
            <w:vAlign w:val="bottom"/>
            <w:hideMark/>
          </w:tcPr>
          <w:p w14:paraId="26010F2E" w14:textId="77777777" w:rsidR="00C44869" w:rsidRPr="00D46B6F" w:rsidRDefault="00C44869" w:rsidP="007B3453">
            <w:pPr>
              <w:rPr>
                <w:sz w:val="20"/>
                <w:szCs w:val="20"/>
              </w:rPr>
            </w:pPr>
            <w:r w:rsidRPr="00D46B6F">
              <w:rPr>
                <w:sz w:val="20"/>
                <w:szCs w:val="20"/>
              </w:rPr>
              <w:t>Loss for the period</w:t>
            </w:r>
          </w:p>
        </w:tc>
        <w:tc>
          <w:tcPr>
            <w:tcW w:w="114" w:type="pct"/>
            <w:tcBorders>
              <w:top w:val="nil"/>
              <w:left w:val="nil"/>
              <w:bottom w:val="nil"/>
              <w:right w:val="nil"/>
            </w:tcBorders>
            <w:noWrap/>
            <w:vAlign w:val="bottom"/>
            <w:hideMark/>
          </w:tcPr>
          <w:p w14:paraId="11B0268A"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2DC332E8" w14:textId="77777777" w:rsidR="00C44869" w:rsidRPr="00D46B6F" w:rsidRDefault="00C44869" w:rsidP="007B3453">
            <w:pPr>
              <w:jc w:val="right"/>
              <w:rPr>
                <w:b/>
                <w:bCs/>
                <w:sz w:val="20"/>
                <w:szCs w:val="20"/>
              </w:rPr>
            </w:pPr>
            <w:r>
              <w:rPr>
                <w:b/>
                <w:bCs/>
                <w:sz w:val="20"/>
                <w:szCs w:val="20"/>
              </w:rPr>
              <w:t>(2,575,440)</w:t>
            </w:r>
          </w:p>
        </w:tc>
        <w:tc>
          <w:tcPr>
            <w:tcW w:w="119" w:type="pct"/>
            <w:tcBorders>
              <w:top w:val="nil"/>
              <w:left w:val="nil"/>
              <w:bottom w:val="nil"/>
              <w:right w:val="nil"/>
            </w:tcBorders>
            <w:noWrap/>
            <w:vAlign w:val="bottom"/>
            <w:hideMark/>
          </w:tcPr>
          <w:p w14:paraId="3484BFA8"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63B94D8C" w14:textId="77777777" w:rsidR="00C44869" w:rsidRPr="000E3E16" w:rsidRDefault="00C44869" w:rsidP="007B3453">
            <w:pPr>
              <w:jc w:val="right"/>
              <w:rPr>
                <w:sz w:val="20"/>
                <w:szCs w:val="20"/>
              </w:rPr>
            </w:pPr>
            <w:r w:rsidRPr="000E3E16">
              <w:rPr>
                <w:sz w:val="20"/>
                <w:szCs w:val="20"/>
              </w:rPr>
              <w:t xml:space="preserve">               (1,582,536)</w:t>
            </w:r>
          </w:p>
        </w:tc>
        <w:tc>
          <w:tcPr>
            <w:tcW w:w="119" w:type="pct"/>
            <w:tcBorders>
              <w:top w:val="nil"/>
              <w:left w:val="nil"/>
              <w:bottom w:val="nil"/>
              <w:right w:val="nil"/>
            </w:tcBorders>
            <w:noWrap/>
            <w:vAlign w:val="bottom"/>
            <w:hideMark/>
          </w:tcPr>
          <w:p w14:paraId="56E0D291"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09FAF54C" w14:textId="77777777" w:rsidR="00C44869" w:rsidRPr="00D46B6F" w:rsidRDefault="00C44869" w:rsidP="007B3453">
            <w:pPr>
              <w:jc w:val="right"/>
              <w:rPr>
                <w:sz w:val="20"/>
                <w:szCs w:val="20"/>
              </w:rPr>
            </w:pPr>
            <w:r w:rsidRPr="00D46B6F">
              <w:rPr>
                <w:sz w:val="20"/>
                <w:szCs w:val="20"/>
              </w:rPr>
              <w:t xml:space="preserve">           (</w:t>
            </w:r>
            <w:r>
              <w:rPr>
                <w:sz w:val="20"/>
                <w:szCs w:val="20"/>
              </w:rPr>
              <w:t>3</w:t>
            </w:r>
            <w:r w:rsidRPr="00D46B6F">
              <w:rPr>
                <w:sz w:val="20"/>
                <w:szCs w:val="20"/>
              </w:rPr>
              <w:t>,</w:t>
            </w:r>
            <w:r>
              <w:rPr>
                <w:sz w:val="20"/>
                <w:szCs w:val="20"/>
              </w:rPr>
              <w:t>370,293</w:t>
            </w:r>
            <w:r w:rsidRPr="00D46B6F">
              <w:rPr>
                <w:sz w:val="20"/>
                <w:szCs w:val="20"/>
              </w:rPr>
              <w:t>)</w:t>
            </w:r>
          </w:p>
        </w:tc>
        <w:tc>
          <w:tcPr>
            <w:tcW w:w="117" w:type="pct"/>
            <w:tcBorders>
              <w:top w:val="nil"/>
              <w:left w:val="nil"/>
              <w:bottom w:val="nil"/>
              <w:right w:val="nil"/>
            </w:tcBorders>
            <w:noWrap/>
            <w:vAlign w:val="bottom"/>
            <w:hideMark/>
          </w:tcPr>
          <w:p w14:paraId="7BA1184E" w14:textId="77777777" w:rsidR="00C44869" w:rsidRPr="00D46B6F" w:rsidRDefault="00C44869" w:rsidP="007B3453">
            <w:pPr>
              <w:rPr>
                <w:sz w:val="20"/>
                <w:szCs w:val="20"/>
              </w:rPr>
            </w:pPr>
          </w:p>
        </w:tc>
      </w:tr>
      <w:tr w:rsidR="00C44869" w:rsidRPr="00D46B6F" w14:paraId="624D62D6" w14:textId="77777777" w:rsidTr="007B3453">
        <w:trPr>
          <w:trHeight w:val="260"/>
        </w:trPr>
        <w:tc>
          <w:tcPr>
            <w:tcW w:w="2162" w:type="pct"/>
            <w:tcBorders>
              <w:top w:val="nil"/>
              <w:left w:val="nil"/>
              <w:bottom w:val="nil"/>
              <w:right w:val="nil"/>
            </w:tcBorders>
            <w:noWrap/>
            <w:vAlign w:val="bottom"/>
            <w:hideMark/>
          </w:tcPr>
          <w:p w14:paraId="0755F1E6" w14:textId="77777777" w:rsidR="00C44869" w:rsidRPr="00D46B6F" w:rsidRDefault="00C44869" w:rsidP="007B3453">
            <w:pPr>
              <w:ind w:firstLineChars="200" w:firstLine="400"/>
              <w:rPr>
                <w:sz w:val="20"/>
                <w:szCs w:val="20"/>
              </w:rPr>
            </w:pPr>
            <w:r w:rsidRPr="00D46B6F">
              <w:rPr>
                <w:sz w:val="20"/>
                <w:szCs w:val="20"/>
              </w:rPr>
              <w:t>Adjustments for:</w:t>
            </w:r>
          </w:p>
        </w:tc>
        <w:tc>
          <w:tcPr>
            <w:tcW w:w="114" w:type="pct"/>
            <w:tcBorders>
              <w:top w:val="nil"/>
              <w:left w:val="nil"/>
              <w:bottom w:val="nil"/>
              <w:right w:val="nil"/>
            </w:tcBorders>
            <w:noWrap/>
            <w:vAlign w:val="bottom"/>
            <w:hideMark/>
          </w:tcPr>
          <w:p w14:paraId="072DB496" w14:textId="77777777" w:rsidR="00C44869" w:rsidRPr="00D46B6F" w:rsidRDefault="00C44869" w:rsidP="007B3453">
            <w:pPr>
              <w:ind w:firstLineChars="200" w:firstLine="400"/>
              <w:rPr>
                <w:sz w:val="20"/>
                <w:szCs w:val="20"/>
              </w:rPr>
            </w:pPr>
          </w:p>
        </w:tc>
        <w:tc>
          <w:tcPr>
            <w:tcW w:w="706" w:type="pct"/>
            <w:tcBorders>
              <w:top w:val="nil"/>
              <w:left w:val="nil"/>
              <w:bottom w:val="nil"/>
              <w:right w:val="nil"/>
            </w:tcBorders>
            <w:noWrap/>
            <w:vAlign w:val="bottom"/>
          </w:tcPr>
          <w:p w14:paraId="7F75A286" w14:textId="77777777" w:rsidR="00C44869" w:rsidRPr="00D46B6F" w:rsidRDefault="00C44869" w:rsidP="007B3453">
            <w:pPr>
              <w:ind w:firstLineChars="200" w:firstLine="400"/>
              <w:jc w:val="right"/>
              <w:rPr>
                <w:sz w:val="20"/>
                <w:szCs w:val="20"/>
              </w:rPr>
            </w:pPr>
          </w:p>
        </w:tc>
        <w:tc>
          <w:tcPr>
            <w:tcW w:w="119" w:type="pct"/>
            <w:tcBorders>
              <w:top w:val="nil"/>
              <w:left w:val="nil"/>
              <w:bottom w:val="nil"/>
              <w:right w:val="nil"/>
            </w:tcBorders>
            <w:noWrap/>
            <w:vAlign w:val="bottom"/>
            <w:hideMark/>
          </w:tcPr>
          <w:p w14:paraId="5EE8EC2F" w14:textId="77777777" w:rsidR="00C44869" w:rsidRPr="00D46B6F" w:rsidRDefault="00C44869" w:rsidP="007B3453">
            <w:pPr>
              <w:jc w:val="right"/>
              <w:rPr>
                <w:sz w:val="20"/>
                <w:szCs w:val="20"/>
              </w:rPr>
            </w:pPr>
          </w:p>
        </w:tc>
        <w:tc>
          <w:tcPr>
            <w:tcW w:w="857" w:type="pct"/>
            <w:tcBorders>
              <w:top w:val="nil"/>
              <w:left w:val="nil"/>
              <w:bottom w:val="nil"/>
              <w:right w:val="nil"/>
            </w:tcBorders>
            <w:noWrap/>
            <w:vAlign w:val="bottom"/>
            <w:hideMark/>
          </w:tcPr>
          <w:p w14:paraId="28B9AA81" w14:textId="77777777" w:rsidR="00C44869" w:rsidRPr="000E3E16" w:rsidRDefault="00C44869" w:rsidP="007B3453">
            <w:pPr>
              <w:jc w:val="right"/>
              <w:rPr>
                <w:sz w:val="20"/>
                <w:szCs w:val="20"/>
              </w:rPr>
            </w:pPr>
          </w:p>
        </w:tc>
        <w:tc>
          <w:tcPr>
            <w:tcW w:w="119" w:type="pct"/>
            <w:tcBorders>
              <w:top w:val="nil"/>
              <w:left w:val="nil"/>
              <w:bottom w:val="nil"/>
              <w:right w:val="nil"/>
            </w:tcBorders>
            <w:noWrap/>
            <w:vAlign w:val="bottom"/>
            <w:hideMark/>
          </w:tcPr>
          <w:p w14:paraId="75CEF21F"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1F2B989C" w14:textId="77777777" w:rsidR="00C44869" w:rsidRPr="00D46B6F" w:rsidRDefault="00C44869" w:rsidP="007B3453">
            <w:pPr>
              <w:jc w:val="right"/>
              <w:rPr>
                <w:sz w:val="20"/>
                <w:szCs w:val="20"/>
              </w:rPr>
            </w:pPr>
          </w:p>
        </w:tc>
        <w:tc>
          <w:tcPr>
            <w:tcW w:w="117" w:type="pct"/>
            <w:tcBorders>
              <w:top w:val="nil"/>
              <w:left w:val="nil"/>
              <w:bottom w:val="nil"/>
              <w:right w:val="nil"/>
            </w:tcBorders>
            <w:noWrap/>
            <w:vAlign w:val="bottom"/>
            <w:hideMark/>
          </w:tcPr>
          <w:p w14:paraId="668A4A33" w14:textId="77777777" w:rsidR="00C44869" w:rsidRPr="00D46B6F" w:rsidRDefault="00C44869" w:rsidP="007B3453">
            <w:pPr>
              <w:rPr>
                <w:sz w:val="20"/>
                <w:szCs w:val="20"/>
              </w:rPr>
            </w:pPr>
          </w:p>
        </w:tc>
      </w:tr>
      <w:tr w:rsidR="00C44869" w:rsidRPr="00D46B6F" w14:paraId="17006E23" w14:textId="77777777" w:rsidTr="007B3453">
        <w:trPr>
          <w:trHeight w:val="260"/>
        </w:trPr>
        <w:tc>
          <w:tcPr>
            <w:tcW w:w="2162" w:type="pct"/>
            <w:tcBorders>
              <w:top w:val="nil"/>
              <w:left w:val="nil"/>
              <w:bottom w:val="nil"/>
              <w:right w:val="nil"/>
            </w:tcBorders>
            <w:noWrap/>
            <w:vAlign w:val="bottom"/>
            <w:hideMark/>
          </w:tcPr>
          <w:p w14:paraId="4DD5A38D" w14:textId="77777777" w:rsidR="00C44869" w:rsidRPr="00D46B6F" w:rsidRDefault="00C44869" w:rsidP="007B3453">
            <w:pPr>
              <w:rPr>
                <w:sz w:val="20"/>
                <w:szCs w:val="20"/>
              </w:rPr>
            </w:pPr>
            <w:r w:rsidRPr="00D46B6F">
              <w:rPr>
                <w:sz w:val="20"/>
                <w:szCs w:val="20"/>
              </w:rPr>
              <w:t>Depreciation and amorti</w:t>
            </w:r>
            <w:r>
              <w:rPr>
                <w:sz w:val="20"/>
                <w:szCs w:val="20"/>
              </w:rPr>
              <w:t>s</w:t>
            </w:r>
            <w:r w:rsidRPr="00D46B6F">
              <w:rPr>
                <w:sz w:val="20"/>
                <w:szCs w:val="20"/>
              </w:rPr>
              <w:t>ation charges</w:t>
            </w:r>
          </w:p>
        </w:tc>
        <w:tc>
          <w:tcPr>
            <w:tcW w:w="114" w:type="pct"/>
            <w:tcBorders>
              <w:top w:val="nil"/>
              <w:left w:val="nil"/>
              <w:bottom w:val="nil"/>
              <w:right w:val="nil"/>
            </w:tcBorders>
            <w:noWrap/>
            <w:vAlign w:val="bottom"/>
            <w:hideMark/>
          </w:tcPr>
          <w:p w14:paraId="17F04313"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7749E420" w14:textId="77777777" w:rsidR="00C44869" w:rsidRPr="00D46B6F" w:rsidRDefault="00C44869" w:rsidP="007B3453">
            <w:pPr>
              <w:jc w:val="right"/>
              <w:rPr>
                <w:b/>
                <w:bCs/>
                <w:sz w:val="20"/>
                <w:szCs w:val="20"/>
              </w:rPr>
            </w:pPr>
            <w:r>
              <w:rPr>
                <w:b/>
                <w:bCs/>
                <w:sz w:val="20"/>
                <w:szCs w:val="20"/>
              </w:rPr>
              <w:t>151,510</w:t>
            </w:r>
          </w:p>
        </w:tc>
        <w:tc>
          <w:tcPr>
            <w:tcW w:w="119" w:type="pct"/>
            <w:tcBorders>
              <w:top w:val="nil"/>
              <w:left w:val="nil"/>
              <w:bottom w:val="nil"/>
              <w:right w:val="nil"/>
            </w:tcBorders>
            <w:noWrap/>
            <w:vAlign w:val="bottom"/>
            <w:hideMark/>
          </w:tcPr>
          <w:p w14:paraId="68C1909D"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64D5D3F0" w14:textId="77777777" w:rsidR="00C44869" w:rsidRPr="000E3E16" w:rsidRDefault="00C44869" w:rsidP="007B3453">
            <w:pPr>
              <w:jc w:val="right"/>
              <w:rPr>
                <w:sz w:val="20"/>
                <w:szCs w:val="20"/>
              </w:rPr>
            </w:pPr>
            <w:r w:rsidRPr="000E3E16">
              <w:rPr>
                <w:sz w:val="20"/>
                <w:szCs w:val="20"/>
              </w:rPr>
              <w:t xml:space="preserve">                   112,055 </w:t>
            </w:r>
          </w:p>
        </w:tc>
        <w:tc>
          <w:tcPr>
            <w:tcW w:w="119" w:type="pct"/>
            <w:tcBorders>
              <w:top w:val="nil"/>
              <w:left w:val="nil"/>
              <w:bottom w:val="nil"/>
              <w:right w:val="nil"/>
            </w:tcBorders>
            <w:noWrap/>
            <w:vAlign w:val="bottom"/>
            <w:hideMark/>
          </w:tcPr>
          <w:p w14:paraId="7A309685"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350B6195" w14:textId="77777777" w:rsidR="00C44869" w:rsidRPr="00D46B6F" w:rsidRDefault="00C44869" w:rsidP="007B3453">
            <w:pPr>
              <w:jc w:val="right"/>
              <w:rPr>
                <w:sz w:val="20"/>
                <w:szCs w:val="20"/>
              </w:rPr>
            </w:pPr>
            <w:r w:rsidRPr="00D46B6F">
              <w:rPr>
                <w:sz w:val="20"/>
                <w:szCs w:val="20"/>
              </w:rPr>
              <w:t xml:space="preserve">               </w:t>
            </w:r>
            <w:r>
              <w:rPr>
                <w:sz w:val="20"/>
                <w:szCs w:val="20"/>
              </w:rPr>
              <w:t>216,760</w:t>
            </w:r>
            <w:r w:rsidRPr="00D46B6F">
              <w:rPr>
                <w:sz w:val="20"/>
                <w:szCs w:val="20"/>
              </w:rPr>
              <w:t xml:space="preserve"> </w:t>
            </w:r>
          </w:p>
        </w:tc>
        <w:tc>
          <w:tcPr>
            <w:tcW w:w="117" w:type="pct"/>
            <w:tcBorders>
              <w:top w:val="nil"/>
              <w:left w:val="nil"/>
              <w:bottom w:val="nil"/>
              <w:right w:val="nil"/>
            </w:tcBorders>
            <w:noWrap/>
            <w:vAlign w:val="bottom"/>
            <w:hideMark/>
          </w:tcPr>
          <w:p w14:paraId="10AB4EF3" w14:textId="77777777" w:rsidR="00C44869" w:rsidRPr="00D46B6F" w:rsidRDefault="00C44869" w:rsidP="007B3453">
            <w:pPr>
              <w:rPr>
                <w:sz w:val="20"/>
                <w:szCs w:val="20"/>
              </w:rPr>
            </w:pPr>
          </w:p>
        </w:tc>
      </w:tr>
      <w:tr w:rsidR="00C44869" w:rsidRPr="00D46B6F" w14:paraId="6FB78A41" w14:textId="77777777" w:rsidTr="007B3453">
        <w:trPr>
          <w:trHeight w:val="260"/>
        </w:trPr>
        <w:tc>
          <w:tcPr>
            <w:tcW w:w="2162" w:type="pct"/>
            <w:tcBorders>
              <w:top w:val="nil"/>
              <w:left w:val="nil"/>
              <w:bottom w:val="nil"/>
              <w:right w:val="nil"/>
            </w:tcBorders>
            <w:noWrap/>
            <w:vAlign w:val="bottom"/>
            <w:hideMark/>
          </w:tcPr>
          <w:p w14:paraId="068DEE7D" w14:textId="77777777" w:rsidR="00C44869" w:rsidRPr="00D46B6F" w:rsidRDefault="00C44869" w:rsidP="007B3453">
            <w:pPr>
              <w:rPr>
                <w:sz w:val="20"/>
                <w:szCs w:val="20"/>
              </w:rPr>
            </w:pPr>
            <w:r>
              <w:rPr>
                <w:sz w:val="20"/>
                <w:szCs w:val="20"/>
              </w:rPr>
              <w:t>Inventory i</w:t>
            </w:r>
            <w:r w:rsidRPr="00D46B6F">
              <w:rPr>
                <w:sz w:val="20"/>
                <w:szCs w:val="20"/>
              </w:rPr>
              <w:t>mpairment provision</w:t>
            </w:r>
          </w:p>
        </w:tc>
        <w:tc>
          <w:tcPr>
            <w:tcW w:w="114" w:type="pct"/>
            <w:tcBorders>
              <w:top w:val="nil"/>
              <w:left w:val="nil"/>
              <w:bottom w:val="nil"/>
              <w:right w:val="nil"/>
            </w:tcBorders>
            <w:noWrap/>
            <w:vAlign w:val="bottom"/>
            <w:hideMark/>
          </w:tcPr>
          <w:p w14:paraId="0E02E69D"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2055C72A"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15C65D98"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760140B2" w14:textId="77777777" w:rsidR="00C44869" w:rsidRPr="000E3E16" w:rsidRDefault="00C44869" w:rsidP="007B3453">
            <w:pPr>
              <w:jc w:val="right"/>
              <w:rPr>
                <w:sz w:val="20"/>
                <w:szCs w:val="20"/>
              </w:rPr>
            </w:pPr>
            <w:r w:rsidRPr="000E3E16">
              <w:rPr>
                <w:sz w:val="20"/>
                <w:szCs w:val="20"/>
              </w:rPr>
              <w:t xml:space="preserve">                     25,463 </w:t>
            </w:r>
          </w:p>
        </w:tc>
        <w:tc>
          <w:tcPr>
            <w:tcW w:w="119" w:type="pct"/>
            <w:tcBorders>
              <w:top w:val="nil"/>
              <w:left w:val="nil"/>
              <w:bottom w:val="nil"/>
              <w:right w:val="nil"/>
            </w:tcBorders>
            <w:noWrap/>
            <w:vAlign w:val="bottom"/>
            <w:hideMark/>
          </w:tcPr>
          <w:p w14:paraId="291BDA83"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2C9A9202" w14:textId="77777777" w:rsidR="00C44869" w:rsidRPr="00D46B6F" w:rsidRDefault="00C44869" w:rsidP="007B3453">
            <w:pPr>
              <w:jc w:val="right"/>
              <w:rPr>
                <w:sz w:val="20"/>
                <w:szCs w:val="20"/>
              </w:rPr>
            </w:pPr>
            <w:r w:rsidRPr="00D46B6F">
              <w:rPr>
                <w:sz w:val="20"/>
                <w:szCs w:val="20"/>
              </w:rPr>
              <w:t xml:space="preserve">               </w:t>
            </w:r>
            <w:r>
              <w:rPr>
                <w:sz w:val="20"/>
                <w:szCs w:val="20"/>
              </w:rPr>
              <w:t>395,157</w:t>
            </w:r>
            <w:r w:rsidRPr="00D46B6F">
              <w:rPr>
                <w:sz w:val="20"/>
                <w:szCs w:val="20"/>
              </w:rPr>
              <w:t xml:space="preserve"> </w:t>
            </w:r>
          </w:p>
        </w:tc>
        <w:tc>
          <w:tcPr>
            <w:tcW w:w="117" w:type="pct"/>
            <w:tcBorders>
              <w:top w:val="nil"/>
              <w:left w:val="nil"/>
              <w:bottom w:val="nil"/>
              <w:right w:val="nil"/>
            </w:tcBorders>
            <w:noWrap/>
            <w:vAlign w:val="bottom"/>
            <w:hideMark/>
          </w:tcPr>
          <w:p w14:paraId="40E015F7" w14:textId="77777777" w:rsidR="00C44869" w:rsidRPr="00D46B6F" w:rsidRDefault="00C44869" w:rsidP="007B3453">
            <w:pPr>
              <w:rPr>
                <w:sz w:val="20"/>
                <w:szCs w:val="20"/>
              </w:rPr>
            </w:pPr>
          </w:p>
        </w:tc>
      </w:tr>
      <w:tr w:rsidR="00C44869" w:rsidRPr="00D46B6F" w14:paraId="1A742753" w14:textId="77777777" w:rsidTr="007B3453">
        <w:trPr>
          <w:trHeight w:val="260"/>
        </w:trPr>
        <w:tc>
          <w:tcPr>
            <w:tcW w:w="2162" w:type="pct"/>
            <w:tcBorders>
              <w:top w:val="nil"/>
              <w:left w:val="nil"/>
              <w:bottom w:val="nil"/>
              <w:right w:val="nil"/>
            </w:tcBorders>
            <w:noWrap/>
            <w:vAlign w:val="bottom"/>
          </w:tcPr>
          <w:p w14:paraId="6F3FE489" w14:textId="77777777" w:rsidR="00C44869" w:rsidRDefault="00C44869" w:rsidP="007B3453">
            <w:pPr>
              <w:rPr>
                <w:sz w:val="20"/>
                <w:szCs w:val="20"/>
              </w:rPr>
            </w:pPr>
            <w:r>
              <w:rPr>
                <w:sz w:val="20"/>
                <w:szCs w:val="20"/>
              </w:rPr>
              <w:t>Provision for expected credit losses</w:t>
            </w:r>
          </w:p>
        </w:tc>
        <w:tc>
          <w:tcPr>
            <w:tcW w:w="114" w:type="pct"/>
            <w:tcBorders>
              <w:top w:val="nil"/>
              <w:left w:val="nil"/>
              <w:bottom w:val="nil"/>
              <w:right w:val="nil"/>
            </w:tcBorders>
            <w:noWrap/>
            <w:vAlign w:val="bottom"/>
          </w:tcPr>
          <w:p w14:paraId="012F3E74"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0C7BA429"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tcPr>
          <w:p w14:paraId="7E557F53"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tcPr>
          <w:p w14:paraId="310294F8" w14:textId="77777777" w:rsidR="00C44869" w:rsidRPr="000E3E16" w:rsidRDefault="00C44869" w:rsidP="007B3453">
            <w:pPr>
              <w:jc w:val="right"/>
              <w:rPr>
                <w:sz w:val="20"/>
                <w:szCs w:val="20"/>
              </w:rPr>
            </w:pPr>
            <w:r>
              <w:rPr>
                <w:sz w:val="20"/>
                <w:szCs w:val="20"/>
              </w:rPr>
              <w:t>-</w:t>
            </w:r>
          </w:p>
        </w:tc>
        <w:tc>
          <w:tcPr>
            <w:tcW w:w="119" w:type="pct"/>
            <w:tcBorders>
              <w:top w:val="nil"/>
              <w:left w:val="nil"/>
              <w:bottom w:val="nil"/>
              <w:right w:val="nil"/>
            </w:tcBorders>
            <w:noWrap/>
            <w:vAlign w:val="bottom"/>
          </w:tcPr>
          <w:p w14:paraId="4B19A8EA"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tcPr>
          <w:p w14:paraId="3271E30A" w14:textId="77777777" w:rsidR="00C44869" w:rsidRPr="00D46B6F" w:rsidRDefault="00C44869" w:rsidP="007B3453">
            <w:pPr>
              <w:jc w:val="right"/>
              <w:rPr>
                <w:sz w:val="20"/>
                <w:szCs w:val="20"/>
              </w:rPr>
            </w:pPr>
            <w:r>
              <w:rPr>
                <w:sz w:val="20"/>
                <w:szCs w:val="20"/>
              </w:rPr>
              <w:t>180,000</w:t>
            </w:r>
          </w:p>
        </w:tc>
        <w:tc>
          <w:tcPr>
            <w:tcW w:w="117" w:type="pct"/>
            <w:tcBorders>
              <w:top w:val="nil"/>
              <w:left w:val="nil"/>
              <w:bottom w:val="nil"/>
              <w:right w:val="nil"/>
            </w:tcBorders>
            <w:noWrap/>
            <w:vAlign w:val="bottom"/>
          </w:tcPr>
          <w:p w14:paraId="561FBBCA" w14:textId="77777777" w:rsidR="00C44869" w:rsidRPr="00D46B6F" w:rsidRDefault="00C44869" w:rsidP="007B3453">
            <w:pPr>
              <w:rPr>
                <w:sz w:val="20"/>
                <w:szCs w:val="20"/>
              </w:rPr>
            </w:pPr>
          </w:p>
        </w:tc>
      </w:tr>
      <w:tr w:rsidR="00C44869" w:rsidRPr="00D46B6F" w14:paraId="661191A4" w14:textId="77777777" w:rsidTr="007B3453">
        <w:trPr>
          <w:trHeight w:val="260"/>
        </w:trPr>
        <w:tc>
          <w:tcPr>
            <w:tcW w:w="2162" w:type="pct"/>
            <w:tcBorders>
              <w:top w:val="nil"/>
              <w:left w:val="nil"/>
              <w:bottom w:val="nil"/>
              <w:right w:val="nil"/>
            </w:tcBorders>
            <w:noWrap/>
            <w:vAlign w:val="bottom"/>
            <w:hideMark/>
          </w:tcPr>
          <w:p w14:paraId="7515670D" w14:textId="77777777" w:rsidR="00C44869" w:rsidRPr="00D46B6F" w:rsidRDefault="00C44869" w:rsidP="007B3453">
            <w:pPr>
              <w:rPr>
                <w:sz w:val="20"/>
                <w:szCs w:val="20"/>
              </w:rPr>
            </w:pPr>
            <w:r w:rsidRPr="00D46B6F">
              <w:rPr>
                <w:sz w:val="20"/>
                <w:szCs w:val="20"/>
              </w:rPr>
              <w:t>Promotional product in lieu of fees</w:t>
            </w:r>
          </w:p>
        </w:tc>
        <w:tc>
          <w:tcPr>
            <w:tcW w:w="114" w:type="pct"/>
            <w:tcBorders>
              <w:top w:val="nil"/>
              <w:left w:val="nil"/>
              <w:bottom w:val="nil"/>
              <w:right w:val="nil"/>
            </w:tcBorders>
            <w:noWrap/>
            <w:vAlign w:val="bottom"/>
            <w:hideMark/>
          </w:tcPr>
          <w:p w14:paraId="511F5E00"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3B65FEA4"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52E6AED8"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76CE896E" w14:textId="77777777" w:rsidR="00C44869" w:rsidRPr="000E3E16" w:rsidRDefault="00C44869" w:rsidP="007B3453">
            <w:pPr>
              <w:jc w:val="right"/>
              <w:rPr>
                <w:sz w:val="20"/>
                <w:szCs w:val="20"/>
              </w:rPr>
            </w:pPr>
            <w:r w:rsidRPr="000E3E16">
              <w:rPr>
                <w:sz w:val="20"/>
                <w:szCs w:val="20"/>
              </w:rPr>
              <w:t xml:space="preserve">                      5,538 </w:t>
            </w:r>
          </w:p>
        </w:tc>
        <w:tc>
          <w:tcPr>
            <w:tcW w:w="119" w:type="pct"/>
            <w:tcBorders>
              <w:top w:val="nil"/>
              <w:left w:val="nil"/>
              <w:bottom w:val="nil"/>
              <w:right w:val="nil"/>
            </w:tcBorders>
            <w:noWrap/>
            <w:vAlign w:val="bottom"/>
            <w:hideMark/>
          </w:tcPr>
          <w:p w14:paraId="6C7B2F8D"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4CDC3852" w14:textId="77777777" w:rsidR="00C44869" w:rsidRPr="00D46B6F" w:rsidRDefault="00C44869" w:rsidP="007B3453">
            <w:pPr>
              <w:jc w:val="right"/>
              <w:rPr>
                <w:sz w:val="20"/>
                <w:szCs w:val="20"/>
              </w:rPr>
            </w:pPr>
            <w:r w:rsidRPr="00D46B6F">
              <w:rPr>
                <w:sz w:val="20"/>
                <w:szCs w:val="20"/>
              </w:rPr>
              <w:t xml:space="preserve">                 </w:t>
            </w:r>
            <w:r>
              <w:rPr>
                <w:sz w:val="20"/>
                <w:szCs w:val="20"/>
              </w:rPr>
              <w:t>-</w:t>
            </w:r>
            <w:r w:rsidRPr="00D46B6F">
              <w:rPr>
                <w:sz w:val="20"/>
                <w:szCs w:val="20"/>
              </w:rPr>
              <w:t xml:space="preserve"> </w:t>
            </w:r>
          </w:p>
        </w:tc>
        <w:tc>
          <w:tcPr>
            <w:tcW w:w="117" w:type="pct"/>
            <w:tcBorders>
              <w:top w:val="nil"/>
              <w:left w:val="nil"/>
              <w:bottom w:val="nil"/>
              <w:right w:val="nil"/>
            </w:tcBorders>
            <w:noWrap/>
            <w:vAlign w:val="bottom"/>
            <w:hideMark/>
          </w:tcPr>
          <w:p w14:paraId="3769849F" w14:textId="77777777" w:rsidR="00C44869" w:rsidRPr="00D46B6F" w:rsidRDefault="00C44869" w:rsidP="007B3453">
            <w:pPr>
              <w:rPr>
                <w:sz w:val="20"/>
                <w:szCs w:val="20"/>
              </w:rPr>
            </w:pPr>
          </w:p>
        </w:tc>
      </w:tr>
      <w:tr w:rsidR="00C44869" w:rsidRPr="00D46B6F" w14:paraId="1CA9541C" w14:textId="77777777" w:rsidTr="007B3453">
        <w:trPr>
          <w:trHeight w:val="260"/>
        </w:trPr>
        <w:tc>
          <w:tcPr>
            <w:tcW w:w="2162" w:type="pct"/>
            <w:tcBorders>
              <w:top w:val="nil"/>
              <w:left w:val="nil"/>
              <w:bottom w:val="nil"/>
              <w:right w:val="nil"/>
            </w:tcBorders>
            <w:noWrap/>
            <w:vAlign w:val="bottom"/>
            <w:hideMark/>
          </w:tcPr>
          <w:p w14:paraId="4B0D1E2A" w14:textId="77777777" w:rsidR="00C44869" w:rsidRPr="00D46B6F" w:rsidRDefault="00C44869" w:rsidP="007B3453">
            <w:pPr>
              <w:rPr>
                <w:sz w:val="20"/>
                <w:szCs w:val="20"/>
              </w:rPr>
            </w:pPr>
            <w:r w:rsidRPr="00D46B6F">
              <w:rPr>
                <w:sz w:val="20"/>
                <w:szCs w:val="20"/>
              </w:rPr>
              <w:t>Imputed interest on convertible loan notes</w:t>
            </w:r>
          </w:p>
        </w:tc>
        <w:tc>
          <w:tcPr>
            <w:tcW w:w="114" w:type="pct"/>
            <w:tcBorders>
              <w:top w:val="nil"/>
              <w:left w:val="nil"/>
              <w:bottom w:val="nil"/>
              <w:right w:val="nil"/>
            </w:tcBorders>
            <w:noWrap/>
            <w:vAlign w:val="bottom"/>
            <w:hideMark/>
          </w:tcPr>
          <w:p w14:paraId="514B0613"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4634F86B"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792B01D3"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01F1FD82" w14:textId="77777777" w:rsidR="00C44869" w:rsidRPr="000E3E16" w:rsidRDefault="00C44869" w:rsidP="007B3453">
            <w:pPr>
              <w:jc w:val="right"/>
              <w:rPr>
                <w:sz w:val="20"/>
                <w:szCs w:val="20"/>
              </w:rPr>
            </w:pPr>
            <w:r w:rsidRPr="000E3E16">
              <w:rPr>
                <w:sz w:val="20"/>
                <w:szCs w:val="20"/>
              </w:rPr>
              <w:t xml:space="preserve">                   111,036 </w:t>
            </w:r>
          </w:p>
        </w:tc>
        <w:tc>
          <w:tcPr>
            <w:tcW w:w="119" w:type="pct"/>
            <w:tcBorders>
              <w:top w:val="nil"/>
              <w:left w:val="nil"/>
              <w:bottom w:val="nil"/>
              <w:right w:val="nil"/>
            </w:tcBorders>
            <w:noWrap/>
            <w:vAlign w:val="bottom"/>
            <w:hideMark/>
          </w:tcPr>
          <w:p w14:paraId="3B970F76"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2D38F44B" w14:textId="77777777" w:rsidR="00C44869" w:rsidRPr="00D46B6F" w:rsidRDefault="00C44869" w:rsidP="007B3453">
            <w:pPr>
              <w:jc w:val="right"/>
              <w:rPr>
                <w:sz w:val="20"/>
                <w:szCs w:val="20"/>
              </w:rPr>
            </w:pPr>
            <w:r w:rsidRPr="00D46B6F">
              <w:rPr>
                <w:sz w:val="20"/>
                <w:szCs w:val="20"/>
              </w:rPr>
              <w:t xml:space="preserve">               </w:t>
            </w:r>
            <w:r>
              <w:rPr>
                <w:sz w:val="20"/>
                <w:szCs w:val="20"/>
              </w:rPr>
              <w:t>343</w:t>
            </w:r>
            <w:r w:rsidRPr="00D46B6F">
              <w:rPr>
                <w:sz w:val="20"/>
                <w:szCs w:val="20"/>
              </w:rPr>
              <w:t>,</w:t>
            </w:r>
            <w:r>
              <w:rPr>
                <w:sz w:val="20"/>
                <w:szCs w:val="20"/>
              </w:rPr>
              <w:t>300</w:t>
            </w:r>
          </w:p>
        </w:tc>
        <w:tc>
          <w:tcPr>
            <w:tcW w:w="117" w:type="pct"/>
            <w:tcBorders>
              <w:top w:val="nil"/>
              <w:left w:val="nil"/>
              <w:bottom w:val="nil"/>
              <w:right w:val="nil"/>
            </w:tcBorders>
            <w:noWrap/>
            <w:vAlign w:val="bottom"/>
            <w:hideMark/>
          </w:tcPr>
          <w:p w14:paraId="7D00A43B" w14:textId="77777777" w:rsidR="00C44869" w:rsidRPr="00D46B6F" w:rsidRDefault="00C44869" w:rsidP="007B3453">
            <w:pPr>
              <w:rPr>
                <w:sz w:val="20"/>
                <w:szCs w:val="20"/>
              </w:rPr>
            </w:pPr>
          </w:p>
        </w:tc>
      </w:tr>
      <w:tr w:rsidR="00C44869" w:rsidRPr="00D46B6F" w14:paraId="06C5C3CA" w14:textId="77777777" w:rsidTr="007B3453">
        <w:trPr>
          <w:trHeight w:val="76"/>
        </w:trPr>
        <w:tc>
          <w:tcPr>
            <w:tcW w:w="2162" w:type="pct"/>
            <w:tcBorders>
              <w:top w:val="nil"/>
              <w:left w:val="nil"/>
              <w:bottom w:val="nil"/>
              <w:right w:val="nil"/>
            </w:tcBorders>
            <w:noWrap/>
            <w:vAlign w:val="bottom"/>
            <w:hideMark/>
          </w:tcPr>
          <w:p w14:paraId="270C8692" w14:textId="77777777" w:rsidR="00C44869" w:rsidRPr="00D46B6F" w:rsidRDefault="00C44869" w:rsidP="007B3453">
            <w:pPr>
              <w:rPr>
                <w:sz w:val="20"/>
                <w:szCs w:val="20"/>
              </w:rPr>
            </w:pPr>
            <w:r w:rsidRPr="00D46B6F">
              <w:rPr>
                <w:sz w:val="20"/>
                <w:szCs w:val="20"/>
              </w:rPr>
              <w:t>Termination of options</w:t>
            </w:r>
          </w:p>
        </w:tc>
        <w:tc>
          <w:tcPr>
            <w:tcW w:w="114" w:type="pct"/>
            <w:tcBorders>
              <w:top w:val="nil"/>
              <w:left w:val="nil"/>
              <w:bottom w:val="nil"/>
              <w:right w:val="nil"/>
            </w:tcBorders>
            <w:noWrap/>
            <w:vAlign w:val="bottom"/>
            <w:hideMark/>
          </w:tcPr>
          <w:p w14:paraId="2693650F"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7F98B801"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20D7EA1D"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163D15A8" w14:textId="77777777" w:rsidR="00C44869" w:rsidRPr="000E3E16" w:rsidRDefault="00C44869" w:rsidP="007B3453">
            <w:pPr>
              <w:jc w:val="right"/>
              <w:rPr>
                <w:sz w:val="20"/>
                <w:szCs w:val="20"/>
              </w:rPr>
            </w:pPr>
            <w:r w:rsidRPr="000E3E16">
              <w:rPr>
                <w:sz w:val="20"/>
                <w:szCs w:val="20"/>
              </w:rPr>
              <w:t xml:space="preserve">                    (19,256)</w:t>
            </w:r>
          </w:p>
        </w:tc>
        <w:tc>
          <w:tcPr>
            <w:tcW w:w="119" w:type="pct"/>
            <w:tcBorders>
              <w:top w:val="nil"/>
              <w:left w:val="nil"/>
              <w:bottom w:val="nil"/>
              <w:right w:val="nil"/>
            </w:tcBorders>
            <w:noWrap/>
            <w:vAlign w:val="bottom"/>
            <w:hideMark/>
          </w:tcPr>
          <w:p w14:paraId="40748D92"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5267F513" w14:textId="77777777" w:rsidR="00C44869" w:rsidRPr="00D46B6F" w:rsidRDefault="00C44869" w:rsidP="007B3453">
            <w:pPr>
              <w:jc w:val="right"/>
              <w:rPr>
                <w:sz w:val="20"/>
                <w:szCs w:val="20"/>
              </w:rPr>
            </w:pPr>
            <w:r w:rsidRPr="00D46B6F">
              <w:rPr>
                <w:sz w:val="20"/>
                <w:szCs w:val="20"/>
              </w:rPr>
              <w:t xml:space="preserve">                         </w:t>
            </w:r>
            <w:r>
              <w:rPr>
                <w:sz w:val="20"/>
                <w:szCs w:val="20"/>
              </w:rPr>
              <w:t>(19,256)</w:t>
            </w:r>
            <w:r w:rsidRPr="00D46B6F">
              <w:rPr>
                <w:sz w:val="20"/>
                <w:szCs w:val="20"/>
              </w:rPr>
              <w:t xml:space="preserve"> </w:t>
            </w:r>
          </w:p>
        </w:tc>
        <w:tc>
          <w:tcPr>
            <w:tcW w:w="117" w:type="pct"/>
            <w:tcBorders>
              <w:top w:val="nil"/>
              <w:left w:val="nil"/>
              <w:bottom w:val="nil"/>
              <w:right w:val="nil"/>
            </w:tcBorders>
            <w:noWrap/>
            <w:vAlign w:val="bottom"/>
            <w:hideMark/>
          </w:tcPr>
          <w:p w14:paraId="7931CE56" w14:textId="77777777" w:rsidR="00C44869" w:rsidRPr="00D46B6F" w:rsidRDefault="00C44869" w:rsidP="007B3453">
            <w:pPr>
              <w:rPr>
                <w:sz w:val="20"/>
                <w:szCs w:val="20"/>
              </w:rPr>
            </w:pPr>
          </w:p>
        </w:tc>
      </w:tr>
      <w:tr w:rsidR="00C44869" w:rsidRPr="00D46B6F" w14:paraId="3F04B0BF" w14:textId="77777777" w:rsidTr="007B3453">
        <w:trPr>
          <w:trHeight w:val="260"/>
        </w:trPr>
        <w:tc>
          <w:tcPr>
            <w:tcW w:w="2162" w:type="pct"/>
            <w:tcBorders>
              <w:top w:val="nil"/>
              <w:left w:val="nil"/>
              <w:bottom w:val="nil"/>
              <w:right w:val="nil"/>
            </w:tcBorders>
            <w:noWrap/>
            <w:vAlign w:val="bottom"/>
            <w:hideMark/>
          </w:tcPr>
          <w:p w14:paraId="6BF4CA50" w14:textId="77777777" w:rsidR="00C44869" w:rsidRPr="00D46B6F" w:rsidRDefault="00C44869" w:rsidP="007B3453">
            <w:pPr>
              <w:rPr>
                <w:sz w:val="20"/>
                <w:szCs w:val="20"/>
              </w:rPr>
            </w:pPr>
            <w:r w:rsidRPr="00D46B6F">
              <w:rPr>
                <w:sz w:val="20"/>
                <w:szCs w:val="20"/>
              </w:rPr>
              <w:t>Foreign exchange translation adjustment</w:t>
            </w:r>
          </w:p>
        </w:tc>
        <w:tc>
          <w:tcPr>
            <w:tcW w:w="114" w:type="pct"/>
            <w:tcBorders>
              <w:top w:val="nil"/>
              <w:left w:val="nil"/>
              <w:bottom w:val="nil"/>
              <w:right w:val="nil"/>
            </w:tcBorders>
            <w:noWrap/>
            <w:vAlign w:val="bottom"/>
            <w:hideMark/>
          </w:tcPr>
          <w:p w14:paraId="2902462A"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574A90B3"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629DFBE4"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61D54400" w14:textId="77777777" w:rsidR="00C44869" w:rsidRPr="000E3E16" w:rsidRDefault="00C44869" w:rsidP="007B3453">
            <w:pPr>
              <w:jc w:val="right"/>
              <w:rPr>
                <w:sz w:val="20"/>
                <w:szCs w:val="20"/>
              </w:rPr>
            </w:pPr>
            <w:r w:rsidRPr="000E3E16">
              <w:rPr>
                <w:sz w:val="20"/>
                <w:szCs w:val="20"/>
              </w:rPr>
              <w:t xml:space="preserve">                    (19,795)</w:t>
            </w:r>
          </w:p>
        </w:tc>
        <w:tc>
          <w:tcPr>
            <w:tcW w:w="119" w:type="pct"/>
            <w:tcBorders>
              <w:top w:val="nil"/>
              <w:left w:val="nil"/>
              <w:bottom w:val="nil"/>
              <w:right w:val="nil"/>
            </w:tcBorders>
            <w:noWrap/>
            <w:vAlign w:val="bottom"/>
            <w:hideMark/>
          </w:tcPr>
          <w:p w14:paraId="4D9E9C99"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58EA894D" w14:textId="77777777" w:rsidR="00C44869" w:rsidRPr="00D46B6F" w:rsidRDefault="00C44869" w:rsidP="007B3453">
            <w:pPr>
              <w:jc w:val="right"/>
              <w:rPr>
                <w:sz w:val="20"/>
                <w:szCs w:val="20"/>
              </w:rPr>
            </w:pPr>
            <w:r w:rsidRPr="00D46B6F">
              <w:rPr>
                <w:sz w:val="20"/>
                <w:szCs w:val="20"/>
              </w:rPr>
              <w:t xml:space="preserve">                 </w:t>
            </w:r>
            <w:r>
              <w:rPr>
                <w:sz w:val="20"/>
                <w:szCs w:val="20"/>
              </w:rPr>
              <w:t>(14,908)</w:t>
            </w:r>
            <w:r w:rsidRPr="00D46B6F">
              <w:rPr>
                <w:sz w:val="20"/>
                <w:szCs w:val="20"/>
              </w:rPr>
              <w:t xml:space="preserve"> </w:t>
            </w:r>
          </w:p>
        </w:tc>
        <w:tc>
          <w:tcPr>
            <w:tcW w:w="117" w:type="pct"/>
            <w:tcBorders>
              <w:top w:val="nil"/>
              <w:left w:val="nil"/>
              <w:bottom w:val="nil"/>
              <w:right w:val="nil"/>
            </w:tcBorders>
            <w:noWrap/>
            <w:vAlign w:val="bottom"/>
            <w:hideMark/>
          </w:tcPr>
          <w:p w14:paraId="38A22225" w14:textId="77777777" w:rsidR="00C44869" w:rsidRPr="00D46B6F" w:rsidRDefault="00C44869" w:rsidP="007B3453">
            <w:pPr>
              <w:rPr>
                <w:sz w:val="20"/>
                <w:szCs w:val="20"/>
              </w:rPr>
            </w:pPr>
          </w:p>
        </w:tc>
      </w:tr>
      <w:tr w:rsidR="00C44869" w:rsidRPr="00D46B6F" w14:paraId="4E89869A" w14:textId="77777777" w:rsidTr="007B3453">
        <w:trPr>
          <w:trHeight w:val="300"/>
        </w:trPr>
        <w:tc>
          <w:tcPr>
            <w:tcW w:w="2162" w:type="pct"/>
            <w:tcBorders>
              <w:top w:val="nil"/>
              <w:left w:val="nil"/>
              <w:bottom w:val="nil"/>
              <w:right w:val="nil"/>
            </w:tcBorders>
            <w:noWrap/>
            <w:vAlign w:val="bottom"/>
            <w:hideMark/>
          </w:tcPr>
          <w:p w14:paraId="31FD57EB" w14:textId="77777777" w:rsidR="00C44869" w:rsidRPr="00D46B6F" w:rsidRDefault="00C44869" w:rsidP="007B3453">
            <w:pPr>
              <w:rPr>
                <w:sz w:val="20"/>
                <w:szCs w:val="20"/>
              </w:rPr>
            </w:pPr>
            <w:r w:rsidRPr="00D46B6F">
              <w:rPr>
                <w:sz w:val="20"/>
                <w:szCs w:val="20"/>
              </w:rPr>
              <w:t>Operating cash flow before working capital movements</w:t>
            </w:r>
          </w:p>
        </w:tc>
        <w:tc>
          <w:tcPr>
            <w:tcW w:w="114" w:type="pct"/>
            <w:tcBorders>
              <w:top w:val="nil"/>
              <w:left w:val="nil"/>
              <w:bottom w:val="nil"/>
              <w:right w:val="nil"/>
            </w:tcBorders>
            <w:noWrap/>
            <w:vAlign w:val="bottom"/>
            <w:hideMark/>
          </w:tcPr>
          <w:p w14:paraId="5F22A59D" w14:textId="77777777" w:rsidR="00C44869" w:rsidRPr="00D46B6F" w:rsidRDefault="00C44869" w:rsidP="007B3453">
            <w:pPr>
              <w:ind w:firstLineChars="200" w:firstLine="400"/>
              <w:rPr>
                <w:sz w:val="20"/>
                <w:szCs w:val="20"/>
              </w:rPr>
            </w:pPr>
          </w:p>
        </w:tc>
        <w:tc>
          <w:tcPr>
            <w:tcW w:w="706" w:type="pct"/>
            <w:tcBorders>
              <w:top w:val="single" w:sz="4" w:space="0" w:color="auto"/>
              <w:left w:val="nil"/>
              <w:bottom w:val="single" w:sz="4" w:space="0" w:color="auto"/>
              <w:right w:val="nil"/>
            </w:tcBorders>
            <w:noWrap/>
            <w:vAlign w:val="bottom"/>
          </w:tcPr>
          <w:p w14:paraId="4F3870AB" w14:textId="77777777" w:rsidR="00C44869" w:rsidRPr="00D46B6F" w:rsidRDefault="00C44869" w:rsidP="007B3453">
            <w:pPr>
              <w:jc w:val="right"/>
              <w:rPr>
                <w:b/>
                <w:bCs/>
                <w:sz w:val="20"/>
                <w:szCs w:val="20"/>
              </w:rPr>
            </w:pPr>
            <w:r>
              <w:rPr>
                <w:b/>
                <w:bCs/>
                <w:sz w:val="20"/>
                <w:szCs w:val="20"/>
              </w:rPr>
              <w:t>(2,423,930)</w:t>
            </w:r>
          </w:p>
        </w:tc>
        <w:tc>
          <w:tcPr>
            <w:tcW w:w="119" w:type="pct"/>
            <w:tcBorders>
              <w:top w:val="nil"/>
              <w:left w:val="nil"/>
              <w:bottom w:val="nil"/>
              <w:right w:val="nil"/>
            </w:tcBorders>
            <w:noWrap/>
            <w:vAlign w:val="bottom"/>
            <w:hideMark/>
          </w:tcPr>
          <w:p w14:paraId="43473AE5" w14:textId="77777777" w:rsidR="00C44869" w:rsidRPr="00D46B6F" w:rsidRDefault="00C44869" w:rsidP="007B3453">
            <w:pPr>
              <w:jc w:val="right"/>
              <w:rPr>
                <w:b/>
                <w:bCs/>
                <w:sz w:val="20"/>
                <w:szCs w:val="20"/>
              </w:rPr>
            </w:pPr>
          </w:p>
        </w:tc>
        <w:tc>
          <w:tcPr>
            <w:tcW w:w="857" w:type="pct"/>
            <w:tcBorders>
              <w:top w:val="single" w:sz="4" w:space="0" w:color="auto"/>
              <w:left w:val="nil"/>
              <w:bottom w:val="single" w:sz="4" w:space="0" w:color="auto"/>
              <w:right w:val="nil"/>
            </w:tcBorders>
            <w:noWrap/>
            <w:vAlign w:val="bottom"/>
            <w:hideMark/>
          </w:tcPr>
          <w:p w14:paraId="1EAB36D0" w14:textId="77777777" w:rsidR="00C44869" w:rsidRPr="000E3E16" w:rsidRDefault="00C44869" w:rsidP="007B3453">
            <w:pPr>
              <w:jc w:val="right"/>
              <w:rPr>
                <w:sz w:val="20"/>
                <w:szCs w:val="20"/>
              </w:rPr>
            </w:pPr>
            <w:r w:rsidRPr="000E3E16">
              <w:rPr>
                <w:sz w:val="20"/>
                <w:szCs w:val="20"/>
              </w:rPr>
              <w:t xml:space="preserve">               (1,367,495)</w:t>
            </w:r>
          </w:p>
        </w:tc>
        <w:tc>
          <w:tcPr>
            <w:tcW w:w="119" w:type="pct"/>
            <w:tcBorders>
              <w:top w:val="nil"/>
              <w:left w:val="nil"/>
              <w:bottom w:val="nil"/>
              <w:right w:val="nil"/>
            </w:tcBorders>
            <w:noWrap/>
            <w:vAlign w:val="bottom"/>
            <w:hideMark/>
          </w:tcPr>
          <w:p w14:paraId="29629850" w14:textId="77777777" w:rsidR="00C44869" w:rsidRPr="00D46B6F" w:rsidRDefault="00C44869" w:rsidP="007B3453">
            <w:pPr>
              <w:jc w:val="right"/>
              <w:rPr>
                <w:sz w:val="20"/>
                <w:szCs w:val="20"/>
              </w:rPr>
            </w:pPr>
          </w:p>
        </w:tc>
        <w:tc>
          <w:tcPr>
            <w:tcW w:w="806" w:type="pct"/>
            <w:tcBorders>
              <w:top w:val="single" w:sz="4" w:space="0" w:color="auto"/>
              <w:left w:val="nil"/>
              <w:bottom w:val="single" w:sz="4" w:space="0" w:color="auto"/>
              <w:right w:val="nil"/>
            </w:tcBorders>
            <w:noWrap/>
            <w:vAlign w:val="bottom"/>
            <w:hideMark/>
          </w:tcPr>
          <w:p w14:paraId="467A0B3B" w14:textId="77777777" w:rsidR="00C44869" w:rsidRPr="00D46B6F" w:rsidRDefault="00C44869" w:rsidP="007B3453">
            <w:pPr>
              <w:jc w:val="right"/>
              <w:rPr>
                <w:sz w:val="20"/>
                <w:szCs w:val="20"/>
              </w:rPr>
            </w:pPr>
            <w:r w:rsidRPr="00D46B6F">
              <w:rPr>
                <w:sz w:val="20"/>
                <w:szCs w:val="20"/>
              </w:rPr>
              <w:t xml:space="preserve">           (2,</w:t>
            </w:r>
            <w:r>
              <w:rPr>
                <w:sz w:val="20"/>
                <w:szCs w:val="20"/>
              </w:rPr>
              <w:t>269</w:t>
            </w:r>
            <w:r w:rsidRPr="00D46B6F">
              <w:rPr>
                <w:sz w:val="20"/>
                <w:szCs w:val="20"/>
              </w:rPr>
              <w:t>,</w:t>
            </w:r>
            <w:r>
              <w:rPr>
                <w:sz w:val="20"/>
                <w:szCs w:val="20"/>
              </w:rPr>
              <w:t>240</w:t>
            </w:r>
            <w:r w:rsidRPr="00D46B6F">
              <w:rPr>
                <w:sz w:val="20"/>
                <w:szCs w:val="20"/>
              </w:rPr>
              <w:t>)</w:t>
            </w:r>
          </w:p>
        </w:tc>
        <w:tc>
          <w:tcPr>
            <w:tcW w:w="117" w:type="pct"/>
            <w:tcBorders>
              <w:top w:val="nil"/>
              <w:left w:val="nil"/>
              <w:bottom w:val="nil"/>
              <w:right w:val="nil"/>
            </w:tcBorders>
            <w:noWrap/>
            <w:vAlign w:val="bottom"/>
            <w:hideMark/>
          </w:tcPr>
          <w:p w14:paraId="530DABED" w14:textId="77777777" w:rsidR="00C44869" w:rsidRPr="00D46B6F" w:rsidRDefault="00C44869" w:rsidP="007B3453">
            <w:pPr>
              <w:rPr>
                <w:sz w:val="20"/>
                <w:szCs w:val="20"/>
              </w:rPr>
            </w:pPr>
          </w:p>
        </w:tc>
      </w:tr>
      <w:tr w:rsidR="00C44869" w:rsidRPr="00D46B6F" w14:paraId="0F16D318" w14:textId="77777777" w:rsidTr="007B3453">
        <w:trPr>
          <w:trHeight w:val="300"/>
        </w:trPr>
        <w:tc>
          <w:tcPr>
            <w:tcW w:w="2162" w:type="pct"/>
            <w:tcBorders>
              <w:top w:val="nil"/>
              <w:left w:val="nil"/>
              <w:bottom w:val="nil"/>
              <w:right w:val="nil"/>
            </w:tcBorders>
            <w:noWrap/>
            <w:vAlign w:val="bottom"/>
            <w:hideMark/>
          </w:tcPr>
          <w:p w14:paraId="0CFDA42E" w14:textId="77777777" w:rsidR="00C44869" w:rsidRDefault="00C44869" w:rsidP="007B3453">
            <w:pPr>
              <w:rPr>
                <w:sz w:val="20"/>
                <w:szCs w:val="20"/>
              </w:rPr>
            </w:pPr>
          </w:p>
          <w:p w14:paraId="79903134" w14:textId="77777777" w:rsidR="00C44869" w:rsidRPr="00D46B6F" w:rsidRDefault="00C44869" w:rsidP="007B3453">
            <w:pPr>
              <w:rPr>
                <w:sz w:val="20"/>
                <w:szCs w:val="20"/>
              </w:rPr>
            </w:pPr>
            <w:r w:rsidRPr="00D46B6F">
              <w:rPr>
                <w:sz w:val="20"/>
                <w:szCs w:val="20"/>
              </w:rPr>
              <w:t>Decrease (increase) in inventories</w:t>
            </w:r>
          </w:p>
        </w:tc>
        <w:tc>
          <w:tcPr>
            <w:tcW w:w="114" w:type="pct"/>
            <w:tcBorders>
              <w:top w:val="nil"/>
              <w:left w:val="nil"/>
              <w:bottom w:val="nil"/>
              <w:right w:val="nil"/>
            </w:tcBorders>
            <w:noWrap/>
            <w:vAlign w:val="bottom"/>
            <w:hideMark/>
          </w:tcPr>
          <w:p w14:paraId="2BBC9672"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7CE4654F" w14:textId="77777777" w:rsidR="00C44869" w:rsidRPr="00D46B6F" w:rsidRDefault="00C44869" w:rsidP="007B3453">
            <w:pPr>
              <w:jc w:val="right"/>
              <w:rPr>
                <w:b/>
                <w:bCs/>
                <w:sz w:val="20"/>
                <w:szCs w:val="20"/>
              </w:rPr>
            </w:pPr>
            <w:r>
              <w:rPr>
                <w:b/>
                <w:bCs/>
                <w:sz w:val="20"/>
                <w:szCs w:val="20"/>
              </w:rPr>
              <w:t>56,335</w:t>
            </w:r>
          </w:p>
        </w:tc>
        <w:tc>
          <w:tcPr>
            <w:tcW w:w="119" w:type="pct"/>
            <w:tcBorders>
              <w:top w:val="nil"/>
              <w:left w:val="nil"/>
              <w:bottom w:val="nil"/>
              <w:right w:val="nil"/>
            </w:tcBorders>
            <w:noWrap/>
            <w:vAlign w:val="bottom"/>
            <w:hideMark/>
          </w:tcPr>
          <w:p w14:paraId="610F75FE"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292E7980" w14:textId="77777777" w:rsidR="00C44869" w:rsidRPr="000E3E16" w:rsidRDefault="00C44869" w:rsidP="007B3453">
            <w:pPr>
              <w:jc w:val="right"/>
              <w:rPr>
                <w:sz w:val="20"/>
                <w:szCs w:val="20"/>
              </w:rPr>
            </w:pPr>
            <w:r w:rsidRPr="000E3E16">
              <w:rPr>
                <w:sz w:val="20"/>
                <w:szCs w:val="20"/>
              </w:rPr>
              <w:t xml:space="preserve">                  (183,632)</w:t>
            </w:r>
          </w:p>
        </w:tc>
        <w:tc>
          <w:tcPr>
            <w:tcW w:w="119" w:type="pct"/>
            <w:tcBorders>
              <w:top w:val="nil"/>
              <w:left w:val="nil"/>
              <w:bottom w:val="nil"/>
              <w:right w:val="nil"/>
            </w:tcBorders>
            <w:noWrap/>
            <w:vAlign w:val="bottom"/>
            <w:hideMark/>
          </w:tcPr>
          <w:p w14:paraId="76F7F060"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20CD7AA7" w14:textId="77777777" w:rsidR="00C44869" w:rsidRPr="00D46B6F" w:rsidRDefault="00C44869" w:rsidP="007B3453">
            <w:pPr>
              <w:jc w:val="right"/>
              <w:rPr>
                <w:sz w:val="20"/>
                <w:szCs w:val="20"/>
              </w:rPr>
            </w:pPr>
            <w:r w:rsidRPr="00D46B6F">
              <w:rPr>
                <w:sz w:val="20"/>
                <w:szCs w:val="20"/>
              </w:rPr>
              <w:t xml:space="preserve">                (</w:t>
            </w:r>
            <w:r>
              <w:rPr>
                <w:sz w:val="20"/>
                <w:szCs w:val="20"/>
              </w:rPr>
              <w:t>63,181</w:t>
            </w:r>
            <w:r w:rsidRPr="00D46B6F">
              <w:rPr>
                <w:sz w:val="20"/>
                <w:szCs w:val="20"/>
              </w:rPr>
              <w:t>)</w:t>
            </w:r>
          </w:p>
        </w:tc>
        <w:tc>
          <w:tcPr>
            <w:tcW w:w="117" w:type="pct"/>
            <w:tcBorders>
              <w:top w:val="nil"/>
              <w:left w:val="nil"/>
              <w:bottom w:val="nil"/>
              <w:right w:val="nil"/>
            </w:tcBorders>
            <w:noWrap/>
            <w:vAlign w:val="bottom"/>
            <w:hideMark/>
          </w:tcPr>
          <w:p w14:paraId="05E7222D" w14:textId="77777777" w:rsidR="00C44869" w:rsidRPr="00D46B6F" w:rsidRDefault="00C44869" w:rsidP="007B3453">
            <w:pPr>
              <w:rPr>
                <w:sz w:val="20"/>
                <w:szCs w:val="20"/>
              </w:rPr>
            </w:pPr>
          </w:p>
        </w:tc>
      </w:tr>
      <w:tr w:rsidR="00C44869" w:rsidRPr="00D46B6F" w14:paraId="0F44DFBA" w14:textId="77777777" w:rsidTr="007B3453">
        <w:trPr>
          <w:trHeight w:val="260"/>
        </w:trPr>
        <w:tc>
          <w:tcPr>
            <w:tcW w:w="2162" w:type="pct"/>
            <w:tcBorders>
              <w:top w:val="nil"/>
              <w:left w:val="nil"/>
              <w:bottom w:val="nil"/>
              <w:right w:val="nil"/>
            </w:tcBorders>
            <w:noWrap/>
            <w:vAlign w:val="bottom"/>
            <w:hideMark/>
          </w:tcPr>
          <w:p w14:paraId="79AD02C7" w14:textId="77777777" w:rsidR="00C44869" w:rsidRPr="00D46B6F" w:rsidRDefault="00C44869" w:rsidP="007B3453">
            <w:pPr>
              <w:rPr>
                <w:sz w:val="20"/>
                <w:szCs w:val="20"/>
              </w:rPr>
            </w:pPr>
            <w:r w:rsidRPr="00D46B6F">
              <w:rPr>
                <w:sz w:val="20"/>
                <w:szCs w:val="20"/>
              </w:rPr>
              <w:t>Decrease (increase) in trade and other receivables</w:t>
            </w:r>
          </w:p>
        </w:tc>
        <w:tc>
          <w:tcPr>
            <w:tcW w:w="114" w:type="pct"/>
            <w:tcBorders>
              <w:top w:val="nil"/>
              <w:left w:val="nil"/>
              <w:bottom w:val="nil"/>
              <w:right w:val="nil"/>
            </w:tcBorders>
            <w:noWrap/>
            <w:vAlign w:val="bottom"/>
            <w:hideMark/>
          </w:tcPr>
          <w:p w14:paraId="7D507BEF"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13AF7265" w14:textId="77777777" w:rsidR="00C44869" w:rsidRPr="00D46B6F" w:rsidRDefault="00C44869" w:rsidP="007B3453">
            <w:pPr>
              <w:jc w:val="right"/>
              <w:rPr>
                <w:b/>
                <w:bCs/>
                <w:sz w:val="20"/>
                <w:szCs w:val="20"/>
              </w:rPr>
            </w:pPr>
            <w:r>
              <w:rPr>
                <w:b/>
                <w:bCs/>
                <w:sz w:val="20"/>
                <w:szCs w:val="20"/>
              </w:rPr>
              <w:t>1,292,241</w:t>
            </w:r>
          </w:p>
        </w:tc>
        <w:tc>
          <w:tcPr>
            <w:tcW w:w="119" w:type="pct"/>
            <w:tcBorders>
              <w:top w:val="nil"/>
              <w:left w:val="nil"/>
              <w:bottom w:val="nil"/>
              <w:right w:val="nil"/>
            </w:tcBorders>
            <w:noWrap/>
            <w:vAlign w:val="bottom"/>
            <w:hideMark/>
          </w:tcPr>
          <w:p w14:paraId="4CC435D4"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1E51D524" w14:textId="77777777" w:rsidR="00C44869" w:rsidRPr="000E3E16" w:rsidRDefault="00C44869" w:rsidP="007B3453">
            <w:pPr>
              <w:jc w:val="right"/>
              <w:rPr>
                <w:sz w:val="20"/>
                <w:szCs w:val="20"/>
              </w:rPr>
            </w:pPr>
            <w:r w:rsidRPr="000E3E16">
              <w:rPr>
                <w:sz w:val="20"/>
                <w:szCs w:val="20"/>
              </w:rPr>
              <w:t xml:space="preserve">                     49,950 </w:t>
            </w:r>
          </w:p>
        </w:tc>
        <w:tc>
          <w:tcPr>
            <w:tcW w:w="119" w:type="pct"/>
            <w:tcBorders>
              <w:top w:val="nil"/>
              <w:left w:val="nil"/>
              <w:bottom w:val="nil"/>
              <w:right w:val="nil"/>
            </w:tcBorders>
            <w:noWrap/>
            <w:vAlign w:val="bottom"/>
            <w:hideMark/>
          </w:tcPr>
          <w:p w14:paraId="446A98B9"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4871D875" w14:textId="77777777" w:rsidR="00C44869" w:rsidRPr="00D46B6F" w:rsidRDefault="00C44869" w:rsidP="007B3453">
            <w:pPr>
              <w:jc w:val="right"/>
              <w:rPr>
                <w:sz w:val="20"/>
                <w:szCs w:val="20"/>
              </w:rPr>
            </w:pPr>
            <w:r w:rsidRPr="00D46B6F">
              <w:rPr>
                <w:sz w:val="20"/>
                <w:szCs w:val="20"/>
              </w:rPr>
              <w:t xml:space="preserve">               </w:t>
            </w:r>
            <w:r>
              <w:rPr>
                <w:sz w:val="20"/>
                <w:szCs w:val="20"/>
              </w:rPr>
              <w:t>(2,200,336)</w:t>
            </w:r>
            <w:r w:rsidRPr="00D46B6F">
              <w:rPr>
                <w:sz w:val="20"/>
                <w:szCs w:val="20"/>
              </w:rPr>
              <w:t xml:space="preserve"> </w:t>
            </w:r>
          </w:p>
        </w:tc>
        <w:tc>
          <w:tcPr>
            <w:tcW w:w="117" w:type="pct"/>
            <w:tcBorders>
              <w:top w:val="nil"/>
              <w:left w:val="nil"/>
              <w:bottom w:val="nil"/>
              <w:right w:val="nil"/>
            </w:tcBorders>
            <w:noWrap/>
            <w:vAlign w:val="bottom"/>
            <w:hideMark/>
          </w:tcPr>
          <w:p w14:paraId="5289E5E2" w14:textId="77777777" w:rsidR="00C44869" w:rsidRPr="00D46B6F" w:rsidRDefault="00C44869" w:rsidP="007B3453">
            <w:pPr>
              <w:rPr>
                <w:sz w:val="20"/>
                <w:szCs w:val="20"/>
              </w:rPr>
            </w:pPr>
          </w:p>
        </w:tc>
      </w:tr>
      <w:tr w:rsidR="00C44869" w:rsidRPr="00D46B6F" w14:paraId="3292EBE1" w14:textId="77777777" w:rsidTr="007B3453">
        <w:trPr>
          <w:trHeight w:val="260"/>
        </w:trPr>
        <w:tc>
          <w:tcPr>
            <w:tcW w:w="2162" w:type="pct"/>
            <w:tcBorders>
              <w:top w:val="nil"/>
              <w:left w:val="nil"/>
              <w:bottom w:val="nil"/>
              <w:right w:val="nil"/>
            </w:tcBorders>
            <w:noWrap/>
            <w:vAlign w:val="bottom"/>
            <w:hideMark/>
          </w:tcPr>
          <w:p w14:paraId="6047A721" w14:textId="77777777" w:rsidR="00C44869" w:rsidRPr="00D46B6F" w:rsidRDefault="00C44869" w:rsidP="007B3453">
            <w:pPr>
              <w:rPr>
                <w:sz w:val="20"/>
                <w:szCs w:val="20"/>
              </w:rPr>
            </w:pPr>
            <w:r w:rsidRPr="00D46B6F">
              <w:rPr>
                <w:sz w:val="20"/>
                <w:szCs w:val="20"/>
              </w:rPr>
              <w:t>Increase</w:t>
            </w:r>
            <w:r>
              <w:rPr>
                <w:sz w:val="20"/>
                <w:szCs w:val="20"/>
              </w:rPr>
              <w:t xml:space="preserve"> </w:t>
            </w:r>
            <w:r w:rsidRPr="00D46B6F">
              <w:rPr>
                <w:sz w:val="20"/>
                <w:szCs w:val="20"/>
              </w:rPr>
              <w:t>(decrease) in trade and other payables</w:t>
            </w:r>
          </w:p>
        </w:tc>
        <w:tc>
          <w:tcPr>
            <w:tcW w:w="114" w:type="pct"/>
            <w:tcBorders>
              <w:top w:val="nil"/>
              <w:left w:val="nil"/>
              <w:bottom w:val="nil"/>
              <w:right w:val="nil"/>
            </w:tcBorders>
            <w:noWrap/>
            <w:vAlign w:val="bottom"/>
            <w:hideMark/>
          </w:tcPr>
          <w:p w14:paraId="37E37E8C" w14:textId="77777777" w:rsidR="00C44869" w:rsidRPr="00D46B6F" w:rsidRDefault="00C44869" w:rsidP="007B3453">
            <w:pPr>
              <w:ind w:firstLineChars="300" w:firstLine="600"/>
              <w:rPr>
                <w:sz w:val="20"/>
                <w:szCs w:val="20"/>
              </w:rPr>
            </w:pPr>
          </w:p>
        </w:tc>
        <w:tc>
          <w:tcPr>
            <w:tcW w:w="706" w:type="pct"/>
            <w:tcBorders>
              <w:top w:val="nil"/>
              <w:left w:val="nil"/>
              <w:bottom w:val="nil"/>
              <w:right w:val="nil"/>
            </w:tcBorders>
            <w:noWrap/>
            <w:vAlign w:val="bottom"/>
          </w:tcPr>
          <w:p w14:paraId="2D7A875E" w14:textId="77777777" w:rsidR="00C44869" w:rsidRPr="00D46B6F" w:rsidRDefault="00C44869" w:rsidP="007B3453">
            <w:pPr>
              <w:jc w:val="right"/>
              <w:rPr>
                <w:b/>
                <w:bCs/>
                <w:sz w:val="20"/>
                <w:szCs w:val="20"/>
              </w:rPr>
            </w:pPr>
            <w:r>
              <w:rPr>
                <w:b/>
                <w:bCs/>
                <w:sz w:val="20"/>
                <w:szCs w:val="20"/>
              </w:rPr>
              <w:t>103,846</w:t>
            </w:r>
          </w:p>
        </w:tc>
        <w:tc>
          <w:tcPr>
            <w:tcW w:w="119" w:type="pct"/>
            <w:tcBorders>
              <w:top w:val="nil"/>
              <w:left w:val="nil"/>
              <w:bottom w:val="nil"/>
              <w:right w:val="nil"/>
            </w:tcBorders>
            <w:noWrap/>
            <w:vAlign w:val="bottom"/>
            <w:hideMark/>
          </w:tcPr>
          <w:p w14:paraId="50A7F811"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56E472A0" w14:textId="77777777" w:rsidR="00C44869" w:rsidRPr="000E3E16" w:rsidRDefault="00C44869" w:rsidP="007B3453">
            <w:pPr>
              <w:jc w:val="right"/>
              <w:rPr>
                <w:sz w:val="20"/>
                <w:szCs w:val="20"/>
              </w:rPr>
            </w:pPr>
            <w:r w:rsidRPr="000E3E16">
              <w:rPr>
                <w:sz w:val="20"/>
                <w:szCs w:val="20"/>
              </w:rPr>
              <w:t xml:space="preserve">                  (245,704)</w:t>
            </w:r>
          </w:p>
        </w:tc>
        <w:tc>
          <w:tcPr>
            <w:tcW w:w="119" w:type="pct"/>
            <w:tcBorders>
              <w:top w:val="nil"/>
              <w:left w:val="nil"/>
              <w:bottom w:val="nil"/>
              <w:right w:val="nil"/>
            </w:tcBorders>
            <w:noWrap/>
            <w:vAlign w:val="bottom"/>
            <w:hideMark/>
          </w:tcPr>
          <w:p w14:paraId="150E44C9"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5F7192A2" w14:textId="77777777" w:rsidR="00C44869" w:rsidRPr="00D46B6F" w:rsidRDefault="00C44869" w:rsidP="007B3453">
            <w:pPr>
              <w:jc w:val="right"/>
              <w:rPr>
                <w:sz w:val="20"/>
                <w:szCs w:val="20"/>
              </w:rPr>
            </w:pPr>
            <w:r w:rsidRPr="00D46B6F">
              <w:rPr>
                <w:sz w:val="20"/>
                <w:szCs w:val="20"/>
              </w:rPr>
              <w:t xml:space="preserve">             </w:t>
            </w:r>
            <w:r>
              <w:rPr>
                <w:sz w:val="20"/>
                <w:szCs w:val="20"/>
              </w:rPr>
              <w:t>346,300</w:t>
            </w:r>
          </w:p>
        </w:tc>
        <w:tc>
          <w:tcPr>
            <w:tcW w:w="117" w:type="pct"/>
            <w:tcBorders>
              <w:top w:val="nil"/>
              <w:left w:val="nil"/>
              <w:bottom w:val="nil"/>
              <w:right w:val="nil"/>
            </w:tcBorders>
            <w:noWrap/>
            <w:vAlign w:val="bottom"/>
            <w:hideMark/>
          </w:tcPr>
          <w:p w14:paraId="231332DC" w14:textId="77777777" w:rsidR="00C44869" w:rsidRPr="00D46B6F" w:rsidRDefault="00C44869" w:rsidP="007B3453">
            <w:pPr>
              <w:rPr>
                <w:sz w:val="20"/>
                <w:szCs w:val="20"/>
              </w:rPr>
            </w:pPr>
          </w:p>
        </w:tc>
      </w:tr>
      <w:tr w:rsidR="00C44869" w:rsidRPr="00D46B6F" w14:paraId="01FAB61C" w14:textId="77777777" w:rsidTr="007B3453">
        <w:trPr>
          <w:trHeight w:val="260"/>
        </w:trPr>
        <w:tc>
          <w:tcPr>
            <w:tcW w:w="2162" w:type="pct"/>
            <w:tcBorders>
              <w:top w:val="nil"/>
              <w:left w:val="nil"/>
              <w:bottom w:val="nil"/>
              <w:right w:val="nil"/>
            </w:tcBorders>
            <w:noWrap/>
            <w:vAlign w:val="bottom"/>
            <w:hideMark/>
          </w:tcPr>
          <w:p w14:paraId="496FD4EE" w14:textId="77777777" w:rsidR="00C44869" w:rsidRPr="00D46B6F" w:rsidRDefault="00C44869" w:rsidP="007B3453">
            <w:pPr>
              <w:rPr>
                <w:sz w:val="20"/>
                <w:szCs w:val="20"/>
              </w:rPr>
            </w:pPr>
            <w:r w:rsidRPr="00D46B6F">
              <w:rPr>
                <w:sz w:val="20"/>
                <w:szCs w:val="20"/>
              </w:rPr>
              <w:t>Net Cash outflow from Operating Activities</w:t>
            </w:r>
          </w:p>
        </w:tc>
        <w:tc>
          <w:tcPr>
            <w:tcW w:w="114" w:type="pct"/>
            <w:tcBorders>
              <w:top w:val="nil"/>
              <w:left w:val="nil"/>
              <w:bottom w:val="nil"/>
              <w:right w:val="nil"/>
            </w:tcBorders>
            <w:noWrap/>
            <w:vAlign w:val="bottom"/>
            <w:hideMark/>
          </w:tcPr>
          <w:p w14:paraId="62487F28" w14:textId="77777777" w:rsidR="00C44869" w:rsidRPr="00D46B6F" w:rsidRDefault="00C44869" w:rsidP="007B3453">
            <w:pPr>
              <w:rPr>
                <w:sz w:val="20"/>
                <w:szCs w:val="20"/>
              </w:rPr>
            </w:pPr>
          </w:p>
        </w:tc>
        <w:tc>
          <w:tcPr>
            <w:tcW w:w="706" w:type="pct"/>
            <w:tcBorders>
              <w:top w:val="single" w:sz="4" w:space="0" w:color="auto"/>
              <w:left w:val="nil"/>
              <w:bottom w:val="single" w:sz="4" w:space="0" w:color="auto"/>
              <w:right w:val="nil"/>
            </w:tcBorders>
            <w:noWrap/>
            <w:vAlign w:val="bottom"/>
          </w:tcPr>
          <w:p w14:paraId="1243136D" w14:textId="77777777" w:rsidR="00C44869" w:rsidRPr="00D46B6F" w:rsidRDefault="00C44869" w:rsidP="007B3453">
            <w:pPr>
              <w:jc w:val="right"/>
              <w:rPr>
                <w:b/>
                <w:bCs/>
                <w:sz w:val="20"/>
                <w:szCs w:val="20"/>
              </w:rPr>
            </w:pPr>
            <w:r>
              <w:rPr>
                <w:b/>
                <w:bCs/>
                <w:sz w:val="20"/>
                <w:szCs w:val="20"/>
              </w:rPr>
              <w:t>(971,508)</w:t>
            </w:r>
          </w:p>
        </w:tc>
        <w:tc>
          <w:tcPr>
            <w:tcW w:w="119" w:type="pct"/>
            <w:tcBorders>
              <w:top w:val="nil"/>
              <w:left w:val="nil"/>
              <w:bottom w:val="nil"/>
              <w:right w:val="nil"/>
            </w:tcBorders>
            <w:noWrap/>
            <w:vAlign w:val="bottom"/>
            <w:hideMark/>
          </w:tcPr>
          <w:p w14:paraId="324CF3AC" w14:textId="77777777" w:rsidR="00C44869" w:rsidRPr="00D46B6F" w:rsidRDefault="00C44869" w:rsidP="007B3453">
            <w:pPr>
              <w:jc w:val="right"/>
              <w:rPr>
                <w:b/>
                <w:bCs/>
                <w:sz w:val="20"/>
                <w:szCs w:val="20"/>
              </w:rPr>
            </w:pPr>
          </w:p>
        </w:tc>
        <w:tc>
          <w:tcPr>
            <w:tcW w:w="857" w:type="pct"/>
            <w:tcBorders>
              <w:top w:val="single" w:sz="4" w:space="0" w:color="auto"/>
              <w:left w:val="nil"/>
              <w:bottom w:val="single" w:sz="4" w:space="0" w:color="auto"/>
              <w:right w:val="nil"/>
            </w:tcBorders>
            <w:noWrap/>
            <w:vAlign w:val="bottom"/>
            <w:hideMark/>
          </w:tcPr>
          <w:p w14:paraId="4D2CD45E" w14:textId="77777777" w:rsidR="00C44869" w:rsidRPr="000E3E16" w:rsidRDefault="00C44869" w:rsidP="007B3453">
            <w:pPr>
              <w:jc w:val="right"/>
              <w:rPr>
                <w:sz w:val="20"/>
                <w:szCs w:val="20"/>
              </w:rPr>
            </w:pPr>
            <w:r w:rsidRPr="000E3E16">
              <w:rPr>
                <w:sz w:val="20"/>
                <w:szCs w:val="20"/>
              </w:rPr>
              <w:t xml:space="preserve">               (1,746,881)</w:t>
            </w:r>
          </w:p>
        </w:tc>
        <w:tc>
          <w:tcPr>
            <w:tcW w:w="119" w:type="pct"/>
            <w:tcBorders>
              <w:top w:val="nil"/>
              <w:left w:val="nil"/>
              <w:bottom w:val="nil"/>
              <w:right w:val="nil"/>
            </w:tcBorders>
            <w:noWrap/>
            <w:vAlign w:val="bottom"/>
            <w:hideMark/>
          </w:tcPr>
          <w:p w14:paraId="4BDBED8B" w14:textId="77777777" w:rsidR="00C44869" w:rsidRPr="00D46B6F" w:rsidRDefault="00C44869" w:rsidP="007B3453">
            <w:pPr>
              <w:jc w:val="right"/>
              <w:rPr>
                <w:sz w:val="20"/>
                <w:szCs w:val="20"/>
              </w:rPr>
            </w:pPr>
          </w:p>
        </w:tc>
        <w:tc>
          <w:tcPr>
            <w:tcW w:w="806" w:type="pct"/>
            <w:tcBorders>
              <w:top w:val="single" w:sz="4" w:space="0" w:color="auto"/>
              <w:left w:val="nil"/>
              <w:bottom w:val="single" w:sz="4" w:space="0" w:color="auto"/>
              <w:right w:val="nil"/>
            </w:tcBorders>
            <w:noWrap/>
            <w:vAlign w:val="bottom"/>
            <w:hideMark/>
          </w:tcPr>
          <w:p w14:paraId="4F34CDB4" w14:textId="77777777" w:rsidR="00C44869" w:rsidRPr="00D46B6F" w:rsidRDefault="00C44869" w:rsidP="007B3453">
            <w:pPr>
              <w:jc w:val="right"/>
              <w:rPr>
                <w:sz w:val="20"/>
                <w:szCs w:val="20"/>
              </w:rPr>
            </w:pPr>
            <w:r w:rsidRPr="00D46B6F">
              <w:rPr>
                <w:sz w:val="20"/>
                <w:szCs w:val="20"/>
              </w:rPr>
              <w:t xml:space="preserve">           (</w:t>
            </w:r>
            <w:r>
              <w:rPr>
                <w:sz w:val="20"/>
                <w:szCs w:val="20"/>
              </w:rPr>
              <w:t>4,186,457</w:t>
            </w:r>
            <w:r w:rsidRPr="00D46B6F">
              <w:rPr>
                <w:sz w:val="20"/>
                <w:szCs w:val="20"/>
              </w:rPr>
              <w:t>)</w:t>
            </w:r>
          </w:p>
        </w:tc>
        <w:tc>
          <w:tcPr>
            <w:tcW w:w="117" w:type="pct"/>
            <w:tcBorders>
              <w:top w:val="nil"/>
              <w:left w:val="nil"/>
              <w:bottom w:val="nil"/>
              <w:right w:val="nil"/>
            </w:tcBorders>
            <w:noWrap/>
            <w:vAlign w:val="bottom"/>
            <w:hideMark/>
          </w:tcPr>
          <w:p w14:paraId="37C454EC" w14:textId="77777777" w:rsidR="00C44869" w:rsidRPr="00D46B6F" w:rsidRDefault="00C44869" w:rsidP="007B3453">
            <w:pPr>
              <w:rPr>
                <w:sz w:val="20"/>
                <w:szCs w:val="20"/>
              </w:rPr>
            </w:pPr>
          </w:p>
        </w:tc>
      </w:tr>
      <w:tr w:rsidR="00C44869" w:rsidRPr="00D46B6F" w14:paraId="13286323" w14:textId="77777777" w:rsidTr="007B3453">
        <w:trPr>
          <w:trHeight w:val="260"/>
        </w:trPr>
        <w:tc>
          <w:tcPr>
            <w:tcW w:w="2162" w:type="pct"/>
            <w:tcBorders>
              <w:top w:val="nil"/>
              <w:left w:val="nil"/>
              <w:bottom w:val="nil"/>
              <w:right w:val="nil"/>
            </w:tcBorders>
            <w:noWrap/>
            <w:vAlign w:val="bottom"/>
            <w:hideMark/>
          </w:tcPr>
          <w:p w14:paraId="0A28F185" w14:textId="77777777" w:rsidR="00C44869" w:rsidRPr="00D46B6F" w:rsidRDefault="00C44869" w:rsidP="007B3453">
            <w:pPr>
              <w:rPr>
                <w:sz w:val="20"/>
                <w:szCs w:val="20"/>
              </w:rPr>
            </w:pPr>
          </w:p>
        </w:tc>
        <w:tc>
          <w:tcPr>
            <w:tcW w:w="114" w:type="pct"/>
            <w:tcBorders>
              <w:top w:val="nil"/>
              <w:left w:val="nil"/>
              <w:bottom w:val="nil"/>
              <w:right w:val="nil"/>
            </w:tcBorders>
            <w:noWrap/>
            <w:vAlign w:val="bottom"/>
            <w:hideMark/>
          </w:tcPr>
          <w:p w14:paraId="5FC62846" w14:textId="77777777" w:rsidR="00C44869" w:rsidRPr="00D46B6F" w:rsidRDefault="00C44869" w:rsidP="007B3453">
            <w:pPr>
              <w:rPr>
                <w:sz w:val="20"/>
                <w:szCs w:val="20"/>
              </w:rPr>
            </w:pPr>
          </w:p>
        </w:tc>
        <w:tc>
          <w:tcPr>
            <w:tcW w:w="706" w:type="pct"/>
            <w:tcBorders>
              <w:top w:val="nil"/>
              <w:left w:val="nil"/>
              <w:bottom w:val="nil"/>
              <w:right w:val="nil"/>
            </w:tcBorders>
            <w:noWrap/>
            <w:vAlign w:val="bottom"/>
          </w:tcPr>
          <w:p w14:paraId="5003F5AA" w14:textId="77777777" w:rsidR="00C44869" w:rsidRPr="00D46B6F" w:rsidRDefault="00C44869" w:rsidP="007B3453">
            <w:pPr>
              <w:jc w:val="right"/>
              <w:rPr>
                <w:sz w:val="20"/>
                <w:szCs w:val="20"/>
              </w:rPr>
            </w:pPr>
          </w:p>
        </w:tc>
        <w:tc>
          <w:tcPr>
            <w:tcW w:w="119" w:type="pct"/>
            <w:tcBorders>
              <w:top w:val="nil"/>
              <w:left w:val="nil"/>
              <w:bottom w:val="nil"/>
              <w:right w:val="nil"/>
            </w:tcBorders>
            <w:noWrap/>
            <w:vAlign w:val="bottom"/>
            <w:hideMark/>
          </w:tcPr>
          <w:p w14:paraId="42F4490F" w14:textId="77777777" w:rsidR="00C44869" w:rsidRPr="00D46B6F" w:rsidRDefault="00C44869" w:rsidP="007B3453">
            <w:pPr>
              <w:jc w:val="right"/>
              <w:rPr>
                <w:sz w:val="20"/>
                <w:szCs w:val="20"/>
              </w:rPr>
            </w:pPr>
          </w:p>
        </w:tc>
        <w:tc>
          <w:tcPr>
            <w:tcW w:w="857" w:type="pct"/>
            <w:tcBorders>
              <w:top w:val="nil"/>
              <w:left w:val="nil"/>
              <w:bottom w:val="nil"/>
              <w:right w:val="nil"/>
            </w:tcBorders>
            <w:noWrap/>
            <w:vAlign w:val="bottom"/>
            <w:hideMark/>
          </w:tcPr>
          <w:p w14:paraId="30A3972C" w14:textId="77777777" w:rsidR="00C44869" w:rsidRPr="000E3E16" w:rsidRDefault="00C44869" w:rsidP="007B3453">
            <w:pPr>
              <w:jc w:val="right"/>
              <w:rPr>
                <w:sz w:val="20"/>
                <w:szCs w:val="20"/>
              </w:rPr>
            </w:pPr>
          </w:p>
        </w:tc>
        <w:tc>
          <w:tcPr>
            <w:tcW w:w="119" w:type="pct"/>
            <w:tcBorders>
              <w:top w:val="nil"/>
              <w:left w:val="nil"/>
              <w:bottom w:val="nil"/>
              <w:right w:val="nil"/>
            </w:tcBorders>
            <w:noWrap/>
            <w:vAlign w:val="bottom"/>
            <w:hideMark/>
          </w:tcPr>
          <w:p w14:paraId="0EEB3AD8"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713D2B5C" w14:textId="77777777" w:rsidR="00C44869" w:rsidRPr="00D46B6F" w:rsidRDefault="00C44869" w:rsidP="007B3453">
            <w:pPr>
              <w:jc w:val="right"/>
              <w:rPr>
                <w:sz w:val="20"/>
                <w:szCs w:val="20"/>
              </w:rPr>
            </w:pPr>
          </w:p>
        </w:tc>
        <w:tc>
          <w:tcPr>
            <w:tcW w:w="117" w:type="pct"/>
            <w:tcBorders>
              <w:top w:val="nil"/>
              <w:left w:val="nil"/>
              <w:bottom w:val="nil"/>
              <w:right w:val="nil"/>
            </w:tcBorders>
            <w:noWrap/>
            <w:vAlign w:val="bottom"/>
            <w:hideMark/>
          </w:tcPr>
          <w:p w14:paraId="52B55FC8" w14:textId="77777777" w:rsidR="00C44869" w:rsidRPr="00D46B6F" w:rsidRDefault="00C44869" w:rsidP="007B3453">
            <w:pPr>
              <w:rPr>
                <w:sz w:val="20"/>
                <w:szCs w:val="20"/>
              </w:rPr>
            </w:pPr>
          </w:p>
        </w:tc>
      </w:tr>
      <w:tr w:rsidR="00C44869" w:rsidRPr="00D46B6F" w14:paraId="132F9174" w14:textId="77777777" w:rsidTr="007B3453">
        <w:trPr>
          <w:trHeight w:val="260"/>
        </w:trPr>
        <w:tc>
          <w:tcPr>
            <w:tcW w:w="2162" w:type="pct"/>
            <w:tcBorders>
              <w:top w:val="nil"/>
              <w:left w:val="nil"/>
              <w:bottom w:val="nil"/>
              <w:right w:val="nil"/>
            </w:tcBorders>
            <w:noWrap/>
            <w:vAlign w:val="bottom"/>
            <w:hideMark/>
          </w:tcPr>
          <w:p w14:paraId="0F6FE346" w14:textId="77777777" w:rsidR="00C44869" w:rsidRPr="00D46B6F" w:rsidRDefault="00C44869" w:rsidP="007B3453">
            <w:pPr>
              <w:rPr>
                <w:b/>
                <w:bCs/>
                <w:sz w:val="20"/>
                <w:szCs w:val="20"/>
              </w:rPr>
            </w:pPr>
            <w:r w:rsidRPr="00D46B6F">
              <w:rPr>
                <w:b/>
                <w:bCs/>
                <w:sz w:val="20"/>
                <w:szCs w:val="20"/>
              </w:rPr>
              <w:t xml:space="preserve">Cash Flows </w:t>
            </w:r>
            <w:proofErr w:type="gramStart"/>
            <w:r w:rsidRPr="00D46B6F">
              <w:rPr>
                <w:b/>
                <w:bCs/>
                <w:sz w:val="20"/>
                <w:szCs w:val="20"/>
              </w:rPr>
              <w:t>From</w:t>
            </w:r>
            <w:proofErr w:type="gramEnd"/>
            <w:r w:rsidRPr="00D46B6F">
              <w:rPr>
                <w:b/>
                <w:bCs/>
                <w:sz w:val="20"/>
                <w:szCs w:val="20"/>
              </w:rPr>
              <w:t xml:space="preserve"> Financing Activities</w:t>
            </w:r>
          </w:p>
        </w:tc>
        <w:tc>
          <w:tcPr>
            <w:tcW w:w="114" w:type="pct"/>
            <w:tcBorders>
              <w:top w:val="nil"/>
              <w:left w:val="nil"/>
              <w:bottom w:val="nil"/>
              <w:right w:val="nil"/>
            </w:tcBorders>
            <w:noWrap/>
            <w:vAlign w:val="bottom"/>
            <w:hideMark/>
          </w:tcPr>
          <w:p w14:paraId="526EB8B0" w14:textId="77777777" w:rsidR="00C44869" w:rsidRPr="00D46B6F" w:rsidRDefault="00C44869" w:rsidP="007B3453">
            <w:pPr>
              <w:rPr>
                <w:b/>
                <w:bCs/>
                <w:sz w:val="20"/>
                <w:szCs w:val="20"/>
              </w:rPr>
            </w:pPr>
          </w:p>
        </w:tc>
        <w:tc>
          <w:tcPr>
            <w:tcW w:w="706" w:type="pct"/>
            <w:tcBorders>
              <w:top w:val="nil"/>
              <w:left w:val="nil"/>
              <w:bottom w:val="nil"/>
              <w:right w:val="nil"/>
            </w:tcBorders>
            <w:noWrap/>
            <w:vAlign w:val="bottom"/>
          </w:tcPr>
          <w:p w14:paraId="7CB023FB" w14:textId="77777777" w:rsidR="00C44869" w:rsidRPr="00D46B6F" w:rsidRDefault="00C44869" w:rsidP="007B3453">
            <w:pPr>
              <w:jc w:val="right"/>
              <w:rPr>
                <w:sz w:val="20"/>
                <w:szCs w:val="20"/>
              </w:rPr>
            </w:pPr>
          </w:p>
        </w:tc>
        <w:tc>
          <w:tcPr>
            <w:tcW w:w="119" w:type="pct"/>
            <w:tcBorders>
              <w:top w:val="nil"/>
              <w:left w:val="nil"/>
              <w:bottom w:val="nil"/>
              <w:right w:val="nil"/>
            </w:tcBorders>
            <w:noWrap/>
            <w:vAlign w:val="bottom"/>
            <w:hideMark/>
          </w:tcPr>
          <w:p w14:paraId="0C61518B" w14:textId="77777777" w:rsidR="00C44869" w:rsidRPr="00D46B6F" w:rsidRDefault="00C44869" w:rsidP="007B3453">
            <w:pPr>
              <w:jc w:val="right"/>
              <w:rPr>
                <w:sz w:val="20"/>
                <w:szCs w:val="20"/>
              </w:rPr>
            </w:pPr>
          </w:p>
        </w:tc>
        <w:tc>
          <w:tcPr>
            <w:tcW w:w="857" w:type="pct"/>
            <w:tcBorders>
              <w:top w:val="nil"/>
              <w:left w:val="nil"/>
              <w:bottom w:val="nil"/>
              <w:right w:val="nil"/>
            </w:tcBorders>
            <w:noWrap/>
            <w:vAlign w:val="bottom"/>
            <w:hideMark/>
          </w:tcPr>
          <w:p w14:paraId="0C81F0A1" w14:textId="77777777" w:rsidR="00C44869" w:rsidRPr="000E3E16" w:rsidRDefault="00C44869" w:rsidP="007B3453">
            <w:pPr>
              <w:jc w:val="right"/>
              <w:rPr>
                <w:sz w:val="20"/>
                <w:szCs w:val="20"/>
              </w:rPr>
            </w:pPr>
          </w:p>
        </w:tc>
        <w:tc>
          <w:tcPr>
            <w:tcW w:w="119" w:type="pct"/>
            <w:tcBorders>
              <w:top w:val="nil"/>
              <w:left w:val="nil"/>
              <w:bottom w:val="nil"/>
              <w:right w:val="nil"/>
            </w:tcBorders>
            <w:noWrap/>
            <w:vAlign w:val="bottom"/>
            <w:hideMark/>
          </w:tcPr>
          <w:p w14:paraId="6FF90DA1"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408CBBB8" w14:textId="77777777" w:rsidR="00C44869" w:rsidRPr="00D46B6F" w:rsidRDefault="00C44869" w:rsidP="007B3453">
            <w:pPr>
              <w:jc w:val="right"/>
              <w:rPr>
                <w:sz w:val="20"/>
                <w:szCs w:val="20"/>
              </w:rPr>
            </w:pPr>
          </w:p>
        </w:tc>
        <w:tc>
          <w:tcPr>
            <w:tcW w:w="117" w:type="pct"/>
            <w:tcBorders>
              <w:top w:val="nil"/>
              <w:left w:val="nil"/>
              <w:bottom w:val="nil"/>
              <w:right w:val="nil"/>
            </w:tcBorders>
            <w:noWrap/>
            <w:vAlign w:val="bottom"/>
            <w:hideMark/>
          </w:tcPr>
          <w:p w14:paraId="720A60C6" w14:textId="77777777" w:rsidR="00C44869" w:rsidRPr="00D46B6F" w:rsidRDefault="00C44869" w:rsidP="007B3453">
            <w:pPr>
              <w:rPr>
                <w:sz w:val="20"/>
                <w:szCs w:val="20"/>
              </w:rPr>
            </w:pPr>
          </w:p>
        </w:tc>
      </w:tr>
      <w:tr w:rsidR="00C44869" w:rsidRPr="00D46B6F" w14:paraId="6C2D7351" w14:textId="77777777" w:rsidTr="007B3453">
        <w:trPr>
          <w:trHeight w:val="260"/>
        </w:trPr>
        <w:tc>
          <w:tcPr>
            <w:tcW w:w="2162" w:type="pct"/>
            <w:tcBorders>
              <w:top w:val="nil"/>
              <w:left w:val="nil"/>
              <w:bottom w:val="nil"/>
              <w:right w:val="nil"/>
            </w:tcBorders>
            <w:noWrap/>
            <w:vAlign w:val="bottom"/>
            <w:hideMark/>
          </w:tcPr>
          <w:p w14:paraId="22EBDCD8" w14:textId="77777777" w:rsidR="00C44869" w:rsidRPr="00D46B6F" w:rsidRDefault="00C44869" w:rsidP="007B3453">
            <w:pPr>
              <w:ind w:firstLineChars="18" w:firstLine="36"/>
              <w:rPr>
                <w:sz w:val="20"/>
                <w:szCs w:val="20"/>
              </w:rPr>
            </w:pPr>
            <w:r w:rsidRPr="00D46B6F">
              <w:rPr>
                <w:sz w:val="20"/>
                <w:szCs w:val="20"/>
              </w:rPr>
              <w:t>Net proceeds from issue of shares</w:t>
            </w:r>
          </w:p>
        </w:tc>
        <w:tc>
          <w:tcPr>
            <w:tcW w:w="114" w:type="pct"/>
            <w:tcBorders>
              <w:top w:val="nil"/>
              <w:left w:val="nil"/>
              <w:bottom w:val="nil"/>
              <w:right w:val="nil"/>
            </w:tcBorders>
            <w:noWrap/>
            <w:vAlign w:val="bottom"/>
            <w:hideMark/>
          </w:tcPr>
          <w:p w14:paraId="4D840BCE"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5DC5C6A9"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07631FA8"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00C236D8" w14:textId="77777777" w:rsidR="00C44869" w:rsidRPr="000E3E16" w:rsidRDefault="00C44869" w:rsidP="007B3453">
            <w:pPr>
              <w:jc w:val="right"/>
              <w:rPr>
                <w:sz w:val="20"/>
                <w:szCs w:val="20"/>
              </w:rPr>
            </w:pPr>
            <w:r w:rsidRPr="000E3E16">
              <w:rPr>
                <w:sz w:val="20"/>
                <w:szCs w:val="20"/>
              </w:rPr>
              <w:t xml:space="preserve">                             - </w:t>
            </w:r>
          </w:p>
        </w:tc>
        <w:tc>
          <w:tcPr>
            <w:tcW w:w="119" w:type="pct"/>
            <w:tcBorders>
              <w:top w:val="nil"/>
              <w:left w:val="nil"/>
              <w:bottom w:val="nil"/>
              <w:right w:val="nil"/>
            </w:tcBorders>
            <w:noWrap/>
            <w:vAlign w:val="bottom"/>
            <w:hideMark/>
          </w:tcPr>
          <w:p w14:paraId="35BEA289"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6D6E1FBC" w14:textId="77777777" w:rsidR="00C44869" w:rsidRPr="00D46B6F" w:rsidRDefault="00C44869" w:rsidP="007B3453">
            <w:pPr>
              <w:jc w:val="right"/>
              <w:rPr>
                <w:sz w:val="20"/>
                <w:szCs w:val="20"/>
              </w:rPr>
            </w:pPr>
            <w:r w:rsidRPr="00D46B6F">
              <w:rPr>
                <w:sz w:val="20"/>
                <w:szCs w:val="20"/>
              </w:rPr>
              <w:t xml:space="preserve">            2,</w:t>
            </w:r>
            <w:r>
              <w:rPr>
                <w:sz w:val="20"/>
                <w:szCs w:val="20"/>
              </w:rPr>
              <w:t>037,197</w:t>
            </w:r>
            <w:r w:rsidRPr="00D46B6F">
              <w:rPr>
                <w:sz w:val="20"/>
                <w:szCs w:val="20"/>
              </w:rPr>
              <w:t xml:space="preserve"> </w:t>
            </w:r>
          </w:p>
        </w:tc>
        <w:tc>
          <w:tcPr>
            <w:tcW w:w="117" w:type="pct"/>
            <w:tcBorders>
              <w:top w:val="nil"/>
              <w:left w:val="nil"/>
              <w:bottom w:val="nil"/>
              <w:right w:val="nil"/>
            </w:tcBorders>
            <w:noWrap/>
            <w:vAlign w:val="bottom"/>
            <w:hideMark/>
          </w:tcPr>
          <w:p w14:paraId="34C45CEB" w14:textId="77777777" w:rsidR="00C44869" w:rsidRPr="00D46B6F" w:rsidRDefault="00C44869" w:rsidP="007B3453">
            <w:pPr>
              <w:rPr>
                <w:sz w:val="20"/>
                <w:szCs w:val="20"/>
              </w:rPr>
            </w:pPr>
          </w:p>
        </w:tc>
      </w:tr>
      <w:tr w:rsidR="00C44869" w:rsidRPr="00D46B6F" w14:paraId="5529194A" w14:textId="77777777" w:rsidTr="007B3453">
        <w:trPr>
          <w:trHeight w:val="260"/>
        </w:trPr>
        <w:tc>
          <w:tcPr>
            <w:tcW w:w="2162" w:type="pct"/>
            <w:tcBorders>
              <w:top w:val="nil"/>
              <w:left w:val="nil"/>
              <w:bottom w:val="nil"/>
              <w:right w:val="nil"/>
            </w:tcBorders>
            <w:noWrap/>
            <w:vAlign w:val="bottom"/>
            <w:hideMark/>
          </w:tcPr>
          <w:p w14:paraId="26ADE35D" w14:textId="77777777" w:rsidR="00C44869" w:rsidRPr="00D46B6F" w:rsidRDefault="00C44869" w:rsidP="007B3453">
            <w:pPr>
              <w:ind w:firstLineChars="18" w:firstLine="36"/>
              <w:rPr>
                <w:sz w:val="20"/>
                <w:szCs w:val="20"/>
              </w:rPr>
            </w:pPr>
            <w:r>
              <w:rPr>
                <w:sz w:val="20"/>
                <w:szCs w:val="20"/>
              </w:rPr>
              <w:t>Interest paid</w:t>
            </w:r>
          </w:p>
        </w:tc>
        <w:tc>
          <w:tcPr>
            <w:tcW w:w="114" w:type="pct"/>
            <w:tcBorders>
              <w:top w:val="nil"/>
              <w:left w:val="nil"/>
              <w:bottom w:val="nil"/>
              <w:right w:val="nil"/>
            </w:tcBorders>
            <w:noWrap/>
            <w:vAlign w:val="bottom"/>
            <w:hideMark/>
          </w:tcPr>
          <w:p w14:paraId="77F820B4"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050B82E5" w14:textId="77777777" w:rsidR="00C44869" w:rsidRPr="00D46B6F" w:rsidRDefault="00C44869" w:rsidP="007B3453">
            <w:pPr>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25A93514"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67660858" w14:textId="77777777" w:rsidR="00C44869" w:rsidRPr="000E3E16" w:rsidRDefault="00C44869" w:rsidP="007B3453">
            <w:pPr>
              <w:jc w:val="right"/>
              <w:rPr>
                <w:sz w:val="20"/>
                <w:szCs w:val="20"/>
              </w:rPr>
            </w:pPr>
            <w:r w:rsidRPr="000E3E16">
              <w:rPr>
                <w:sz w:val="20"/>
                <w:szCs w:val="20"/>
              </w:rPr>
              <w:t xml:space="preserve">                             - </w:t>
            </w:r>
          </w:p>
        </w:tc>
        <w:tc>
          <w:tcPr>
            <w:tcW w:w="119" w:type="pct"/>
            <w:tcBorders>
              <w:top w:val="nil"/>
              <w:left w:val="nil"/>
              <w:bottom w:val="nil"/>
              <w:right w:val="nil"/>
            </w:tcBorders>
            <w:noWrap/>
            <w:vAlign w:val="bottom"/>
            <w:hideMark/>
          </w:tcPr>
          <w:p w14:paraId="505B0E21"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5039F2FC" w14:textId="77777777" w:rsidR="00C44869" w:rsidRPr="00D46B6F" w:rsidRDefault="00C44869" w:rsidP="007B3453">
            <w:pPr>
              <w:jc w:val="right"/>
              <w:rPr>
                <w:sz w:val="20"/>
                <w:szCs w:val="20"/>
              </w:rPr>
            </w:pPr>
            <w:r w:rsidRPr="00D46B6F">
              <w:rPr>
                <w:sz w:val="20"/>
                <w:szCs w:val="20"/>
              </w:rPr>
              <w:t xml:space="preserve">            </w:t>
            </w:r>
            <w:r>
              <w:rPr>
                <w:sz w:val="20"/>
                <w:szCs w:val="20"/>
              </w:rPr>
              <w:t>(127,490)</w:t>
            </w:r>
            <w:r w:rsidRPr="00D46B6F">
              <w:rPr>
                <w:sz w:val="20"/>
                <w:szCs w:val="20"/>
              </w:rPr>
              <w:t xml:space="preserve"> </w:t>
            </w:r>
          </w:p>
        </w:tc>
        <w:tc>
          <w:tcPr>
            <w:tcW w:w="117" w:type="pct"/>
            <w:tcBorders>
              <w:top w:val="nil"/>
              <w:left w:val="nil"/>
              <w:bottom w:val="nil"/>
              <w:right w:val="nil"/>
            </w:tcBorders>
            <w:noWrap/>
            <w:vAlign w:val="bottom"/>
            <w:hideMark/>
          </w:tcPr>
          <w:p w14:paraId="5A2B9612" w14:textId="77777777" w:rsidR="00C44869" w:rsidRPr="00D46B6F" w:rsidRDefault="00C44869" w:rsidP="007B3453">
            <w:pPr>
              <w:rPr>
                <w:sz w:val="20"/>
                <w:szCs w:val="20"/>
              </w:rPr>
            </w:pPr>
          </w:p>
        </w:tc>
      </w:tr>
      <w:tr w:rsidR="00C44869" w:rsidRPr="00D46B6F" w14:paraId="5518F0A5" w14:textId="77777777" w:rsidTr="007B3453">
        <w:trPr>
          <w:trHeight w:val="260"/>
        </w:trPr>
        <w:tc>
          <w:tcPr>
            <w:tcW w:w="2162" w:type="pct"/>
            <w:tcBorders>
              <w:top w:val="nil"/>
              <w:left w:val="nil"/>
              <w:bottom w:val="nil"/>
              <w:right w:val="nil"/>
            </w:tcBorders>
            <w:noWrap/>
            <w:vAlign w:val="bottom"/>
            <w:hideMark/>
          </w:tcPr>
          <w:p w14:paraId="24BC032D" w14:textId="77777777" w:rsidR="00C44869" w:rsidRPr="00D46B6F" w:rsidRDefault="00C44869" w:rsidP="007B3453">
            <w:pPr>
              <w:ind w:firstLineChars="18" w:firstLine="36"/>
              <w:rPr>
                <w:sz w:val="20"/>
                <w:szCs w:val="20"/>
              </w:rPr>
            </w:pPr>
            <w:r w:rsidRPr="00D46B6F">
              <w:rPr>
                <w:sz w:val="20"/>
                <w:szCs w:val="20"/>
              </w:rPr>
              <w:t>Payments of lease liabilit</w:t>
            </w:r>
            <w:r>
              <w:rPr>
                <w:sz w:val="20"/>
                <w:szCs w:val="20"/>
              </w:rPr>
              <w:t>ies</w:t>
            </w:r>
            <w:r w:rsidRPr="00D46B6F">
              <w:rPr>
                <w:sz w:val="20"/>
                <w:szCs w:val="20"/>
              </w:rPr>
              <w:t xml:space="preserve"> </w:t>
            </w:r>
          </w:p>
        </w:tc>
        <w:tc>
          <w:tcPr>
            <w:tcW w:w="114" w:type="pct"/>
            <w:tcBorders>
              <w:top w:val="nil"/>
              <w:left w:val="nil"/>
              <w:bottom w:val="nil"/>
              <w:right w:val="nil"/>
            </w:tcBorders>
            <w:noWrap/>
            <w:vAlign w:val="bottom"/>
            <w:hideMark/>
          </w:tcPr>
          <w:p w14:paraId="5BD2A046"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3A5B8FD9" w14:textId="77777777" w:rsidR="00C44869" w:rsidRPr="00D46B6F" w:rsidRDefault="00C44869" w:rsidP="007B3453">
            <w:pPr>
              <w:jc w:val="right"/>
              <w:rPr>
                <w:b/>
                <w:bCs/>
                <w:sz w:val="20"/>
                <w:szCs w:val="20"/>
              </w:rPr>
            </w:pPr>
            <w:r>
              <w:rPr>
                <w:b/>
                <w:bCs/>
                <w:sz w:val="20"/>
                <w:szCs w:val="20"/>
              </w:rPr>
              <w:t>(6,281)</w:t>
            </w:r>
          </w:p>
        </w:tc>
        <w:tc>
          <w:tcPr>
            <w:tcW w:w="119" w:type="pct"/>
            <w:tcBorders>
              <w:top w:val="nil"/>
              <w:left w:val="nil"/>
              <w:bottom w:val="nil"/>
              <w:right w:val="nil"/>
            </w:tcBorders>
            <w:noWrap/>
            <w:vAlign w:val="bottom"/>
            <w:hideMark/>
          </w:tcPr>
          <w:p w14:paraId="65AA3951"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4E65CF30" w14:textId="77777777" w:rsidR="00C44869" w:rsidRPr="000E3E16" w:rsidRDefault="00C44869" w:rsidP="007B3453">
            <w:pPr>
              <w:jc w:val="right"/>
              <w:rPr>
                <w:sz w:val="20"/>
                <w:szCs w:val="20"/>
              </w:rPr>
            </w:pPr>
            <w:r w:rsidRPr="000E3E16">
              <w:rPr>
                <w:sz w:val="20"/>
                <w:szCs w:val="20"/>
              </w:rPr>
              <w:t xml:space="preserve">                    (60,244)</w:t>
            </w:r>
          </w:p>
        </w:tc>
        <w:tc>
          <w:tcPr>
            <w:tcW w:w="119" w:type="pct"/>
            <w:tcBorders>
              <w:top w:val="nil"/>
              <w:left w:val="nil"/>
              <w:bottom w:val="nil"/>
              <w:right w:val="nil"/>
            </w:tcBorders>
            <w:noWrap/>
            <w:vAlign w:val="bottom"/>
            <w:hideMark/>
          </w:tcPr>
          <w:p w14:paraId="32CA3A75"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13316210" w14:textId="77777777" w:rsidR="00C44869" w:rsidRPr="00D46B6F" w:rsidRDefault="00C44869" w:rsidP="007B3453">
            <w:pPr>
              <w:jc w:val="right"/>
              <w:rPr>
                <w:sz w:val="20"/>
                <w:szCs w:val="20"/>
              </w:rPr>
            </w:pPr>
            <w:r w:rsidRPr="00D46B6F">
              <w:rPr>
                <w:sz w:val="20"/>
                <w:szCs w:val="20"/>
              </w:rPr>
              <w:t xml:space="preserve">                (</w:t>
            </w:r>
            <w:r>
              <w:rPr>
                <w:sz w:val="20"/>
                <w:szCs w:val="20"/>
              </w:rPr>
              <w:t>151</w:t>
            </w:r>
            <w:r w:rsidRPr="00D46B6F">
              <w:rPr>
                <w:sz w:val="20"/>
                <w:szCs w:val="20"/>
              </w:rPr>
              <w:t>,</w:t>
            </w:r>
            <w:r>
              <w:rPr>
                <w:sz w:val="20"/>
                <w:szCs w:val="20"/>
              </w:rPr>
              <w:t>873</w:t>
            </w:r>
            <w:r w:rsidRPr="00D46B6F">
              <w:rPr>
                <w:sz w:val="20"/>
                <w:szCs w:val="20"/>
              </w:rPr>
              <w:t>)</w:t>
            </w:r>
          </w:p>
        </w:tc>
        <w:tc>
          <w:tcPr>
            <w:tcW w:w="117" w:type="pct"/>
            <w:tcBorders>
              <w:top w:val="nil"/>
              <w:left w:val="nil"/>
              <w:bottom w:val="nil"/>
              <w:right w:val="nil"/>
            </w:tcBorders>
            <w:noWrap/>
            <w:vAlign w:val="bottom"/>
            <w:hideMark/>
          </w:tcPr>
          <w:p w14:paraId="688BC532" w14:textId="77777777" w:rsidR="00C44869" w:rsidRPr="00D46B6F" w:rsidRDefault="00C44869" w:rsidP="007B3453">
            <w:pPr>
              <w:rPr>
                <w:sz w:val="20"/>
                <w:szCs w:val="20"/>
              </w:rPr>
            </w:pPr>
          </w:p>
        </w:tc>
      </w:tr>
      <w:tr w:rsidR="00C44869" w:rsidRPr="00D46B6F" w14:paraId="4BFF2AA8" w14:textId="77777777" w:rsidTr="007B3453">
        <w:trPr>
          <w:trHeight w:val="260"/>
        </w:trPr>
        <w:tc>
          <w:tcPr>
            <w:tcW w:w="2162" w:type="pct"/>
            <w:tcBorders>
              <w:top w:val="nil"/>
              <w:left w:val="nil"/>
              <w:bottom w:val="nil"/>
              <w:right w:val="nil"/>
            </w:tcBorders>
            <w:noWrap/>
            <w:vAlign w:val="bottom"/>
            <w:hideMark/>
          </w:tcPr>
          <w:p w14:paraId="38D4CFD8" w14:textId="77777777" w:rsidR="00C44869" w:rsidRPr="00D46B6F" w:rsidRDefault="00C44869" w:rsidP="007B3453">
            <w:pPr>
              <w:ind w:firstLineChars="18" w:firstLine="36"/>
              <w:rPr>
                <w:sz w:val="20"/>
                <w:szCs w:val="20"/>
              </w:rPr>
            </w:pPr>
            <w:r w:rsidRPr="00D46B6F">
              <w:rPr>
                <w:sz w:val="20"/>
                <w:szCs w:val="20"/>
              </w:rPr>
              <w:t>Repayment of long-term debt</w:t>
            </w:r>
          </w:p>
        </w:tc>
        <w:tc>
          <w:tcPr>
            <w:tcW w:w="114" w:type="pct"/>
            <w:tcBorders>
              <w:top w:val="nil"/>
              <w:left w:val="nil"/>
              <w:bottom w:val="nil"/>
              <w:right w:val="nil"/>
            </w:tcBorders>
            <w:noWrap/>
            <w:vAlign w:val="bottom"/>
            <w:hideMark/>
          </w:tcPr>
          <w:p w14:paraId="57366C81"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5DED854D" w14:textId="77777777" w:rsidR="00C44869" w:rsidRPr="00D46B6F" w:rsidRDefault="00C44869" w:rsidP="007B3453">
            <w:pPr>
              <w:jc w:val="right"/>
              <w:rPr>
                <w:b/>
                <w:bCs/>
                <w:sz w:val="20"/>
                <w:szCs w:val="20"/>
              </w:rPr>
            </w:pPr>
            <w:r>
              <w:rPr>
                <w:b/>
                <w:bCs/>
                <w:sz w:val="20"/>
                <w:szCs w:val="20"/>
              </w:rPr>
              <w:t>(10,834)</w:t>
            </w:r>
          </w:p>
        </w:tc>
        <w:tc>
          <w:tcPr>
            <w:tcW w:w="119" w:type="pct"/>
            <w:tcBorders>
              <w:top w:val="nil"/>
              <w:left w:val="nil"/>
              <w:bottom w:val="nil"/>
              <w:right w:val="nil"/>
            </w:tcBorders>
            <w:noWrap/>
            <w:vAlign w:val="bottom"/>
            <w:hideMark/>
          </w:tcPr>
          <w:p w14:paraId="7C1FBF26" w14:textId="77777777" w:rsidR="00C44869" w:rsidRPr="00D46B6F" w:rsidRDefault="00C44869" w:rsidP="007B3453">
            <w:pPr>
              <w:jc w:val="right"/>
              <w:rPr>
                <w:b/>
                <w:bCs/>
                <w:sz w:val="20"/>
                <w:szCs w:val="20"/>
              </w:rPr>
            </w:pPr>
          </w:p>
        </w:tc>
        <w:tc>
          <w:tcPr>
            <w:tcW w:w="857" w:type="pct"/>
            <w:tcBorders>
              <w:top w:val="nil"/>
              <w:left w:val="nil"/>
              <w:bottom w:val="nil"/>
              <w:right w:val="nil"/>
            </w:tcBorders>
            <w:noWrap/>
            <w:vAlign w:val="bottom"/>
            <w:hideMark/>
          </w:tcPr>
          <w:p w14:paraId="68F50F63" w14:textId="77777777" w:rsidR="00C44869" w:rsidRPr="000E3E16" w:rsidRDefault="00C44869" w:rsidP="007B3453">
            <w:pPr>
              <w:jc w:val="right"/>
              <w:rPr>
                <w:sz w:val="20"/>
                <w:szCs w:val="20"/>
              </w:rPr>
            </w:pPr>
            <w:r w:rsidRPr="000E3E16">
              <w:rPr>
                <w:sz w:val="20"/>
                <w:szCs w:val="20"/>
              </w:rPr>
              <w:t xml:space="preserve">                     (9,323)</w:t>
            </w:r>
          </w:p>
        </w:tc>
        <w:tc>
          <w:tcPr>
            <w:tcW w:w="119" w:type="pct"/>
            <w:tcBorders>
              <w:top w:val="nil"/>
              <w:left w:val="nil"/>
              <w:bottom w:val="nil"/>
              <w:right w:val="nil"/>
            </w:tcBorders>
            <w:noWrap/>
            <w:vAlign w:val="bottom"/>
            <w:hideMark/>
          </w:tcPr>
          <w:p w14:paraId="1C5C291A" w14:textId="77777777" w:rsidR="00C44869" w:rsidRPr="00D46B6F" w:rsidRDefault="00C44869" w:rsidP="007B3453">
            <w:pPr>
              <w:jc w:val="right"/>
              <w:rPr>
                <w:sz w:val="20"/>
                <w:szCs w:val="20"/>
              </w:rPr>
            </w:pPr>
          </w:p>
        </w:tc>
        <w:tc>
          <w:tcPr>
            <w:tcW w:w="806" w:type="pct"/>
            <w:tcBorders>
              <w:top w:val="nil"/>
              <w:left w:val="nil"/>
              <w:bottom w:val="nil"/>
              <w:right w:val="nil"/>
            </w:tcBorders>
            <w:noWrap/>
            <w:vAlign w:val="bottom"/>
            <w:hideMark/>
          </w:tcPr>
          <w:p w14:paraId="16A17FA6" w14:textId="77777777" w:rsidR="00C44869" w:rsidRPr="00D46B6F" w:rsidRDefault="00C44869" w:rsidP="007B3453">
            <w:pPr>
              <w:jc w:val="right"/>
              <w:rPr>
                <w:sz w:val="20"/>
                <w:szCs w:val="20"/>
              </w:rPr>
            </w:pPr>
            <w:r w:rsidRPr="00D46B6F">
              <w:rPr>
                <w:sz w:val="20"/>
                <w:szCs w:val="20"/>
              </w:rPr>
              <w:t xml:space="preserve">                (1</w:t>
            </w:r>
            <w:r>
              <w:rPr>
                <w:sz w:val="20"/>
                <w:szCs w:val="20"/>
              </w:rPr>
              <w:t>9</w:t>
            </w:r>
            <w:r w:rsidRPr="00D46B6F">
              <w:rPr>
                <w:sz w:val="20"/>
                <w:szCs w:val="20"/>
              </w:rPr>
              <w:t>,</w:t>
            </w:r>
            <w:r>
              <w:rPr>
                <w:sz w:val="20"/>
                <w:szCs w:val="20"/>
              </w:rPr>
              <w:t>28</w:t>
            </w:r>
            <w:r w:rsidRPr="00D46B6F">
              <w:rPr>
                <w:sz w:val="20"/>
                <w:szCs w:val="20"/>
              </w:rPr>
              <w:t>9)</w:t>
            </w:r>
          </w:p>
        </w:tc>
        <w:tc>
          <w:tcPr>
            <w:tcW w:w="117" w:type="pct"/>
            <w:tcBorders>
              <w:top w:val="nil"/>
              <w:left w:val="nil"/>
              <w:bottom w:val="nil"/>
              <w:right w:val="nil"/>
            </w:tcBorders>
            <w:noWrap/>
            <w:vAlign w:val="bottom"/>
            <w:hideMark/>
          </w:tcPr>
          <w:p w14:paraId="4CAAB56E" w14:textId="77777777" w:rsidR="00C44869" w:rsidRPr="00D46B6F" w:rsidRDefault="00C44869" w:rsidP="007B3453">
            <w:pPr>
              <w:rPr>
                <w:sz w:val="20"/>
                <w:szCs w:val="20"/>
              </w:rPr>
            </w:pPr>
          </w:p>
        </w:tc>
      </w:tr>
      <w:tr w:rsidR="00C44869" w:rsidRPr="00D46B6F" w14:paraId="6652F308" w14:textId="77777777" w:rsidTr="007B3453">
        <w:trPr>
          <w:trHeight w:val="260"/>
        </w:trPr>
        <w:tc>
          <w:tcPr>
            <w:tcW w:w="2162" w:type="pct"/>
            <w:tcBorders>
              <w:top w:val="nil"/>
              <w:left w:val="nil"/>
              <w:bottom w:val="nil"/>
              <w:right w:val="nil"/>
            </w:tcBorders>
            <w:noWrap/>
            <w:vAlign w:val="bottom"/>
            <w:hideMark/>
          </w:tcPr>
          <w:p w14:paraId="171445E0" w14:textId="77777777" w:rsidR="00C44869" w:rsidRPr="00D46B6F" w:rsidRDefault="00C44869" w:rsidP="007B3453">
            <w:pPr>
              <w:ind w:firstLineChars="18" w:firstLine="36"/>
              <w:rPr>
                <w:sz w:val="20"/>
                <w:szCs w:val="20"/>
              </w:rPr>
            </w:pPr>
            <w:r w:rsidRPr="00D46B6F">
              <w:rPr>
                <w:sz w:val="20"/>
                <w:szCs w:val="20"/>
              </w:rPr>
              <w:t xml:space="preserve">Net Cash </w:t>
            </w:r>
            <w:r>
              <w:rPr>
                <w:sz w:val="20"/>
                <w:szCs w:val="20"/>
              </w:rPr>
              <w:t>(used in) / g</w:t>
            </w:r>
            <w:r w:rsidRPr="00D46B6F">
              <w:rPr>
                <w:sz w:val="20"/>
                <w:szCs w:val="20"/>
              </w:rPr>
              <w:t>enerated from Financing Activities</w:t>
            </w:r>
          </w:p>
        </w:tc>
        <w:tc>
          <w:tcPr>
            <w:tcW w:w="114" w:type="pct"/>
            <w:tcBorders>
              <w:top w:val="nil"/>
              <w:left w:val="nil"/>
              <w:bottom w:val="nil"/>
              <w:right w:val="nil"/>
            </w:tcBorders>
            <w:noWrap/>
            <w:vAlign w:val="bottom"/>
            <w:hideMark/>
          </w:tcPr>
          <w:p w14:paraId="7FC969DA" w14:textId="77777777" w:rsidR="00C44869" w:rsidRPr="00D46B6F" w:rsidRDefault="00C44869" w:rsidP="007B3453">
            <w:pPr>
              <w:rPr>
                <w:sz w:val="20"/>
                <w:szCs w:val="20"/>
              </w:rPr>
            </w:pPr>
          </w:p>
        </w:tc>
        <w:tc>
          <w:tcPr>
            <w:tcW w:w="706" w:type="pct"/>
            <w:tcBorders>
              <w:top w:val="single" w:sz="4" w:space="0" w:color="auto"/>
              <w:left w:val="nil"/>
              <w:bottom w:val="single" w:sz="4" w:space="0" w:color="auto"/>
              <w:right w:val="nil"/>
            </w:tcBorders>
            <w:noWrap/>
            <w:vAlign w:val="bottom"/>
          </w:tcPr>
          <w:p w14:paraId="6CEEDB56" w14:textId="77777777" w:rsidR="00C44869" w:rsidRPr="00D46B6F" w:rsidRDefault="00C44869" w:rsidP="007B3453">
            <w:pPr>
              <w:jc w:val="right"/>
              <w:rPr>
                <w:b/>
                <w:bCs/>
                <w:sz w:val="20"/>
                <w:szCs w:val="20"/>
              </w:rPr>
            </w:pPr>
            <w:r>
              <w:rPr>
                <w:b/>
                <w:bCs/>
                <w:sz w:val="20"/>
                <w:szCs w:val="20"/>
              </w:rPr>
              <w:t>(17,115)</w:t>
            </w:r>
          </w:p>
        </w:tc>
        <w:tc>
          <w:tcPr>
            <w:tcW w:w="119" w:type="pct"/>
            <w:tcBorders>
              <w:top w:val="nil"/>
              <w:left w:val="nil"/>
              <w:bottom w:val="nil"/>
              <w:right w:val="nil"/>
            </w:tcBorders>
            <w:noWrap/>
            <w:vAlign w:val="bottom"/>
            <w:hideMark/>
          </w:tcPr>
          <w:p w14:paraId="226157EC" w14:textId="77777777" w:rsidR="00C44869" w:rsidRPr="00D46B6F" w:rsidRDefault="00C44869" w:rsidP="007B3453">
            <w:pPr>
              <w:jc w:val="right"/>
              <w:rPr>
                <w:b/>
                <w:bCs/>
                <w:sz w:val="20"/>
                <w:szCs w:val="20"/>
              </w:rPr>
            </w:pPr>
          </w:p>
        </w:tc>
        <w:tc>
          <w:tcPr>
            <w:tcW w:w="857" w:type="pct"/>
            <w:tcBorders>
              <w:top w:val="single" w:sz="4" w:space="0" w:color="auto"/>
              <w:left w:val="nil"/>
              <w:bottom w:val="single" w:sz="4" w:space="0" w:color="auto"/>
              <w:right w:val="nil"/>
            </w:tcBorders>
            <w:noWrap/>
            <w:vAlign w:val="bottom"/>
            <w:hideMark/>
          </w:tcPr>
          <w:p w14:paraId="0B76BEF2" w14:textId="77777777" w:rsidR="00C44869" w:rsidRPr="000E3E16" w:rsidRDefault="00C44869" w:rsidP="007B3453">
            <w:pPr>
              <w:jc w:val="right"/>
              <w:rPr>
                <w:sz w:val="20"/>
                <w:szCs w:val="20"/>
              </w:rPr>
            </w:pPr>
            <w:r w:rsidRPr="000E3E16">
              <w:rPr>
                <w:sz w:val="20"/>
                <w:szCs w:val="20"/>
              </w:rPr>
              <w:t xml:space="preserve">                    (69,567)</w:t>
            </w:r>
          </w:p>
        </w:tc>
        <w:tc>
          <w:tcPr>
            <w:tcW w:w="119" w:type="pct"/>
            <w:tcBorders>
              <w:top w:val="nil"/>
              <w:left w:val="nil"/>
              <w:bottom w:val="nil"/>
              <w:right w:val="nil"/>
            </w:tcBorders>
            <w:noWrap/>
            <w:vAlign w:val="bottom"/>
            <w:hideMark/>
          </w:tcPr>
          <w:p w14:paraId="658804F5" w14:textId="77777777" w:rsidR="00C44869" w:rsidRPr="00D46B6F" w:rsidRDefault="00C44869" w:rsidP="007B3453">
            <w:pPr>
              <w:jc w:val="right"/>
              <w:rPr>
                <w:sz w:val="20"/>
                <w:szCs w:val="20"/>
              </w:rPr>
            </w:pPr>
          </w:p>
        </w:tc>
        <w:tc>
          <w:tcPr>
            <w:tcW w:w="806" w:type="pct"/>
            <w:tcBorders>
              <w:top w:val="single" w:sz="4" w:space="0" w:color="auto"/>
              <w:left w:val="nil"/>
              <w:bottom w:val="single" w:sz="4" w:space="0" w:color="auto"/>
              <w:right w:val="nil"/>
            </w:tcBorders>
            <w:noWrap/>
            <w:vAlign w:val="bottom"/>
            <w:hideMark/>
          </w:tcPr>
          <w:p w14:paraId="2E3309F1" w14:textId="77777777" w:rsidR="00C44869" w:rsidRPr="00D46B6F" w:rsidRDefault="00C44869" w:rsidP="007B3453">
            <w:pPr>
              <w:jc w:val="right"/>
              <w:rPr>
                <w:sz w:val="20"/>
                <w:szCs w:val="20"/>
              </w:rPr>
            </w:pPr>
            <w:r w:rsidRPr="00D46B6F">
              <w:rPr>
                <w:sz w:val="20"/>
                <w:szCs w:val="20"/>
              </w:rPr>
              <w:t xml:space="preserve">            </w:t>
            </w:r>
            <w:r>
              <w:rPr>
                <w:sz w:val="20"/>
                <w:szCs w:val="20"/>
              </w:rPr>
              <w:t>1,749,912</w:t>
            </w:r>
            <w:r w:rsidRPr="00D46B6F">
              <w:rPr>
                <w:sz w:val="20"/>
                <w:szCs w:val="20"/>
              </w:rPr>
              <w:t xml:space="preserve"> </w:t>
            </w:r>
          </w:p>
        </w:tc>
        <w:tc>
          <w:tcPr>
            <w:tcW w:w="117" w:type="pct"/>
            <w:tcBorders>
              <w:top w:val="nil"/>
              <w:left w:val="nil"/>
              <w:bottom w:val="nil"/>
              <w:right w:val="nil"/>
            </w:tcBorders>
            <w:noWrap/>
            <w:vAlign w:val="bottom"/>
            <w:hideMark/>
          </w:tcPr>
          <w:p w14:paraId="77111B58" w14:textId="77777777" w:rsidR="00C44869" w:rsidRPr="00D46B6F" w:rsidRDefault="00C44869" w:rsidP="007B3453">
            <w:pPr>
              <w:rPr>
                <w:sz w:val="20"/>
                <w:szCs w:val="20"/>
              </w:rPr>
            </w:pPr>
          </w:p>
        </w:tc>
      </w:tr>
      <w:tr w:rsidR="00C44869" w:rsidRPr="00D46B6F" w14:paraId="7A9CDE37" w14:textId="77777777" w:rsidTr="007B3453">
        <w:trPr>
          <w:trHeight w:val="260"/>
        </w:trPr>
        <w:tc>
          <w:tcPr>
            <w:tcW w:w="2162" w:type="pct"/>
            <w:tcBorders>
              <w:top w:val="nil"/>
              <w:left w:val="nil"/>
              <w:bottom w:val="nil"/>
              <w:right w:val="nil"/>
            </w:tcBorders>
            <w:noWrap/>
            <w:vAlign w:val="bottom"/>
            <w:hideMark/>
          </w:tcPr>
          <w:p w14:paraId="174261AF" w14:textId="77777777" w:rsidR="00C44869" w:rsidRPr="00D46B6F" w:rsidRDefault="00C44869" w:rsidP="007B3453">
            <w:pPr>
              <w:rPr>
                <w:sz w:val="20"/>
                <w:szCs w:val="20"/>
              </w:rPr>
            </w:pPr>
          </w:p>
        </w:tc>
        <w:tc>
          <w:tcPr>
            <w:tcW w:w="114" w:type="pct"/>
            <w:tcBorders>
              <w:top w:val="nil"/>
              <w:left w:val="nil"/>
              <w:bottom w:val="nil"/>
              <w:right w:val="nil"/>
            </w:tcBorders>
            <w:noWrap/>
            <w:vAlign w:val="bottom"/>
            <w:hideMark/>
          </w:tcPr>
          <w:p w14:paraId="68AA4000" w14:textId="77777777" w:rsidR="00C44869" w:rsidRPr="00D46B6F" w:rsidRDefault="00C44869" w:rsidP="007B3453">
            <w:pPr>
              <w:jc w:val="right"/>
              <w:rPr>
                <w:sz w:val="20"/>
                <w:szCs w:val="20"/>
              </w:rPr>
            </w:pPr>
          </w:p>
        </w:tc>
        <w:tc>
          <w:tcPr>
            <w:tcW w:w="706" w:type="pct"/>
            <w:tcBorders>
              <w:top w:val="nil"/>
              <w:left w:val="nil"/>
              <w:bottom w:val="nil"/>
              <w:right w:val="nil"/>
            </w:tcBorders>
            <w:noWrap/>
            <w:vAlign w:val="bottom"/>
          </w:tcPr>
          <w:p w14:paraId="66664080" w14:textId="77777777" w:rsidR="00C44869" w:rsidRPr="00D46B6F" w:rsidRDefault="00C44869" w:rsidP="007B3453">
            <w:pPr>
              <w:jc w:val="right"/>
              <w:rPr>
                <w:sz w:val="20"/>
                <w:szCs w:val="20"/>
              </w:rPr>
            </w:pPr>
          </w:p>
        </w:tc>
        <w:tc>
          <w:tcPr>
            <w:tcW w:w="119" w:type="pct"/>
            <w:tcBorders>
              <w:top w:val="nil"/>
              <w:left w:val="nil"/>
              <w:bottom w:val="nil"/>
              <w:right w:val="nil"/>
            </w:tcBorders>
            <w:noWrap/>
            <w:vAlign w:val="bottom"/>
            <w:hideMark/>
          </w:tcPr>
          <w:p w14:paraId="7BC55C0B" w14:textId="77777777" w:rsidR="00C44869" w:rsidRPr="00D46B6F" w:rsidRDefault="00C44869" w:rsidP="007B3453">
            <w:pPr>
              <w:ind w:firstLineChars="300" w:firstLine="600"/>
              <w:jc w:val="right"/>
              <w:rPr>
                <w:sz w:val="20"/>
                <w:szCs w:val="20"/>
              </w:rPr>
            </w:pPr>
          </w:p>
        </w:tc>
        <w:tc>
          <w:tcPr>
            <w:tcW w:w="857" w:type="pct"/>
            <w:tcBorders>
              <w:top w:val="nil"/>
              <w:left w:val="nil"/>
              <w:bottom w:val="nil"/>
              <w:right w:val="nil"/>
            </w:tcBorders>
            <w:noWrap/>
            <w:vAlign w:val="bottom"/>
            <w:hideMark/>
          </w:tcPr>
          <w:p w14:paraId="5D690143" w14:textId="77777777" w:rsidR="00C44869" w:rsidRPr="000E3E16" w:rsidRDefault="00C44869" w:rsidP="007B3453">
            <w:pPr>
              <w:jc w:val="right"/>
              <w:rPr>
                <w:sz w:val="20"/>
                <w:szCs w:val="20"/>
              </w:rPr>
            </w:pPr>
          </w:p>
        </w:tc>
        <w:tc>
          <w:tcPr>
            <w:tcW w:w="119" w:type="pct"/>
            <w:tcBorders>
              <w:top w:val="nil"/>
              <w:left w:val="nil"/>
              <w:bottom w:val="nil"/>
              <w:right w:val="nil"/>
            </w:tcBorders>
            <w:noWrap/>
            <w:vAlign w:val="bottom"/>
            <w:hideMark/>
          </w:tcPr>
          <w:p w14:paraId="20625D81" w14:textId="77777777" w:rsidR="00C44869" w:rsidRPr="00D46B6F" w:rsidRDefault="00C44869" w:rsidP="007B3453">
            <w:pPr>
              <w:ind w:firstLineChars="300" w:firstLine="600"/>
              <w:jc w:val="right"/>
              <w:rPr>
                <w:sz w:val="20"/>
                <w:szCs w:val="20"/>
              </w:rPr>
            </w:pPr>
          </w:p>
        </w:tc>
        <w:tc>
          <w:tcPr>
            <w:tcW w:w="806" w:type="pct"/>
            <w:tcBorders>
              <w:top w:val="nil"/>
              <w:left w:val="nil"/>
              <w:bottom w:val="nil"/>
              <w:right w:val="nil"/>
            </w:tcBorders>
            <w:noWrap/>
            <w:vAlign w:val="bottom"/>
            <w:hideMark/>
          </w:tcPr>
          <w:p w14:paraId="78A9E27F" w14:textId="77777777" w:rsidR="00C44869" w:rsidRPr="00D46B6F" w:rsidRDefault="00C44869" w:rsidP="007B3453">
            <w:pPr>
              <w:ind w:firstLineChars="300" w:firstLine="600"/>
              <w:jc w:val="right"/>
              <w:rPr>
                <w:sz w:val="20"/>
                <w:szCs w:val="20"/>
              </w:rPr>
            </w:pPr>
          </w:p>
        </w:tc>
        <w:tc>
          <w:tcPr>
            <w:tcW w:w="117" w:type="pct"/>
            <w:tcBorders>
              <w:top w:val="nil"/>
              <w:left w:val="nil"/>
              <w:bottom w:val="nil"/>
              <w:right w:val="nil"/>
            </w:tcBorders>
            <w:noWrap/>
            <w:vAlign w:val="bottom"/>
            <w:hideMark/>
          </w:tcPr>
          <w:p w14:paraId="28630AAA" w14:textId="77777777" w:rsidR="00C44869" w:rsidRPr="00D46B6F" w:rsidRDefault="00C44869" w:rsidP="007B3453">
            <w:pPr>
              <w:ind w:firstLineChars="300" w:firstLine="600"/>
              <w:rPr>
                <w:sz w:val="20"/>
                <w:szCs w:val="20"/>
              </w:rPr>
            </w:pPr>
          </w:p>
        </w:tc>
      </w:tr>
      <w:tr w:rsidR="00C44869" w:rsidRPr="00D46B6F" w14:paraId="571BA435" w14:textId="77777777" w:rsidTr="007B3453">
        <w:trPr>
          <w:trHeight w:val="260"/>
        </w:trPr>
        <w:tc>
          <w:tcPr>
            <w:tcW w:w="2162" w:type="pct"/>
            <w:tcBorders>
              <w:top w:val="nil"/>
              <w:left w:val="nil"/>
              <w:bottom w:val="nil"/>
              <w:right w:val="nil"/>
            </w:tcBorders>
            <w:noWrap/>
            <w:vAlign w:val="bottom"/>
            <w:hideMark/>
          </w:tcPr>
          <w:p w14:paraId="6F05E89A" w14:textId="77777777" w:rsidR="00C44869" w:rsidRPr="00D46B6F" w:rsidRDefault="00C44869" w:rsidP="007B3453">
            <w:pPr>
              <w:rPr>
                <w:b/>
                <w:bCs/>
                <w:sz w:val="20"/>
                <w:szCs w:val="20"/>
              </w:rPr>
            </w:pPr>
            <w:r w:rsidRPr="00D46B6F">
              <w:rPr>
                <w:b/>
                <w:bCs/>
                <w:sz w:val="20"/>
                <w:szCs w:val="20"/>
              </w:rPr>
              <w:t xml:space="preserve">Net </w:t>
            </w:r>
            <w:r>
              <w:rPr>
                <w:b/>
                <w:bCs/>
                <w:sz w:val="20"/>
                <w:szCs w:val="20"/>
              </w:rPr>
              <w:t>de</w:t>
            </w:r>
            <w:r w:rsidRPr="00D46B6F">
              <w:rPr>
                <w:b/>
                <w:bCs/>
                <w:sz w:val="20"/>
                <w:szCs w:val="20"/>
              </w:rPr>
              <w:t>crease in cash and cash equivalents</w:t>
            </w:r>
          </w:p>
        </w:tc>
        <w:tc>
          <w:tcPr>
            <w:tcW w:w="114" w:type="pct"/>
            <w:tcBorders>
              <w:top w:val="nil"/>
              <w:left w:val="nil"/>
              <w:bottom w:val="nil"/>
              <w:right w:val="nil"/>
            </w:tcBorders>
            <w:noWrap/>
            <w:vAlign w:val="bottom"/>
            <w:hideMark/>
          </w:tcPr>
          <w:p w14:paraId="50B9491D" w14:textId="77777777" w:rsidR="00C44869" w:rsidRPr="00D46B6F" w:rsidRDefault="00C44869" w:rsidP="007B3453">
            <w:pPr>
              <w:rPr>
                <w:b/>
                <w:bCs/>
                <w:sz w:val="20"/>
                <w:szCs w:val="20"/>
              </w:rPr>
            </w:pPr>
          </w:p>
        </w:tc>
        <w:tc>
          <w:tcPr>
            <w:tcW w:w="706" w:type="pct"/>
            <w:tcBorders>
              <w:top w:val="nil"/>
              <w:left w:val="nil"/>
              <w:bottom w:val="nil"/>
              <w:right w:val="nil"/>
            </w:tcBorders>
            <w:noWrap/>
            <w:vAlign w:val="bottom"/>
          </w:tcPr>
          <w:p w14:paraId="6F36D066" w14:textId="77777777" w:rsidR="00C44869" w:rsidRPr="003229A6" w:rsidRDefault="00C44869" w:rsidP="007B3453">
            <w:pPr>
              <w:jc w:val="right"/>
              <w:rPr>
                <w:b/>
                <w:bCs/>
                <w:sz w:val="20"/>
                <w:szCs w:val="20"/>
              </w:rPr>
            </w:pPr>
            <w:r w:rsidRPr="003229A6">
              <w:rPr>
                <w:b/>
                <w:bCs/>
                <w:sz w:val="20"/>
                <w:szCs w:val="20"/>
              </w:rPr>
              <w:t>(98</w:t>
            </w:r>
            <w:r>
              <w:rPr>
                <w:b/>
                <w:bCs/>
                <w:sz w:val="20"/>
                <w:szCs w:val="20"/>
              </w:rPr>
              <w:t>8</w:t>
            </w:r>
            <w:r w:rsidRPr="003229A6">
              <w:rPr>
                <w:b/>
                <w:bCs/>
                <w:sz w:val="20"/>
                <w:szCs w:val="20"/>
              </w:rPr>
              <w:t>,</w:t>
            </w:r>
            <w:r>
              <w:rPr>
                <w:b/>
                <w:bCs/>
                <w:sz w:val="20"/>
                <w:szCs w:val="20"/>
              </w:rPr>
              <w:t>623</w:t>
            </w:r>
            <w:r w:rsidRPr="003229A6">
              <w:rPr>
                <w:b/>
                <w:bCs/>
                <w:sz w:val="20"/>
                <w:szCs w:val="20"/>
              </w:rPr>
              <w:t>)</w:t>
            </w:r>
          </w:p>
        </w:tc>
        <w:tc>
          <w:tcPr>
            <w:tcW w:w="119" w:type="pct"/>
            <w:tcBorders>
              <w:top w:val="nil"/>
              <w:left w:val="nil"/>
              <w:bottom w:val="nil"/>
              <w:right w:val="nil"/>
            </w:tcBorders>
            <w:noWrap/>
            <w:vAlign w:val="bottom"/>
            <w:hideMark/>
          </w:tcPr>
          <w:p w14:paraId="24E5C45B" w14:textId="77777777" w:rsidR="00C44869" w:rsidRPr="00D46B6F" w:rsidRDefault="00C44869" w:rsidP="007B3453">
            <w:pPr>
              <w:ind w:firstLineChars="300" w:firstLine="600"/>
              <w:jc w:val="right"/>
              <w:rPr>
                <w:sz w:val="20"/>
                <w:szCs w:val="20"/>
              </w:rPr>
            </w:pPr>
          </w:p>
        </w:tc>
        <w:tc>
          <w:tcPr>
            <w:tcW w:w="857" w:type="pct"/>
            <w:tcBorders>
              <w:top w:val="nil"/>
              <w:left w:val="nil"/>
              <w:bottom w:val="nil"/>
              <w:right w:val="nil"/>
            </w:tcBorders>
            <w:noWrap/>
            <w:vAlign w:val="bottom"/>
            <w:hideMark/>
          </w:tcPr>
          <w:p w14:paraId="1DAA8EBC" w14:textId="77777777" w:rsidR="00C44869" w:rsidRPr="000E3E16" w:rsidRDefault="00C44869" w:rsidP="007B3453">
            <w:pPr>
              <w:jc w:val="right"/>
              <w:rPr>
                <w:sz w:val="20"/>
                <w:szCs w:val="20"/>
              </w:rPr>
            </w:pPr>
            <w:r>
              <w:rPr>
                <w:sz w:val="20"/>
                <w:szCs w:val="20"/>
              </w:rPr>
              <w:t>(1,816,448)</w:t>
            </w:r>
          </w:p>
        </w:tc>
        <w:tc>
          <w:tcPr>
            <w:tcW w:w="119" w:type="pct"/>
            <w:tcBorders>
              <w:top w:val="nil"/>
              <w:left w:val="nil"/>
              <w:bottom w:val="nil"/>
              <w:right w:val="nil"/>
            </w:tcBorders>
            <w:noWrap/>
            <w:vAlign w:val="bottom"/>
            <w:hideMark/>
          </w:tcPr>
          <w:p w14:paraId="33327433" w14:textId="77777777" w:rsidR="00C44869" w:rsidRPr="00D46B6F" w:rsidRDefault="00C44869" w:rsidP="007B3453">
            <w:pPr>
              <w:ind w:firstLineChars="300" w:firstLine="600"/>
              <w:jc w:val="right"/>
              <w:rPr>
                <w:sz w:val="20"/>
                <w:szCs w:val="20"/>
              </w:rPr>
            </w:pPr>
          </w:p>
        </w:tc>
        <w:tc>
          <w:tcPr>
            <w:tcW w:w="806" w:type="pct"/>
            <w:tcBorders>
              <w:top w:val="nil"/>
              <w:left w:val="nil"/>
              <w:bottom w:val="nil"/>
              <w:right w:val="nil"/>
            </w:tcBorders>
            <w:noWrap/>
            <w:vAlign w:val="bottom"/>
            <w:hideMark/>
          </w:tcPr>
          <w:p w14:paraId="31A0A152" w14:textId="77777777" w:rsidR="00C44869" w:rsidRPr="00D46B6F" w:rsidRDefault="00C44869" w:rsidP="007B3453">
            <w:pPr>
              <w:ind w:firstLineChars="300" w:firstLine="600"/>
              <w:jc w:val="right"/>
              <w:rPr>
                <w:sz w:val="20"/>
                <w:szCs w:val="20"/>
              </w:rPr>
            </w:pPr>
            <w:r>
              <w:rPr>
                <w:sz w:val="20"/>
                <w:szCs w:val="20"/>
              </w:rPr>
              <w:t>(2,447,912)</w:t>
            </w:r>
          </w:p>
        </w:tc>
        <w:tc>
          <w:tcPr>
            <w:tcW w:w="117" w:type="pct"/>
            <w:tcBorders>
              <w:top w:val="nil"/>
              <w:left w:val="nil"/>
              <w:bottom w:val="nil"/>
              <w:right w:val="nil"/>
            </w:tcBorders>
            <w:noWrap/>
            <w:vAlign w:val="bottom"/>
            <w:hideMark/>
          </w:tcPr>
          <w:p w14:paraId="7A5983A1" w14:textId="77777777" w:rsidR="00C44869" w:rsidRPr="00D46B6F" w:rsidRDefault="00C44869" w:rsidP="007B3453">
            <w:pPr>
              <w:ind w:firstLineChars="300" w:firstLine="600"/>
              <w:rPr>
                <w:sz w:val="20"/>
                <w:szCs w:val="20"/>
              </w:rPr>
            </w:pPr>
          </w:p>
        </w:tc>
      </w:tr>
      <w:tr w:rsidR="00C44869" w:rsidRPr="00D46B6F" w14:paraId="6B37383C" w14:textId="77777777" w:rsidTr="007B3453">
        <w:trPr>
          <w:trHeight w:val="260"/>
        </w:trPr>
        <w:tc>
          <w:tcPr>
            <w:tcW w:w="2162" w:type="pct"/>
            <w:tcBorders>
              <w:top w:val="nil"/>
              <w:left w:val="nil"/>
              <w:bottom w:val="nil"/>
              <w:right w:val="nil"/>
            </w:tcBorders>
            <w:noWrap/>
            <w:vAlign w:val="bottom"/>
            <w:hideMark/>
          </w:tcPr>
          <w:p w14:paraId="5A7774AC" w14:textId="77777777" w:rsidR="00C44869" w:rsidRPr="00D46B6F" w:rsidRDefault="00C44869" w:rsidP="007B3453">
            <w:pPr>
              <w:ind w:firstLineChars="100" w:firstLine="200"/>
              <w:rPr>
                <w:sz w:val="20"/>
                <w:szCs w:val="20"/>
              </w:rPr>
            </w:pPr>
          </w:p>
        </w:tc>
        <w:tc>
          <w:tcPr>
            <w:tcW w:w="114" w:type="pct"/>
            <w:tcBorders>
              <w:top w:val="nil"/>
              <w:left w:val="nil"/>
              <w:bottom w:val="nil"/>
              <w:right w:val="nil"/>
            </w:tcBorders>
            <w:noWrap/>
            <w:vAlign w:val="bottom"/>
            <w:hideMark/>
          </w:tcPr>
          <w:p w14:paraId="33C3C825"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78E20F3A" w14:textId="77777777" w:rsidR="00C44869" w:rsidRPr="00D46B6F" w:rsidRDefault="00C44869" w:rsidP="007B3453">
            <w:pPr>
              <w:ind w:firstLineChars="300" w:firstLine="612"/>
              <w:jc w:val="right"/>
              <w:rPr>
                <w:b/>
                <w:bCs/>
                <w:sz w:val="20"/>
                <w:szCs w:val="20"/>
              </w:rPr>
            </w:pPr>
          </w:p>
        </w:tc>
        <w:tc>
          <w:tcPr>
            <w:tcW w:w="119" w:type="pct"/>
            <w:tcBorders>
              <w:top w:val="nil"/>
              <w:left w:val="nil"/>
              <w:bottom w:val="nil"/>
              <w:right w:val="nil"/>
            </w:tcBorders>
            <w:noWrap/>
            <w:vAlign w:val="bottom"/>
            <w:hideMark/>
          </w:tcPr>
          <w:p w14:paraId="136F1178" w14:textId="77777777" w:rsidR="00C44869" w:rsidRPr="00D46B6F" w:rsidRDefault="00C44869" w:rsidP="007B3453">
            <w:pPr>
              <w:ind w:firstLineChars="300" w:firstLine="612"/>
              <w:jc w:val="right"/>
              <w:rPr>
                <w:b/>
                <w:bCs/>
                <w:sz w:val="20"/>
                <w:szCs w:val="20"/>
              </w:rPr>
            </w:pPr>
          </w:p>
        </w:tc>
        <w:tc>
          <w:tcPr>
            <w:tcW w:w="857" w:type="pct"/>
            <w:tcBorders>
              <w:top w:val="nil"/>
              <w:left w:val="nil"/>
              <w:bottom w:val="nil"/>
              <w:right w:val="nil"/>
            </w:tcBorders>
            <w:noWrap/>
            <w:vAlign w:val="bottom"/>
          </w:tcPr>
          <w:p w14:paraId="26FDE390" w14:textId="77777777" w:rsidR="00C44869" w:rsidRPr="000E3E16" w:rsidRDefault="00C44869" w:rsidP="007B3453">
            <w:pPr>
              <w:ind w:firstLineChars="300" w:firstLine="600"/>
              <w:jc w:val="right"/>
              <w:rPr>
                <w:sz w:val="20"/>
                <w:szCs w:val="20"/>
              </w:rPr>
            </w:pPr>
          </w:p>
        </w:tc>
        <w:tc>
          <w:tcPr>
            <w:tcW w:w="119" w:type="pct"/>
            <w:tcBorders>
              <w:top w:val="nil"/>
              <w:left w:val="nil"/>
              <w:bottom w:val="nil"/>
              <w:right w:val="nil"/>
            </w:tcBorders>
            <w:noWrap/>
            <w:vAlign w:val="bottom"/>
          </w:tcPr>
          <w:p w14:paraId="750FE347" w14:textId="77777777" w:rsidR="00C44869" w:rsidRPr="00D46B6F" w:rsidRDefault="00C44869" w:rsidP="007B3453">
            <w:pPr>
              <w:ind w:firstLineChars="300" w:firstLine="600"/>
              <w:jc w:val="right"/>
              <w:rPr>
                <w:sz w:val="20"/>
                <w:szCs w:val="20"/>
              </w:rPr>
            </w:pPr>
          </w:p>
        </w:tc>
        <w:tc>
          <w:tcPr>
            <w:tcW w:w="806" w:type="pct"/>
            <w:tcBorders>
              <w:top w:val="nil"/>
              <w:left w:val="nil"/>
              <w:bottom w:val="nil"/>
              <w:right w:val="nil"/>
            </w:tcBorders>
            <w:noWrap/>
            <w:vAlign w:val="bottom"/>
            <w:hideMark/>
          </w:tcPr>
          <w:p w14:paraId="7D8EFE12" w14:textId="77777777" w:rsidR="00C44869" w:rsidRPr="00D46B6F" w:rsidRDefault="00C44869" w:rsidP="007B3453">
            <w:pPr>
              <w:ind w:firstLineChars="300" w:firstLine="600"/>
              <w:jc w:val="right"/>
              <w:rPr>
                <w:sz w:val="20"/>
                <w:szCs w:val="20"/>
              </w:rPr>
            </w:pPr>
          </w:p>
        </w:tc>
        <w:tc>
          <w:tcPr>
            <w:tcW w:w="117" w:type="pct"/>
            <w:tcBorders>
              <w:top w:val="nil"/>
              <w:left w:val="nil"/>
              <w:bottom w:val="nil"/>
              <w:right w:val="nil"/>
            </w:tcBorders>
            <w:noWrap/>
            <w:vAlign w:val="bottom"/>
            <w:hideMark/>
          </w:tcPr>
          <w:p w14:paraId="71B5EC4D" w14:textId="77777777" w:rsidR="00C44869" w:rsidRPr="00D46B6F" w:rsidRDefault="00C44869" w:rsidP="007B3453">
            <w:pPr>
              <w:ind w:firstLineChars="300" w:firstLine="600"/>
              <w:rPr>
                <w:sz w:val="20"/>
                <w:szCs w:val="20"/>
              </w:rPr>
            </w:pPr>
          </w:p>
        </w:tc>
      </w:tr>
      <w:tr w:rsidR="00C44869" w:rsidRPr="00D46B6F" w14:paraId="5A2F52F1" w14:textId="77777777" w:rsidTr="007B3453">
        <w:trPr>
          <w:trHeight w:val="260"/>
        </w:trPr>
        <w:tc>
          <w:tcPr>
            <w:tcW w:w="2162" w:type="pct"/>
            <w:tcBorders>
              <w:top w:val="nil"/>
              <w:left w:val="nil"/>
              <w:bottom w:val="nil"/>
              <w:right w:val="nil"/>
            </w:tcBorders>
            <w:noWrap/>
            <w:vAlign w:val="bottom"/>
            <w:hideMark/>
          </w:tcPr>
          <w:p w14:paraId="40755626" w14:textId="77777777" w:rsidR="00C44869" w:rsidRPr="00D46B6F" w:rsidRDefault="00C44869" w:rsidP="007B3453">
            <w:pPr>
              <w:ind w:firstLineChars="18" w:firstLine="36"/>
              <w:rPr>
                <w:sz w:val="20"/>
                <w:szCs w:val="20"/>
              </w:rPr>
            </w:pPr>
            <w:r w:rsidRPr="00D46B6F">
              <w:rPr>
                <w:sz w:val="20"/>
                <w:szCs w:val="20"/>
              </w:rPr>
              <w:t>Cash and cash equivalents at beginning of period</w:t>
            </w:r>
          </w:p>
        </w:tc>
        <w:tc>
          <w:tcPr>
            <w:tcW w:w="114" w:type="pct"/>
            <w:tcBorders>
              <w:top w:val="nil"/>
              <w:left w:val="nil"/>
              <w:bottom w:val="nil"/>
              <w:right w:val="nil"/>
            </w:tcBorders>
            <w:noWrap/>
            <w:vAlign w:val="bottom"/>
            <w:hideMark/>
          </w:tcPr>
          <w:p w14:paraId="7076CF7C"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1902C687" w14:textId="77777777" w:rsidR="00C44869" w:rsidRPr="00D46B6F" w:rsidRDefault="00C44869" w:rsidP="007B3453">
            <w:pPr>
              <w:ind w:firstLineChars="300" w:firstLine="612"/>
              <w:jc w:val="right"/>
              <w:rPr>
                <w:b/>
                <w:bCs/>
                <w:sz w:val="20"/>
                <w:szCs w:val="20"/>
              </w:rPr>
            </w:pPr>
            <w:r>
              <w:rPr>
                <w:b/>
                <w:bCs/>
                <w:sz w:val="20"/>
                <w:szCs w:val="20"/>
              </w:rPr>
              <w:t>1,315,289</w:t>
            </w:r>
          </w:p>
        </w:tc>
        <w:tc>
          <w:tcPr>
            <w:tcW w:w="119" w:type="pct"/>
            <w:tcBorders>
              <w:top w:val="nil"/>
              <w:left w:val="nil"/>
              <w:bottom w:val="nil"/>
              <w:right w:val="nil"/>
            </w:tcBorders>
            <w:noWrap/>
            <w:vAlign w:val="bottom"/>
            <w:hideMark/>
          </w:tcPr>
          <w:p w14:paraId="1A86F3E6" w14:textId="77777777" w:rsidR="00C44869" w:rsidRPr="00D46B6F" w:rsidRDefault="00C44869" w:rsidP="007B3453">
            <w:pPr>
              <w:ind w:firstLineChars="300" w:firstLine="612"/>
              <w:jc w:val="right"/>
              <w:rPr>
                <w:b/>
                <w:bCs/>
                <w:sz w:val="20"/>
                <w:szCs w:val="20"/>
              </w:rPr>
            </w:pPr>
          </w:p>
        </w:tc>
        <w:tc>
          <w:tcPr>
            <w:tcW w:w="857" w:type="pct"/>
            <w:tcBorders>
              <w:top w:val="nil"/>
              <w:left w:val="nil"/>
              <w:bottom w:val="nil"/>
              <w:right w:val="nil"/>
            </w:tcBorders>
            <w:noWrap/>
            <w:vAlign w:val="bottom"/>
            <w:hideMark/>
          </w:tcPr>
          <w:p w14:paraId="464783A3" w14:textId="77777777" w:rsidR="00C44869" w:rsidRPr="000E3E16" w:rsidRDefault="00C44869" w:rsidP="007B3453">
            <w:pPr>
              <w:ind w:firstLineChars="300" w:firstLine="600"/>
              <w:jc w:val="right"/>
              <w:rPr>
                <w:sz w:val="20"/>
                <w:szCs w:val="20"/>
              </w:rPr>
            </w:pPr>
            <w:r w:rsidRPr="000E3E16">
              <w:rPr>
                <w:sz w:val="20"/>
                <w:szCs w:val="20"/>
              </w:rPr>
              <w:t xml:space="preserve">       3,767,426 </w:t>
            </w:r>
          </w:p>
        </w:tc>
        <w:tc>
          <w:tcPr>
            <w:tcW w:w="119" w:type="pct"/>
            <w:tcBorders>
              <w:top w:val="nil"/>
              <w:left w:val="nil"/>
              <w:bottom w:val="nil"/>
              <w:right w:val="nil"/>
            </w:tcBorders>
            <w:noWrap/>
            <w:vAlign w:val="bottom"/>
            <w:hideMark/>
          </w:tcPr>
          <w:p w14:paraId="4091F030" w14:textId="77777777" w:rsidR="00C44869" w:rsidRPr="00D46B6F" w:rsidRDefault="00C44869" w:rsidP="007B3453">
            <w:pPr>
              <w:ind w:firstLineChars="300" w:firstLine="600"/>
              <w:jc w:val="right"/>
              <w:rPr>
                <w:sz w:val="20"/>
                <w:szCs w:val="20"/>
              </w:rPr>
            </w:pPr>
          </w:p>
        </w:tc>
        <w:tc>
          <w:tcPr>
            <w:tcW w:w="806" w:type="pct"/>
            <w:tcBorders>
              <w:top w:val="nil"/>
              <w:left w:val="nil"/>
              <w:bottom w:val="nil"/>
              <w:right w:val="nil"/>
            </w:tcBorders>
            <w:noWrap/>
            <w:vAlign w:val="bottom"/>
            <w:hideMark/>
          </w:tcPr>
          <w:p w14:paraId="39B83176" w14:textId="77777777" w:rsidR="00C44869" w:rsidRPr="00D46B6F" w:rsidRDefault="00C44869" w:rsidP="007B3453">
            <w:pPr>
              <w:ind w:firstLineChars="300" w:firstLine="600"/>
              <w:jc w:val="right"/>
              <w:rPr>
                <w:sz w:val="20"/>
                <w:szCs w:val="20"/>
              </w:rPr>
            </w:pPr>
            <w:r>
              <w:rPr>
                <w:sz w:val="20"/>
                <w:szCs w:val="20"/>
              </w:rPr>
              <w:t>3,767,426</w:t>
            </w:r>
            <w:r w:rsidRPr="00D46B6F">
              <w:rPr>
                <w:sz w:val="20"/>
                <w:szCs w:val="20"/>
              </w:rPr>
              <w:t xml:space="preserve"> </w:t>
            </w:r>
          </w:p>
        </w:tc>
        <w:tc>
          <w:tcPr>
            <w:tcW w:w="117" w:type="pct"/>
            <w:tcBorders>
              <w:top w:val="nil"/>
              <w:left w:val="nil"/>
              <w:bottom w:val="nil"/>
              <w:right w:val="nil"/>
            </w:tcBorders>
            <w:noWrap/>
            <w:vAlign w:val="bottom"/>
            <w:hideMark/>
          </w:tcPr>
          <w:p w14:paraId="6A4E5567" w14:textId="77777777" w:rsidR="00C44869" w:rsidRPr="00D46B6F" w:rsidRDefault="00C44869" w:rsidP="007B3453">
            <w:pPr>
              <w:ind w:firstLineChars="300" w:firstLine="600"/>
              <w:rPr>
                <w:sz w:val="20"/>
                <w:szCs w:val="20"/>
              </w:rPr>
            </w:pPr>
          </w:p>
        </w:tc>
      </w:tr>
      <w:tr w:rsidR="00C44869" w:rsidRPr="00D46B6F" w14:paraId="7BC9DD0C" w14:textId="77777777" w:rsidTr="007B3453">
        <w:trPr>
          <w:trHeight w:val="260"/>
        </w:trPr>
        <w:tc>
          <w:tcPr>
            <w:tcW w:w="2162" w:type="pct"/>
            <w:tcBorders>
              <w:top w:val="nil"/>
              <w:left w:val="nil"/>
              <w:bottom w:val="nil"/>
              <w:right w:val="nil"/>
            </w:tcBorders>
            <w:noWrap/>
            <w:vAlign w:val="bottom"/>
            <w:hideMark/>
          </w:tcPr>
          <w:p w14:paraId="648DD16C" w14:textId="77777777" w:rsidR="00C44869" w:rsidRPr="00D46B6F" w:rsidRDefault="00C44869" w:rsidP="007B3453">
            <w:pPr>
              <w:ind w:firstLineChars="18" w:firstLine="36"/>
              <w:rPr>
                <w:sz w:val="20"/>
                <w:szCs w:val="20"/>
              </w:rPr>
            </w:pPr>
            <w:r w:rsidRPr="00D46B6F">
              <w:rPr>
                <w:sz w:val="20"/>
                <w:szCs w:val="20"/>
              </w:rPr>
              <w:t>Foreign exchange adjustment on opening balances</w:t>
            </w:r>
          </w:p>
        </w:tc>
        <w:tc>
          <w:tcPr>
            <w:tcW w:w="114" w:type="pct"/>
            <w:tcBorders>
              <w:top w:val="nil"/>
              <w:left w:val="nil"/>
              <w:bottom w:val="nil"/>
              <w:right w:val="nil"/>
            </w:tcBorders>
            <w:noWrap/>
            <w:vAlign w:val="bottom"/>
            <w:hideMark/>
          </w:tcPr>
          <w:p w14:paraId="2FA80F53" w14:textId="77777777" w:rsidR="00C44869" w:rsidRPr="00D46B6F" w:rsidRDefault="00C44869" w:rsidP="007B3453">
            <w:pPr>
              <w:ind w:firstLineChars="100" w:firstLine="200"/>
              <w:rPr>
                <w:sz w:val="20"/>
                <w:szCs w:val="20"/>
              </w:rPr>
            </w:pPr>
          </w:p>
        </w:tc>
        <w:tc>
          <w:tcPr>
            <w:tcW w:w="706" w:type="pct"/>
            <w:tcBorders>
              <w:top w:val="nil"/>
              <w:left w:val="nil"/>
              <w:bottom w:val="nil"/>
              <w:right w:val="nil"/>
            </w:tcBorders>
            <w:noWrap/>
            <w:vAlign w:val="bottom"/>
          </w:tcPr>
          <w:p w14:paraId="5D60BCFD" w14:textId="77777777" w:rsidR="00C44869" w:rsidRPr="00D46B6F" w:rsidRDefault="00C44869" w:rsidP="007B3453">
            <w:pPr>
              <w:ind w:firstLineChars="300" w:firstLine="612"/>
              <w:jc w:val="right"/>
              <w:rPr>
                <w:b/>
                <w:bCs/>
                <w:sz w:val="20"/>
                <w:szCs w:val="20"/>
              </w:rPr>
            </w:pPr>
            <w:r>
              <w:rPr>
                <w:b/>
                <w:bCs/>
                <w:sz w:val="20"/>
                <w:szCs w:val="20"/>
              </w:rPr>
              <w:t>-</w:t>
            </w:r>
          </w:p>
        </w:tc>
        <w:tc>
          <w:tcPr>
            <w:tcW w:w="119" w:type="pct"/>
            <w:tcBorders>
              <w:top w:val="nil"/>
              <w:left w:val="nil"/>
              <w:bottom w:val="nil"/>
              <w:right w:val="nil"/>
            </w:tcBorders>
            <w:noWrap/>
            <w:vAlign w:val="bottom"/>
            <w:hideMark/>
          </w:tcPr>
          <w:p w14:paraId="633F2DF2" w14:textId="77777777" w:rsidR="00C44869" w:rsidRPr="00D46B6F" w:rsidRDefault="00C44869" w:rsidP="007B3453">
            <w:pPr>
              <w:ind w:firstLineChars="300" w:firstLine="612"/>
              <w:jc w:val="right"/>
              <w:rPr>
                <w:b/>
                <w:bCs/>
                <w:sz w:val="20"/>
                <w:szCs w:val="20"/>
              </w:rPr>
            </w:pPr>
          </w:p>
        </w:tc>
        <w:tc>
          <w:tcPr>
            <w:tcW w:w="857" w:type="pct"/>
            <w:tcBorders>
              <w:top w:val="nil"/>
              <w:left w:val="nil"/>
              <w:bottom w:val="nil"/>
              <w:right w:val="nil"/>
            </w:tcBorders>
            <w:noWrap/>
            <w:vAlign w:val="bottom"/>
            <w:hideMark/>
          </w:tcPr>
          <w:p w14:paraId="09D2764F" w14:textId="77777777" w:rsidR="00C44869" w:rsidRPr="000E3E16" w:rsidRDefault="00C44869" w:rsidP="007B3453">
            <w:pPr>
              <w:ind w:firstLineChars="300" w:firstLine="600"/>
              <w:jc w:val="right"/>
              <w:rPr>
                <w:sz w:val="20"/>
                <w:szCs w:val="20"/>
              </w:rPr>
            </w:pPr>
            <w:r w:rsidRPr="000E3E16">
              <w:rPr>
                <w:sz w:val="20"/>
                <w:szCs w:val="20"/>
              </w:rPr>
              <w:t xml:space="preserve">             3,328 </w:t>
            </w:r>
          </w:p>
        </w:tc>
        <w:tc>
          <w:tcPr>
            <w:tcW w:w="119" w:type="pct"/>
            <w:tcBorders>
              <w:top w:val="nil"/>
              <w:left w:val="nil"/>
              <w:bottom w:val="nil"/>
              <w:right w:val="nil"/>
            </w:tcBorders>
            <w:noWrap/>
            <w:vAlign w:val="bottom"/>
            <w:hideMark/>
          </w:tcPr>
          <w:p w14:paraId="6A115C8F" w14:textId="77777777" w:rsidR="00C44869" w:rsidRPr="00D46B6F" w:rsidRDefault="00C44869" w:rsidP="007B3453">
            <w:pPr>
              <w:ind w:firstLineChars="300" w:firstLine="600"/>
              <w:jc w:val="right"/>
              <w:rPr>
                <w:sz w:val="20"/>
                <w:szCs w:val="20"/>
              </w:rPr>
            </w:pPr>
          </w:p>
        </w:tc>
        <w:tc>
          <w:tcPr>
            <w:tcW w:w="806" w:type="pct"/>
            <w:tcBorders>
              <w:top w:val="nil"/>
              <w:left w:val="nil"/>
              <w:bottom w:val="nil"/>
              <w:right w:val="nil"/>
            </w:tcBorders>
            <w:noWrap/>
            <w:vAlign w:val="bottom"/>
            <w:hideMark/>
          </w:tcPr>
          <w:p w14:paraId="3718CC11" w14:textId="77777777" w:rsidR="00C44869" w:rsidRPr="00D46B6F" w:rsidRDefault="00C44869" w:rsidP="007B3453">
            <w:pPr>
              <w:ind w:firstLineChars="300" w:firstLine="600"/>
              <w:jc w:val="right"/>
              <w:rPr>
                <w:sz w:val="20"/>
                <w:szCs w:val="20"/>
              </w:rPr>
            </w:pPr>
            <w:r w:rsidRPr="00D46B6F">
              <w:rPr>
                <w:sz w:val="20"/>
                <w:szCs w:val="20"/>
              </w:rPr>
              <w:t xml:space="preserve">     (</w:t>
            </w:r>
            <w:r>
              <w:rPr>
                <w:sz w:val="20"/>
                <w:szCs w:val="20"/>
              </w:rPr>
              <w:t>4,225</w:t>
            </w:r>
            <w:r w:rsidRPr="00D46B6F">
              <w:rPr>
                <w:sz w:val="20"/>
                <w:szCs w:val="20"/>
              </w:rPr>
              <w:t>)</w:t>
            </w:r>
          </w:p>
        </w:tc>
        <w:tc>
          <w:tcPr>
            <w:tcW w:w="117" w:type="pct"/>
            <w:tcBorders>
              <w:top w:val="nil"/>
              <w:left w:val="nil"/>
              <w:bottom w:val="nil"/>
              <w:right w:val="nil"/>
            </w:tcBorders>
            <w:noWrap/>
            <w:vAlign w:val="bottom"/>
            <w:hideMark/>
          </w:tcPr>
          <w:p w14:paraId="4D597427" w14:textId="77777777" w:rsidR="00C44869" w:rsidRPr="00D46B6F" w:rsidRDefault="00C44869" w:rsidP="007B3453">
            <w:pPr>
              <w:ind w:firstLineChars="300" w:firstLine="600"/>
              <w:rPr>
                <w:sz w:val="20"/>
                <w:szCs w:val="20"/>
              </w:rPr>
            </w:pPr>
          </w:p>
        </w:tc>
      </w:tr>
      <w:tr w:rsidR="00C44869" w:rsidRPr="00D46B6F" w14:paraId="47081857" w14:textId="77777777" w:rsidTr="007B3453">
        <w:trPr>
          <w:trHeight w:val="280"/>
        </w:trPr>
        <w:tc>
          <w:tcPr>
            <w:tcW w:w="2162" w:type="pct"/>
            <w:tcBorders>
              <w:top w:val="nil"/>
              <w:left w:val="nil"/>
              <w:bottom w:val="nil"/>
              <w:right w:val="nil"/>
            </w:tcBorders>
            <w:noWrap/>
            <w:vAlign w:val="bottom"/>
            <w:hideMark/>
          </w:tcPr>
          <w:p w14:paraId="0A32103F" w14:textId="77777777" w:rsidR="00C44869" w:rsidRPr="00D46B6F" w:rsidRDefault="00C44869" w:rsidP="007B3453">
            <w:pPr>
              <w:ind w:firstLineChars="18" w:firstLine="36"/>
              <w:rPr>
                <w:sz w:val="20"/>
                <w:szCs w:val="20"/>
              </w:rPr>
            </w:pPr>
            <w:r w:rsidRPr="00D46B6F">
              <w:rPr>
                <w:sz w:val="20"/>
                <w:szCs w:val="20"/>
              </w:rPr>
              <w:t>Cash and cash equivalents at end of period</w:t>
            </w:r>
          </w:p>
        </w:tc>
        <w:tc>
          <w:tcPr>
            <w:tcW w:w="114" w:type="pct"/>
            <w:tcBorders>
              <w:top w:val="nil"/>
              <w:left w:val="nil"/>
              <w:bottom w:val="nil"/>
              <w:right w:val="nil"/>
            </w:tcBorders>
            <w:noWrap/>
            <w:vAlign w:val="bottom"/>
            <w:hideMark/>
          </w:tcPr>
          <w:p w14:paraId="3DA5F02B" w14:textId="77777777" w:rsidR="00C44869" w:rsidRPr="00D46B6F" w:rsidRDefault="00C44869" w:rsidP="007B3453">
            <w:pPr>
              <w:ind w:firstLineChars="100" w:firstLine="200"/>
              <w:rPr>
                <w:sz w:val="20"/>
                <w:szCs w:val="20"/>
              </w:rPr>
            </w:pPr>
          </w:p>
        </w:tc>
        <w:tc>
          <w:tcPr>
            <w:tcW w:w="706" w:type="pct"/>
            <w:tcBorders>
              <w:top w:val="single" w:sz="4" w:space="0" w:color="auto"/>
              <w:left w:val="nil"/>
              <w:bottom w:val="double" w:sz="6" w:space="0" w:color="auto"/>
              <w:right w:val="nil"/>
            </w:tcBorders>
            <w:noWrap/>
            <w:vAlign w:val="bottom"/>
          </w:tcPr>
          <w:p w14:paraId="21FB6CB4" w14:textId="77777777" w:rsidR="00C44869" w:rsidRPr="00D46B6F" w:rsidRDefault="00C44869" w:rsidP="007B3453">
            <w:pPr>
              <w:jc w:val="right"/>
              <w:rPr>
                <w:b/>
                <w:bCs/>
                <w:sz w:val="20"/>
                <w:szCs w:val="20"/>
              </w:rPr>
            </w:pPr>
            <w:r>
              <w:rPr>
                <w:b/>
                <w:bCs/>
                <w:sz w:val="20"/>
                <w:szCs w:val="20"/>
              </w:rPr>
              <w:t>326,666</w:t>
            </w:r>
          </w:p>
        </w:tc>
        <w:tc>
          <w:tcPr>
            <w:tcW w:w="119" w:type="pct"/>
            <w:tcBorders>
              <w:top w:val="nil"/>
              <w:left w:val="nil"/>
              <w:bottom w:val="nil"/>
              <w:right w:val="nil"/>
            </w:tcBorders>
            <w:noWrap/>
            <w:vAlign w:val="bottom"/>
            <w:hideMark/>
          </w:tcPr>
          <w:p w14:paraId="4585E904" w14:textId="77777777" w:rsidR="00C44869" w:rsidRPr="00D46B6F" w:rsidRDefault="00C44869" w:rsidP="007B3453">
            <w:pPr>
              <w:jc w:val="right"/>
              <w:rPr>
                <w:b/>
                <w:bCs/>
                <w:sz w:val="20"/>
                <w:szCs w:val="20"/>
              </w:rPr>
            </w:pPr>
          </w:p>
        </w:tc>
        <w:tc>
          <w:tcPr>
            <w:tcW w:w="857" w:type="pct"/>
            <w:tcBorders>
              <w:top w:val="single" w:sz="4" w:space="0" w:color="auto"/>
              <w:left w:val="nil"/>
              <w:bottom w:val="double" w:sz="6" w:space="0" w:color="auto"/>
              <w:right w:val="nil"/>
            </w:tcBorders>
            <w:noWrap/>
            <w:vAlign w:val="bottom"/>
            <w:hideMark/>
          </w:tcPr>
          <w:p w14:paraId="3D491E10" w14:textId="77777777" w:rsidR="00C44869" w:rsidRPr="000E3E16" w:rsidRDefault="00C44869" w:rsidP="007B3453">
            <w:pPr>
              <w:jc w:val="right"/>
              <w:rPr>
                <w:sz w:val="20"/>
                <w:szCs w:val="20"/>
              </w:rPr>
            </w:pPr>
            <w:r w:rsidRPr="000E3E16">
              <w:rPr>
                <w:sz w:val="20"/>
                <w:szCs w:val="20"/>
              </w:rPr>
              <w:t xml:space="preserve">                1,954,306 </w:t>
            </w:r>
          </w:p>
        </w:tc>
        <w:tc>
          <w:tcPr>
            <w:tcW w:w="119" w:type="pct"/>
            <w:tcBorders>
              <w:top w:val="nil"/>
              <w:left w:val="nil"/>
              <w:bottom w:val="nil"/>
              <w:right w:val="nil"/>
            </w:tcBorders>
            <w:noWrap/>
            <w:vAlign w:val="bottom"/>
            <w:hideMark/>
          </w:tcPr>
          <w:p w14:paraId="39131CF6" w14:textId="77777777" w:rsidR="00C44869" w:rsidRPr="00D46B6F" w:rsidRDefault="00C44869" w:rsidP="007B3453">
            <w:pPr>
              <w:jc w:val="right"/>
              <w:rPr>
                <w:sz w:val="20"/>
                <w:szCs w:val="20"/>
              </w:rPr>
            </w:pPr>
          </w:p>
        </w:tc>
        <w:tc>
          <w:tcPr>
            <w:tcW w:w="806" w:type="pct"/>
            <w:tcBorders>
              <w:top w:val="single" w:sz="4" w:space="0" w:color="auto"/>
              <w:left w:val="nil"/>
              <w:bottom w:val="double" w:sz="6" w:space="0" w:color="auto"/>
              <w:right w:val="nil"/>
            </w:tcBorders>
            <w:noWrap/>
            <w:vAlign w:val="bottom"/>
            <w:hideMark/>
          </w:tcPr>
          <w:p w14:paraId="2D4AD858" w14:textId="77777777" w:rsidR="00C44869" w:rsidRPr="00D46B6F" w:rsidRDefault="00C44869" w:rsidP="007B3453">
            <w:pPr>
              <w:jc w:val="right"/>
              <w:rPr>
                <w:sz w:val="20"/>
                <w:szCs w:val="20"/>
              </w:rPr>
            </w:pPr>
            <w:r w:rsidRPr="00D46B6F">
              <w:rPr>
                <w:sz w:val="20"/>
                <w:szCs w:val="20"/>
              </w:rPr>
              <w:t xml:space="preserve">            </w:t>
            </w:r>
            <w:r>
              <w:rPr>
                <w:sz w:val="20"/>
                <w:szCs w:val="20"/>
              </w:rPr>
              <w:t>1</w:t>
            </w:r>
            <w:r w:rsidRPr="00D46B6F">
              <w:rPr>
                <w:sz w:val="20"/>
                <w:szCs w:val="20"/>
              </w:rPr>
              <w:t>,</w:t>
            </w:r>
            <w:r>
              <w:rPr>
                <w:sz w:val="20"/>
                <w:szCs w:val="20"/>
              </w:rPr>
              <w:t>315</w:t>
            </w:r>
            <w:r w:rsidRPr="00D46B6F">
              <w:rPr>
                <w:sz w:val="20"/>
                <w:szCs w:val="20"/>
              </w:rPr>
              <w:t>,</w:t>
            </w:r>
            <w:r>
              <w:rPr>
                <w:sz w:val="20"/>
                <w:szCs w:val="20"/>
              </w:rPr>
              <w:t>289</w:t>
            </w:r>
            <w:r w:rsidRPr="00D46B6F">
              <w:rPr>
                <w:sz w:val="20"/>
                <w:szCs w:val="20"/>
              </w:rPr>
              <w:t xml:space="preserve"> </w:t>
            </w:r>
          </w:p>
        </w:tc>
        <w:tc>
          <w:tcPr>
            <w:tcW w:w="117" w:type="pct"/>
            <w:tcBorders>
              <w:top w:val="nil"/>
              <w:left w:val="nil"/>
              <w:bottom w:val="nil"/>
              <w:right w:val="nil"/>
            </w:tcBorders>
            <w:noWrap/>
            <w:vAlign w:val="bottom"/>
            <w:hideMark/>
          </w:tcPr>
          <w:p w14:paraId="2B5A6CAE" w14:textId="77777777" w:rsidR="00C44869" w:rsidRPr="00D46B6F" w:rsidRDefault="00C44869" w:rsidP="007B3453">
            <w:pPr>
              <w:rPr>
                <w:sz w:val="20"/>
                <w:szCs w:val="20"/>
              </w:rPr>
            </w:pPr>
          </w:p>
        </w:tc>
      </w:tr>
    </w:tbl>
    <w:p w14:paraId="1C9AA63D" w14:textId="77777777" w:rsidR="00C44869" w:rsidRDefault="00C44869" w:rsidP="00C44869">
      <w:pPr>
        <w:spacing w:before="240"/>
        <w:rPr>
          <w:b/>
          <w:bCs/>
        </w:rPr>
        <w:sectPr w:rsidR="00C44869" w:rsidSect="00C44869">
          <w:pgSz w:w="11906" w:h="16838"/>
          <w:pgMar w:top="567" w:right="510" w:bottom="567" w:left="510" w:header="709" w:footer="709" w:gutter="0"/>
          <w:cols w:space="708"/>
          <w:docGrid w:linePitch="360"/>
        </w:sectPr>
      </w:pPr>
    </w:p>
    <w:p w14:paraId="73E82376" w14:textId="77777777" w:rsidR="00C44869" w:rsidRPr="009B0A8A" w:rsidRDefault="00C44869" w:rsidP="00C44869">
      <w:pPr>
        <w:autoSpaceDE w:val="0"/>
        <w:autoSpaceDN w:val="0"/>
        <w:adjustRightInd w:val="0"/>
        <w:spacing w:after="180"/>
        <w:jc w:val="center"/>
        <w:rPr>
          <w:b/>
          <w:bCs/>
          <w:color w:val="000000"/>
        </w:rPr>
      </w:pPr>
      <w:r w:rsidRPr="009B0A8A">
        <w:rPr>
          <w:b/>
          <w:bCs/>
          <w:color w:val="000000"/>
        </w:rPr>
        <w:lastRenderedPageBreak/>
        <w:t>CHILL BRANDS GROUP PLC</w:t>
      </w:r>
    </w:p>
    <w:p w14:paraId="2BA553A4" w14:textId="77777777" w:rsidR="00C44869" w:rsidRPr="009B0A8A" w:rsidRDefault="00C44869" w:rsidP="00C44869">
      <w:pPr>
        <w:autoSpaceDE w:val="0"/>
        <w:autoSpaceDN w:val="0"/>
        <w:adjustRightInd w:val="0"/>
        <w:spacing w:after="180"/>
        <w:jc w:val="center"/>
        <w:rPr>
          <w:color w:val="000000"/>
        </w:rPr>
      </w:pPr>
      <w:r w:rsidRPr="009B0A8A">
        <w:rPr>
          <w:color w:val="000000"/>
        </w:rPr>
        <w:t>NOTES TO THE CONDENSED CONSOLIDATED FINANCIAL STATEMENTS</w:t>
      </w:r>
    </w:p>
    <w:p w14:paraId="0086721B" w14:textId="77777777" w:rsidR="00C44869" w:rsidRPr="009B0A8A" w:rsidRDefault="00C44869" w:rsidP="00C44869">
      <w:pPr>
        <w:autoSpaceDE w:val="0"/>
        <w:autoSpaceDN w:val="0"/>
        <w:adjustRightInd w:val="0"/>
        <w:jc w:val="center"/>
        <w:rPr>
          <w:color w:val="000000"/>
        </w:rPr>
      </w:pPr>
      <w:r w:rsidRPr="009B0A8A">
        <w:rPr>
          <w:color w:val="000000"/>
        </w:rPr>
        <w:t>For the Six Months Ended 30 September 202</w:t>
      </w:r>
      <w:r>
        <w:rPr>
          <w:color w:val="000000"/>
        </w:rPr>
        <w:t>4</w:t>
      </w:r>
    </w:p>
    <w:p w14:paraId="40D419C6" w14:textId="77777777" w:rsidR="00C44869" w:rsidRPr="009B0A8A" w:rsidRDefault="00C44869" w:rsidP="00C44869">
      <w:pPr>
        <w:autoSpaceDE w:val="0"/>
        <w:autoSpaceDN w:val="0"/>
        <w:adjustRightInd w:val="0"/>
        <w:jc w:val="both"/>
        <w:rPr>
          <w:b/>
          <w:bCs/>
          <w:color w:val="000000"/>
          <w:u w:val="single"/>
        </w:rPr>
      </w:pP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r w:rsidRPr="009B0A8A">
        <w:rPr>
          <w:b/>
          <w:bCs/>
          <w:color w:val="000000"/>
          <w:u w:val="single"/>
        </w:rPr>
        <w:tab/>
      </w:r>
    </w:p>
    <w:p w14:paraId="23EDA1F7" w14:textId="77777777" w:rsidR="00C44869" w:rsidRPr="009B0A8A" w:rsidRDefault="00C44869" w:rsidP="00C44869">
      <w:pPr>
        <w:autoSpaceDE w:val="0"/>
        <w:autoSpaceDN w:val="0"/>
        <w:adjustRightInd w:val="0"/>
        <w:jc w:val="both"/>
        <w:rPr>
          <w:b/>
          <w:bCs/>
          <w:color w:val="000000"/>
        </w:rPr>
      </w:pPr>
    </w:p>
    <w:p w14:paraId="6E6B4849" w14:textId="77777777" w:rsidR="00C44869" w:rsidRPr="009B0A8A" w:rsidRDefault="00C44869" w:rsidP="00C44869">
      <w:pPr>
        <w:autoSpaceDE w:val="0"/>
        <w:autoSpaceDN w:val="0"/>
        <w:adjustRightInd w:val="0"/>
        <w:jc w:val="both"/>
        <w:rPr>
          <w:b/>
          <w:bCs/>
          <w:color w:val="000000"/>
        </w:rPr>
      </w:pPr>
      <w:r w:rsidRPr="009B0A8A">
        <w:rPr>
          <w:b/>
          <w:bCs/>
          <w:color w:val="000000"/>
        </w:rPr>
        <w:t>NOTE 1 -</w:t>
      </w:r>
      <w:r w:rsidRPr="009B0A8A">
        <w:rPr>
          <w:b/>
          <w:bCs/>
          <w:color w:val="000000"/>
        </w:rPr>
        <w:tab/>
        <w:t>GENERAL INFORMATION</w:t>
      </w:r>
    </w:p>
    <w:p w14:paraId="24C10445" w14:textId="77777777" w:rsidR="00C44869" w:rsidRPr="009B0A8A" w:rsidRDefault="00C44869" w:rsidP="00C44869">
      <w:pPr>
        <w:autoSpaceDE w:val="0"/>
        <w:autoSpaceDN w:val="0"/>
        <w:adjustRightInd w:val="0"/>
        <w:jc w:val="both"/>
        <w:rPr>
          <w:b/>
          <w:bCs/>
          <w:color w:val="000000"/>
        </w:rPr>
      </w:pPr>
    </w:p>
    <w:p w14:paraId="1BCD8630" w14:textId="77777777" w:rsidR="00C44869" w:rsidRDefault="00C44869" w:rsidP="00C44869">
      <w:pPr>
        <w:autoSpaceDE w:val="0"/>
        <w:autoSpaceDN w:val="0"/>
        <w:adjustRightInd w:val="0"/>
        <w:jc w:val="both"/>
        <w:rPr>
          <w:color w:val="000000"/>
        </w:rPr>
      </w:pPr>
      <w:r w:rsidRPr="009B0A8A">
        <w:rPr>
          <w:color w:val="000000"/>
        </w:rPr>
        <w:t xml:space="preserve">Chill Brands Group PLC (“the Company”) and its subsidiaries (together “the Group”) are involved in the development, production and distribution of consumer packaged goods products including vapour products. The Company, a public limited company incorporated and domiciled in England and Wales, is the Group’s ultimate parent company. The Company was incorporated on 13 November 2014 with Company Registration Number 09309241 and its registered office and principal place of business is 27/28 </w:t>
      </w:r>
      <w:proofErr w:type="spellStart"/>
      <w:r w:rsidRPr="009B0A8A">
        <w:rPr>
          <w:color w:val="000000"/>
        </w:rPr>
        <w:t>Eastcastle</w:t>
      </w:r>
      <w:proofErr w:type="spellEnd"/>
      <w:r w:rsidRPr="009B0A8A">
        <w:rPr>
          <w:color w:val="000000"/>
        </w:rPr>
        <w:t xml:space="preserve"> Street, London W1W 8DH. </w:t>
      </w:r>
    </w:p>
    <w:p w14:paraId="36A19EFA" w14:textId="77777777" w:rsidR="00C44869" w:rsidRDefault="00C44869" w:rsidP="00C44869">
      <w:pPr>
        <w:autoSpaceDE w:val="0"/>
        <w:autoSpaceDN w:val="0"/>
        <w:adjustRightInd w:val="0"/>
        <w:jc w:val="both"/>
        <w:rPr>
          <w:color w:val="000000"/>
        </w:rPr>
      </w:pPr>
    </w:p>
    <w:p w14:paraId="715CB7DB" w14:textId="77777777" w:rsidR="00C44869" w:rsidRDefault="00C44869" w:rsidP="00C44869">
      <w:pPr>
        <w:autoSpaceDE w:val="0"/>
        <w:autoSpaceDN w:val="0"/>
        <w:adjustRightInd w:val="0"/>
        <w:jc w:val="both"/>
        <w:rPr>
          <w:color w:val="000000"/>
        </w:rPr>
      </w:pPr>
      <w:r w:rsidRPr="00424F15">
        <w:rPr>
          <w:color w:val="000000"/>
        </w:rPr>
        <w:t>The interim financial statements for the period ended 30 September 2024 do not constitute statutory accounts as defined in section 434 of the Companies Act 2006. These financial statements have been prepared in accordance with the accounting policies set out in, and are consistent with, the audited consolidated financial statements for the twelve months ended 31 March 2024. A copy of the statutory accounts for the year ended 31 March 2024 has been delivered to the Registrar of Companies. The auditor’s report on those accounts was unqualified and did not contain statements under Section 498 (2) or (3) of the Companies Act 2006 but drew attention, by way of emphasis, without qualifying the report, to the Company’s assumptions on going concern which stated that the Group and Parent Company’s operational existence is reliant on the ability to raise further funding through equity placing or through the support of the directors through an injection of capital. The impact of this together with other matters indicated that a material uncertainty existed that may cast significant doubt on their ability to continue as a going concern. The auditor’s opinion was not modified in respect of this matter.</w:t>
      </w:r>
    </w:p>
    <w:p w14:paraId="0D064100" w14:textId="77777777" w:rsidR="00C44869" w:rsidRPr="009B0A8A" w:rsidRDefault="00C44869" w:rsidP="00C44869">
      <w:pPr>
        <w:autoSpaceDE w:val="0"/>
        <w:autoSpaceDN w:val="0"/>
        <w:adjustRightInd w:val="0"/>
        <w:jc w:val="both"/>
        <w:rPr>
          <w:b/>
          <w:bCs/>
          <w:color w:val="000000"/>
          <w:highlight w:val="yellow"/>
        </w:rPr>
      </w:pPr>
    </w:p>
    <w:p w14:paraId="43F85AD1" w14:textId="77777777" w:rsidR="00C44869" w:rsidRPr="009B0A8A" w:rsidRDefault="00C44869" w:rsidP="00C44869">
      <w:pPr>
        <w:autoSpaceDE w:val="0"/>
        <w:autoSpaceDN w:val="0"/>
        <w:adjustRightInd w:val="0"/>
        <w:jc w:val="both"/>
        <w:rPr>
          <w:b/>
          <w:bCs/>
          <w:color w:val="000000"/>
        </w:rPr>
      </w:pPr>
      <w:r w:rsidRPr="009B0A8A">
        <w:rPr>
          <w:b/>
          <w:bCs/>
          <w:color w:val="000000"/>
        </w:rPr>
        <w:t xml:space="preserve">NOTE 2 - </w:t>
      </w:r>
      <w:r w:rsidRPr="009B0A8A">
        <w:rPr>
          <w:b/>
          <w:bCs/>
          <w:color w:val="000000"/>
        </w:rPr>
        <w:tab/>
        <w:t>ACCOUNTING POLICIES</w:t>
      </w:r>
    </w:p>
    <w:p w14:paraId="29C0D826" w14:textId="77777777" w:rsidR="00C44869" w:rsidRPr="009B0A8A" w:rsidRDefault="00C44869" w:rsidP="00C44869">
      <w:pPr>
        <w:autoSpaceDE w:val="0"/>
        <w:autoSpaceDN w:val="0"/>
        <w:adjustRightInd w:val="0"/>
        <w:jc w:val="both"/>
        <w:rPr>
          <w:b/>
          <w:bCs/>
          <w:color w:val="000000"/>
        </w:rPr>
      </w:pPr>
    </w:p>
    <w:p w14:paraId="6630E393" w14:textId="77777777" w:rsidR="00C44869" w:rsidRPr="009B0A8A" w:rsidRDefault="00C44869" w:rsidP="00C44869">
      <w:pPr>
        <w:autoSpaceDE w:val="0"/>
        <w:autoSpaceDN w:val="0"/>
        <w:adjustRightInd w:val="0"/>
        <w:spacing w:after="60"/>
        <w:jc w:val="both"/>
        <w:rPr>
          <w:b/>
          <w:bCs/>
          <w:color w:val="000000"/>
        </w:rPr>
      </w:pPr>
      <w:r w:rsidRPr="009B0A8A">
        <w:rPr>
          <w:b/>
          <w:bCs/>
          <w:color w:val="000000"/>
        </w:rPr>
        <w:t>Basis of preparation</w:t>
      </w:r>
    </w:p>
    <w:p w14:paraId="7C9759F6" w14:textId="77777777" w:rsidR="00C44869" w:rsidRDefault="00C44869" w:rsidP="00C44869">
      <w:pPr>
        <w:autoSpaceDE w:val="0"/>
        <w:autoSpaceDN w:val="0"/>
        <w:adjustRightInd w:val="0"/>
        <w:spacing w:before="240"/>
        <w:jc w:val="both"/>
        <w:rPr>
          <w:color w:val="000000"/>
        </w:rPr>
      </w:pPr>
      <w:r w:rsidRPr="009B0A8A">
        <w:rPr>
          <w:color w:val="000000"/>
        </w:rPr>
        <w:t>The interim condensed unaudited consolidated financial statements for the period ended 30 September 202</w:t>
      </w:r>
      <w:r>
        <w:rPr>
          <w:color w:val="000000"/>
        </w:rPr>
        <w:t>4</w:t>
      </w:r>
      <w:r w:rsidRPr="009B0A8A">
        <w:rPr>
          <w:color w:val="000000"/>
        </w:rPr>
        <w:t xml:space="preserve"> have been prepared in accordance with IAS 34 Interim Financial Reporting. The comparative figures for 31 March 202</w:t>
      </w:r>
      <w:r>
        <w:rPr>
          <w:color w:val="000000"/>
        </w:rPr>
        <w:t>4</w:t>
      </w:r>
      <w:r w:rsidRPr="009B0A8A">
        <w:rPr>
          <w:color w:val="000000"/>
        </w:rPr>
        <w:t xml:space="preserve"> are extracted from the Group’s audited accounts to that date. The comparative figures for the period ended 30 September 202</w:t>
      </w:r>
      <w:r>
        <w:rPr>
          <w:color w:val="000000"/>
        </w:rPr>
        <w:t>3</w:t>
      </w:r>
      <w:r w:rsidRPr="009B0A8A">
        <w:rPr>
          <w:color w:val="000000"/>
        </w:rPr>
        <w:t xml:space="preserve"> are unaudited.</w:t>
      </w:r>
    </w:p>
    <w:p w14:paraId="55633138" w14:textId="77777777" w:rsidR="00C44869" w:rsidRDefault="00C44869" w:rsidP="00C44869">
      <w:pPr>
        <w:autoSpaceDE w:val="0"/>
        <w:autoSpaceDN w:val="0"/>
        <w:adjustRightInd w:val="0"/>
        <w:spacing w:before="240"/>
        <w:jc w:val="both"/>
        <w:rPr>
          <w:color w:val="000000"/>
        </w:rPr>
      </w:pPr>
      <w:r w:rsidRPr="00EA0C21">
        <w:rPr>
          <w:color w:val="000000"/>
        </w:rPr>
        <w:t xml:space="preserve">The interim financial statements do not include </w:t>
      </w:r>
      <w:proofErr w:type="gramStart"/>
      <w:r w:rsidRPr="00EA0C21">
        <w:rPr>
          <w:color w:val="000000"/>
        </w:rPr>
        <w:t>all of</w:t>
      </w:r>
      <w:proofErr w:type="gramEnd"/>
      <w:r w:rsidRPr="00EA0C21">
        <w:rPr>
          <w:color w:val="000000"/>
        </w:rPr>
        <w:t xml:space="preserve"> the notes of the type normally included in an annual financial report. Accordingly, this report is to be read in conjunction with the annual report for the year ended 31 </w:t>
      </w:r>
      <w:r>
        <w:rPr>
          <w:color w:val="000000"/>
        </w:rPr>
        <w:t>March</w:t>
      </w:r>
      <w:r w:rsidRPr="00EA0C21">
        <w:rPr>
          <w:color w:val="000000"/>
        </w:rPr>
        <w:t xml:space="preserve"> 202</w:t>
      </w:r>
      <w:r>
        <w:rPr>
          <w:color w:val="000000"/>
        </w:rPr>
        <w:t>4</w:t>
      </w:r>
      <w:r w:rsidRPr="00EA0C21">
        <w:rPr>
          <w:color w:val="000000"/>
        </w:rPr>
        <w:t xml:space="preserve">, which has been prepared in accordance with UK-adopted international accounting standards and the requirements of the Companies Act 2006, and any public announcements made by </w:t>
      </w:r>
      <w:r>
        <w:rPr>
          <w:color w:val="000000"/>
        </w:rPr>
        <w:t>the Company</w:t>
      </w:r>
      <w:r w:rsidRPr="00EA0C21">
        <w:rPr>
          <w:color w:val="000000"/>
        </w:rPr>
        <w:t xml:space="preserve"> during the interim reporting period.</w:t>
      </w:r>
      <w:r>
        <w:rPr>
          <w:color w:val="000000"/>
        </w:rPr>
        <w:t xml:space="preserve"> </w:t>
      </w:r>
    </w:p>
    <w:p w14:paraId="59641F1D" w14:textId="77777777" w:rsidR="00C44869" w:rsidRPr="009B0A8A" w:rsidRDefault="00C44869" w:rsidP="00C44869">
      <w:pPr>
        <w:autoSpaceDE w:val="0"/>
        <w:autoSpaceDN w:val="0"/>
        <w:adjustRightInd w:val="0"/>
        <w:spacing w:before="240"/>
        <w:jc w:val="both"/>
        <w:rPr>
          <w:color w:val="000000"/>
        </w:rPr>
      </w:pPr>
      <w:r w:rsidRPr="009B0A8A">
        <w:rPr>
          <w:color w:val="000000"/>
        </w:rPr>
        <w:t xml:space="preserve">The condensed unaudited consolidated interim financial statements of the Group have been prepared </w:t>
      </w:r>
      <w:proofErr w:type="gramStart"/>
      <w:r w:rsidRPr="009B0A8A">
        <w:rPr>
          <w:color w:val="000000"/>
        </w:rPr>
        <w:t>on the basis of</w:t>
      </w:r>
      <w:proofErr w:type="gramEnd"/>
      <w:r w:rsidRPr="009B0A8A">
        <w:rPr>
          <w:color w:val="000000"/>
        </w:rPr>
        <w:t xml:space="preserve"> the accounting policies, presentation, methods of computation and estimation techniques used in the preparation of the audited accounts for the </w:t>
      </w:r>
      <w:r>
        <w:rPr>
          <w:color w:val="000000"/>
        </w:rPr>
        <w:t>year</w:t>
      </w:r>
      <w:r w:rsidRPr="009B0A8A">
        <w:rPr>
          <w:color w:val="000000"/>
        </w:rPr>
        <w:t xml:space="preserve"> ended 31 </w:t>
      </w:r>
      <w:r w:rsidRPr="009B0A8A">
        <w:rPr>
          <w:color w:val="000000"/>
        </w:rPr>
        <w:lastRenderedPageBreak/>
        <w:t>March 202</w:t>
      </w:r>
      <w:r>
        <w:rPr>
          <w:color w:val="000000"/>
        </w:rPr>
        <w:t>4</w:t>
      </w:r>
      <w:r w:rsidRPr="009B0A8A">
        <w:rPr>
          <w:color w:val="000000"/>
        </w:rPr>
        <w:t xml:space="preserve"> and expected to be adopted in the financial information by the Group in preparing its annual report for the year ending 31 March 202</w:t>
      </w:r>
      <w:r>
        <w:rPr>
          <w:color w:val="000000"/>
        </w:rPr>
        <w:t>5</w:t>
      </w:r>
      <w:r w:rsidRPr="009B0A8A">
        <w:rPr>
          <w:color w:val="000000"/>
        </w:rPr>
        <w:t xml:space="preserve">. </w:t>
      </w:r>
    </w:p>
    <w:p w14:paraId="710A7958" w14:textId="77777777" w:rsidR="00C44869" w:rsidRPr="009B0A8A" w:rsidRDefault="00C44869" w:rsidP="00C44869">
      <w:pPr>
        <w:autoSpaceDE w:val="0"/>
        <w:autoSpaceDN w:val="0"/>
        <w:adjustRightInd w:val="0"/>
        <w:jc w:val="both"/>
        <w:rPr>
          <w:color w:val="000000"/>
        </w:rPr>
      </w:pPr>
    </w:p>
    <w:p w14:paraId="39DE0EB1" w14:textId="77777777" w:rsidR="00C44869" w:rsidRPr="009B0A8A" w:rsidRDefault="00C44869" w:rsidP="00C44869">
      <w:pPr>
        <w:autoSpaceDE w:val="0"/>
        <w:autoSpaceDN w:val="0"/>
        <w:adjustRightInd w:val="0"/>
        <w:jc w:val="both"/>
        <w:rPr>
          <w:color w:val="000000"/>
        </w:rPr>
      </w:pPr>
      <w:r w:rsidRPr="009B0A8A">
        <w:rPr>
          <w:color w:val="000000"/>
        </w:rPr>
        <w:t>The financial information in this statement relating to the six months ended 30 September 202</w:t>
      </w:r>
      <w:r>
        <w:rPr>
          <w:color w:val="000000"/>
        </w:rPr>
        <w:t>4</w:t>
      </w:r>
      <w:r w:rsidRPr="009B0A8A">
        <w:rPr>
          <w:color w:val="000000"/>
        </w:rPr>
        <w:t xml:space="preserve"> and the six months ended 30 September 202</w:t>
      </w:r>
      <w:r>
        <w:rPr>
          <w:color w:val="000000"/>
        </w:rPr>
        <w:t>3</w:t>
      </w:r>
      <w:r w:rsidRPr="009B0A8A">
        <w:rPr>
          <w:color w:val="000000"/>
        </w:rPr>
        <w:t xml:space="preserve"> has neither been audited nor reviewed by the auditors pursuant to guidance issued by the Auditing Practices Board. The financial information </w:t>
      </w:r>
      <w:r w:rsidRPr="00BC6DCC">
        <w:rPr>
          <w:color w:val="000000"/>
        </w:rPr>
        <w:t xml:space="preserve">presented for the year ended 31 March 2024 does not constitute the full statutory accounts for that period. </w:t>
      </w:r>
    </w:p>
    <w:p w14:paraId="16E68188" w14:textId="77777777" w:rsidR="00C44869" w:rsidRPr="009B0A8A" w:rsidRDefault="00C44869" w:rsidP="00C44869">
      <w:pPr>
        <w:autoSpaceDE w:val="0"/>
        <w:autoSpaceDN w:val="0"/>
        <w:adjustRightInd w:val="0"/>
        <w:jc w:val="both"/>
        <w:rPr>
          <w:color w:val="000000"/>
        </w:rPr>
      </w:pPr>
    </w:p>
    <w:p w14:paraId="24040118" w14:textId="77777777" w:rsidR="00C44869" w:rsidRPr="009B0A8A" w:rsidRDefault="00C44869" w:rsidP="00C44869">
      <w:pPr>
        <w:autoSpaceDE w:val="0"/>
        <w:autoSpaceDN w:val="0"/>
        <w:adjustRightInd w:val="0"/>
        <w:jc w:val="both"/>
        <w:rPr>
          <w:color w:val="000000"/>
        </w:rPr>
      </w:pPr>
      <w:r w:rsidRPr="009B0A8A">
        <w:rPr>
          <w:color w:val="000000"/>
        </w:rPr>
        <w:t>The financial information of the Group is presented in British Pounds Sterling (“£”).</w:t>
      </w:r>
    </w:p>
    <w:p w14:paraId="48AAC285" w14:textId="77777777" w:rsidR="00C44869" w:rsidRPr="009B0A8A" w:rsidRDefault="00C44869" w:rsidP="00C44869">
      <w:pPr>
        <w:autoSpaceDE w:val="0"/>
        <w:autoSpaceDN w:val="0"/>
        <w:adjustRightInd w:val="0"/>
        <w:jc w:val="both"/>
        <w:rPr>
          <w:color w:val="000000"/>
        </w:rPr>
      </w:pPr>
    </w:p>
    <w:p w14:paraId="59F5491F" w14:textId="77777777" w:rsidR="00C44869" w:rsidRPr="009B0A8A" w:rsidRDefault="00C44869" w:rsidP="00C44869">
      <w:pPr>
        <w:autoSpaceDE w:val="0"/>
        <w:autoSpaceDN w:val="0"/>
        <w:adjustRightInd w:val="0"/>
        <w:jc w:val="both"/>
        <w:rPr>
          <w:b/>
          <w:bCs/>
          <w:color w:val="000000"/>
        </w:rPr>
      </w:pPr>
      <w:r w:rsidRPr="009B0A8A">
        <w:rPr>
          <w:b/>
          <w:bCs/>
          <w:color w:val="000000"/>
        </w:rPr>
        <w:t>NOTE 3 -</w:t>
      </w:r>
      <w:r w:rsidRPr="009B0A8A">
        <w:rPr>
          <w:b/>
          <w:bCs/>
          <w:color w:val="000000"/>
        </w:rPr>
        <w:tab/>
        <w:t>INCOME TAX EXPENSE</w:t>
      </w:r>
    </w:p>
    <w:p w14:paraId="32031E2D" w14:textId="77777777" w:rsidR="00C44869" w:rsidRPr="009B0A8A" w:rsidRDefault="00C44869" w:rsidP="00C44869">
      <w:pPr>
        <w:autoSpaceDE w:val="0"/>
        <w:autoSpaceDN w:val="0"/>
        <w:adjustRightInd w:val="0"/>
        <w:jc w:val="both"/>
        <w:rPr>
          <w:b/>
          <w:bCs/>
          <w:color w:val="000000"/>
        </w:rPr>
      </w:pPr>
    </w:p>
    <w:p w14:paraId="3CA97E1D" w14:textId="77777777" w:rsidR="00C44869" w:rsidRPr="009B0A8A" w:rsidRDefault="00C44869" w:rsidP="00C44869">
      <w:pPr>
        <w:autoSpaceDE w:val="0"/>
        <w:autoSpaceDN w:val="0"/>
        <w:adjustRightInd w:val="0"/>
        <w:jc w:val="both"/>
        <w:rPr>
          <w:color w:val="000000"/>
        </w:rPr>
      </w:pPr>
      <w:r w:rsidRPr="009B0A8A">
        <w:rPr>
          <w:color w:val="000000"/>
        </w:rPr>
        <w:t>No tax is applicable to the Group for the period ended 30 September 202</w:t>
      </w:r>
      <w:r>
        <w:rPr>
          <w:color w:val="000000"/>
        </w:rPr>
        <w:t>4</w:t>
      </w:r>
      <w:r w:rsidRPr="009B0A8A">
        <w:rPr>
          <w:color w:val="000000"/>
        </w:rPr>
        <w:t>. No deferred income tax asset has been recogni</w:t>
      </w:r>
      <w:r>
        <w:rPr>
          <w:color w:val="000000"/>
        </w:rPr>
        <w:t>s</w:t>
      </w:r>
      <w:r w:rsidRPr="009B0A8A">
        <w:rPr>
          <w:color w:val="000000"/>
        </w:rPr>
        <w:t>ed in respect of the tax losses carried forward, due to the uncertainty as to whether the Group will generate sufficient profits in the foreseeable future to prudently justify this.</w:t>
      </w:r>
    </w:p>
    <w:p w14:paraId="4D57E93D" w14:textId="77777777" w:rsidR="00C44869" w:rsidRPr="009B0A8A" w:rsidRDefault="00C44869" w:rsidP="00C44869">
      <w:pPr>
        <w:autoSpaceDE w:val="0"/>
        <w:autoSpaceDN w:val="0"/>
        <w:adjustRightInd w:val="0"/>
        <w:jc w:val="both"/>
        <w:rPr>
          <w:b/>
          <w:bCs/>
          <w:color w:val="000000"/>
        </w:rPr>
      </w:pPr>
    </w:p>
    <w:p w14:paraId="409BA6AC" w14:textId="77777777" w:rsidR="00C44869" w:rsidRPr="0012339E" w:rsidRDefault="00C44869" w:rsidP="00C44869">
      <w:pPr>
        <w:autoSpaceDE w:val="0"/>
        <w:autoSpaceDN w:val="0"/>
        <w:adjustRightInd w:val="0"/>
        <w:jc w:val="both"/>
        <w:rPr>
          <w:b/>
          <w:bCs/>
          <w:color w:val="000000"/>
        </w:rPr>
      </w:pPr>
      <w:r w:rsidRPr="0012339E">
        <w:rPr>
          <w:b/>
          <w:bCs/>
          <w:color w:val="000000"/>
        </w:rPr>
        <w:t xml:space="preserve">NOTE </w:t>
      </w:r>
      <w:r>
        <w:rPr>
          <w:b/>
          <w:bCs/>
          <w:color w:val="000000"/>
        </w:rPr>
        <w:t>4</w:t>
      </w:r>
      <w:r w:rsidRPr="0012339E">
        <w:rPr>
          <w:b/>
          <w:bCs/>
          <w:color w:val="000000"/>
        </w:rPr>
        <w:t xml:space="preserve"> -</w:t>
      </w:r>
      <w:r w:rsidRPr="0012339E">
        <w:rPr>
          <w:b/>
          <w:bCs/>
          <w:color w:val="000000"/>
        </w:rPr>
        <w:tab/>
      </w:r>
      <w:r>
        <w:rPr>
          <w:b/>
          <w:bCs/>
          <w:color w:val="000000"/>
        </w:rPr>
        <w:t>GOING CONCERN</w:t>
      </w:r>
    </w:p>
    <w:p w14:paraId="2E55E256" w14:textId="77777777" w:rsidR="00C44869" w:rsidRPr="009B0A8A" w:rsidRDefault="00C44869" w:rsidP="00C44869">
      <w:pPr>
        <w:autoSpaceDE w:val="0"/>
        <w:autoSpaceDN w:val="0"/>
        <w:adjustRightInd w:val="0"/>
        <w:jc w:val="both"/>
        <w:rPr>
          <w:b/>
          <w:bCs/>
          <w:color w:val="000000"/>
        </w:rPr>
      </w:pPr>
    </w:p>
    <w:p w14:paraId="2FD8CC85" w14:textId="77777777" w:rsidR="00C44869" w:rsidRPr="007638BD" w:rsidRDefault="00C44869" w:rsidP="00C44869">
      <w:pPr>
        <w:autoSpaceDE w:val="0"/>
        <w:autoSpaceDN w:val="0"/>
        <w:adjustRightInd w:val="0"/>
        <w:jc w:val="both"/>
        <w:rPr>
          <w:color w:val="000000"/>
          <w:lang w:val="en-US"/>
        </w:rPr>
      </w:pPr>
      <w:r w:rsidRPr="007638BD">
        <w:rPr>
          <w:color w:val="000000"/>
          <w:lang w:val="en-US"/>
        </w:rPr>
        <w:t>The financial statements have been prepared on a going concern basis, which assumes that the Group will continue in operational existence for the foreseeable future, being a period of at least twelve months from the date of approval of these financial statements. In forming their conclusion, the Directors have undertaken a comprehensive assessment of the Group’s current financial position, cash flow forecasts, available funding arrangements, and associated risks.</w:t>
      </w:r>
    </w:p>
    <w:p w14:paraId="2B2AC48A" w14:textId="77777777" w:rsidR="00C44869" w:rsidRPr="007638BD" w:rsidRDefault="00C44869" w:rsidP="00C44869">
      <w:pPr>
        <w:autoSpaceDE w:val="0"/>
        <w:autoSpaceDN w:val="0"/>
        <w:adjustRightInd w:val="0"/>
        <w:jc w:val="both"/>
        <w:rPr>
          <w:b/>
          <w:bCs/>
          <w:color w:val="000000"/>
          <w:lang w:val="en-US"/>
        </w:rPr>
      </w:pPr>
    </w:p>
    <w:p w14:paraId="22C29AC8" w14:textId="77777777" w:rsidR="00C44869" w:rsidRPr="00326B60" w:rsidRDefault="00C44869" w:rsidP="00C44869">
      <w:pPr>
        <w:autoSpaceDE w:val="0"/>
        <w:autoSpaceDN w:val="0"/>
        <w:adjustRightInd w:val="0"/>
        <w:jc w:val="both"/>
        <w:rPr>
          <w:color w:val="000000"/>
          <w:lang w:val="en-US"/>
        </w:rPr>
      </w:pPr>
      <w:r w:rsidRPr="00326B60">
        <w:rPr>
          <w:color w:val="000000"/>
          <w:lang w:val="en-US"/>
        </w:rPr>
        <w:t xml:space="preserve">In the time since the end of the Period, the Company’s operations were primarily supported through revenue generated from commercial activities, supplemented by funds raised in a </w:t>
      </w:r>
      <w:r w:rsidRPr="00625A9C">
        <w:rPr>
          <w:color w:val="000000"/>
          <w:lang w:val="en-US"/>
        </w:rPr>
        <w:t>£1 million fundraising through the issue of convertible loan notes, announced on 24 April 2025</w:t>
      </w:r>
      <w:r w:rsidRPr="00326B60">
        <w:rPr>
          <w:color w:val="000000"/>
          <w:lang w:val="en-US"/>
        </w:rPr>
        <w:t>.</w:t>
      </w:r>
    </w:p>
    <w:p w14:paraId="1EB8AA6C" w14:textId="77777777" w:rsidR="00C44869" w:rsidRPr="00326B60" w:rsidRDefault="00C44869" w:rsidP="00C44869">
      <w:pPr>
        <w:autoSpaceDE w:val="0"/>
        <w:autoSpaceDN w:val="0"/>
        <w:adjustRightInd w:val="0"/>
        <w:jc w:val="both"/>
        <w:rPr>
          <w:b/>
          <w:bCs/>
          <w:color w:val="000000"/>
          <w:lang w:val="en-US"/>
        </w:rPr>
      </w:pPr>
    </w:p>
    <w:p w14:paraId="2D6EBAD1" w14:textId="77777777" w:rsidR="00C44869" w:rsidRPr="0071694E" w:rsidRDefault="00C44869" w:rsidP="00C44869">
      <w:pPr>
        <w:autoSpaceDE w:val="0"/>
        <w:autoSpaceDN w:val="0"/>
        <w:adjustRightInd w:val="0"/>
        <w:jc w:val="both"/>
        <w:rPr>
          <w:color w:val="000000"/>
        </w:rPr>
      </w:pPr>
      <w:r w:rsidRPr="0071694E">
        <w:rPr>
          <w:color w:val="000000"/>
        </w:rPr>
        <w:t xml:space="preserve">The Board considers that the capital provided under the current financing facility will be sufficient to support the continuation of the Company’s core commercial operations throughout the </w:t>
      </w:r>
      <w:r>
        <w:rPr>
          <w:color w:val="000000"/>
        </w:rPr>
        <w:t xml:space="preserve">current </w:t>
      </w:r>
      <w:r w:rsidRPr="0071694E">
        <w:rPr>
          <w:color w:val="000000"/>
        </w:rPr>
        <w:t xml:space="preserve">financial year. Nevertheless, it may be necessary for the Company to raise additional funding in the future </w:t>
      </w:r>
      <w:proofErr w:type="gramStart"/>
      <w:r w:rsidRPr="0071694E">
        <w:rPr>
          <w:color w:val="000000"/>
        </w:rPr>
        <w:t>in order to</w:t>
      </w:r>
      <w:proofErr w:type="gramEnd"/>
      <w:r w:rsidRPr="0071694E">
        <w:rPr>
          <w:color w:val="000000"/>
        </w:rPr>
        <w:t xml:space="preserve"> remain viable as a going concern, particularly in the event of unforeseen operational costs or if strategic growth opportunities are to be pursued.</w:t>
      </w:r>
    </w:p>
    <w:p w14:paraId="0C01A5A4" w14:textId="77777777" w:rsidR="00C44869" w:rsidRPr="0071694E" w:rsidRDefault="00C44869" w:rsidP="00C44869">
      <w:pPr>
        <w:autoSpaceDE w:val="0"/>
        <w:autoSpaceDN w:val="0"/>
        <w:adjustRightInd w:val="0"/>
        <w:jc w:val="both"/>
        <w:rPr>
          <w:color w:val="000000"/>
        </w:rPr>
      </w:pPr>
    </w:p>
    <w:p w14:paraId="363C4385" w14:textId="77777777" w:rsidR="00C44869" w:rsidRPr="0071694E" w:rsidRDefault="00C44869" w:rsidP="00C44869">
      <w:pPr>
        <w:autoSpaceDE w:val="0"/>
        <w:autoSpaceDN w:val="0"/>
        <w:adjustRightInd w:val="0"/>
        <w:jc w:val="both"/>
        <w:rPr>
          <w:color w:val="000000"/>
        </w:rPr>
      </w:pPr>
      <w:r w:rsidRPr="0071694E">
        <w:rPr>
          <w:color w:val="000000"/>
        </w:rPr>
        <w:t xml:space="preserve">Based on the Company’s demonstrated ability to secure financial backing from both new and existing investors in recent periods, and the continued support of major shareholders, the Directors are confident in their ability to raise further funds </w:t>
      </w:r>
      <w:proofErr w:type="gramStart"/>
      <w:r w:rsidRPr="0071694E">
        <w:rPr>
          <w:color w:val="000000"/>
        </w:rPr>
        <w:t>if and when</w:t>
      </w:r>
      <w:proofErr w:type="gramEnd"/>
      <w:r w:rsidRPr="0071694E">
        <w:rPr>
          <w:color w:val="000000"/>
        </w:rPr>
        <w:t xml:space="preserve"> required.</w:t>
      </w:r>
    </w:p>
    <w:p w14:paraId="40F70EF9" w14:textId="77777777" w:rsidR="00C44869" w:rsidRPr="009B0A8A" w:rsidRDefault="00C44869" w:rsidP="00C44869">
      <w:pPr>
        <w:autoSpaceDE w:val="0"/>
        <w:autoSpaceDN w:val="0"/>
        <w:adjustRightInd w:val="0"/>
        <w:jc w:val="both"/>
        <w:rPr>
          <w:b/>
          <w:bCs/>
          <w:color w:val="000000"/>
        </w:rPr>
      </w:pPr>
    </w:p>
    <w:p w14:paraId="61062F23" w14:textId="77777777" w:rsidR="00C44869" w:rsidRPr="00884D51" w:rsidRDefault="00C44869" w:rsidP="00C44869">
      <w:pPr>
        <w:autoSpaceDE w:val="0"/>
        <w:autoSpaceDN w:val="0"/>
        <w:adjustRightInd w:val="0"/>
        <w:jc w:val="both"/>
        <w:rPr>
          <w:color w:val="000000"/>
        </w:rPr>
      </w:pPr>
      <w:r w:rsidRPr="00884D51">
        <w:rPr>
          <w:color w:val="000000"/>
        </w:rPr>
        <w:t xml:space="preserve">The financial statements do not include any adjustment that may arise </w:t>
      </w:r>
      <w:proofErr w:type="gramStart"/>
      <w:r w:rsidRPr="00884D51">
        <w:rPr>
          <w:color w:val="000000"/>
        </w:rPr>
        <w:t>in the event that</w:t>
      </w:r>
      <w:proofErr w:type="gramEnd"/>
      <w:r w:rsidRPr="00884D51">
        <w:rPr>
          <w:color w:val="000000"/>
        </w:rPr>
        <w:t xml:space="preserve"> the Group is unable to raise additional finance, realise its assets and discharge its liabilities in the normal course of business.</w:t>
      </w:r>
    </w:p>
    <w:p w14:paraId="454B32E6" w14:textId="77777777" w:rsidR="00C44869" w:rsidRPr="009B0A8A" w:rsidRDefault="00C44869" w:rsidP="00C44869">
      <w:pPr>
        <w:autoSpaceDE w:val="0"/>
        <w:autoSpaceDN w:val="0"/>
        <w:adjustRightInd w:val="0"/>
        <w:jc w:val="both"/>
        <w:rPr>
          <w:b/>
          <w:bCs/>
          <w:color w:val="000000"/>
        </w:rPr>
      </w:pPr>
    </w:p>
    <w:p w14:paraId="70EC6B95" w14:textId="77777777" w:rsidR="00C44869" w:rsidRPr="0012339E" w:rsidRDefault="00C44869" w:rsidP="00C44869">
      <w:pPr>
        <w:autoSpaceDE w:val="0"/>
        <w:autoSpaceDN w:val="0"/>
        <w:adjustRightInd w:val="0"/>
        <w:jc w:val="both"/>
        <w:rPr>
          <w:b/>
          <w:bCs/>
          <w:color w:val="000000"/>
        </w:rPr>
      </w:pPr>
      <w:r w:rsidRPr="0012339E">
        <w:rPr>
          <w:b/>
          <w:bCs/>
          <w:color w:val="000000"/>
        </w:rPr>
        <w:t xml:space="preserve">NOTE </w:t>
      </w:r>
      <w:r>
        <w:rPr>
          <w:b/>
          <w:bCs/>
          <w:color w:val="000000"/>
        </w:rPr>
        <w:t>5</w:t>
      </w:r>
      <w:r w:rsidRPr="0012339E">
        <w:rPr>
          <w:b/>
          <w:bCs/>
          <w:color w:val="000000"/>
        </w:rPr>
        <w:t xml:space="preserve"> -</w:t>
      </w:r>
      <w:r w:rsidRPr="0012339E">
        <w:rPr>
          <w:b/>
          <w:bCs/>
          <w:color w:val="000000"/>
        </w:rPr>
        <w:tab/>
      </w:r>
      <w:r>
        <w:rPr>
          <w:b/>
          <w:bCs/>
          <w:color w:val="000000"/>
        </w:rPr>
        <w:t>NEW STANDARDS, INTERPRTETATIONS AND AMENDMENTS ADOPTED FROM 1 APRIL 2024</w:t>
      </w:r>
    </w:p>
    <w:p w14:paraId="38E81EA7" w14:textId="77777777" w:rsidR="00C44869" w:rsidRPr="009B0A8A" w:rsidRDefault="00C44869" w:rsidP="00C44869">
      <w:pPr>
        <w:autoSpaceDE w:val="0"/>
        <w:autoSpaceDN w:val="0"/>
        <w:adjustRightInd w:val="0"/>
        <w:jc w:val="both"/>
        <w:rPr>
          <w:b/>
          <w:bCs/>
          <w:color w:val="000000"/>
        </w:rPr>
      </w:pPr>
    </w:p>
    <w:p w14:paraId="3BECB952" w14:textId="77777777" w:rsidR="00C44869" w:rsidRPr="008D2F5A" w:rsidRDefault="00C44869" w:rsidP="00C44869">
      <w:pPr>
        <w:autoSpaceDE w:val="0"/>
        <w:autoSpaceDN w:val="0"/>
        <w:adjustRightInd w:val="0"/>
        <w:jc w:val="both"/>
        <w:rPr>
          <w:color w:val="000000"/>
          <w:lang w:val="en-US"/>
        </w:rPr>
      </w:pPr>
      <w:r w:rsidRPr="008D2F5A">
        <w:rPr>
          <w:color w:val="000000"/>
          <w:lang w:val="en-US"/>
        </w:rPr>
        <w:t>No standards or Interpretations that came into effect for the first time for the financial year beginning 1 April 2023 have had an impact on the Group.</w:t>
      </w:r>
    </w:p>
    <w:p w14:paraId="038E51AA" w14:textId="77777777" w:rsidR="00C44869" w:rsidRPr="008D2F5A" w:rsidRDefault="00C44869" w:rsidP="00C44869">
      <w:pPr>
        <w:autoSpaceDE w:val="0"/>
        <w:autoSpaceDN w:val="0"/>
        <w:adjustRightInd w:val="0"/>
        <w:jc w:val="both"/>
        <w:rPr>
          <w:b/>
          <w:bCs/>
          <w:color w:val="000000"/>
          <w:lang w:val="en-US"/>
        </w:rPr>
      </w:pPr>
    </w:p>
    <w:p w14:paraId="05DF9631" w14:textId="77777777" w:rsidR="00C44869" w:rsidRPr="009B0A8A" w:rsidRDefault="00C44869" w:rsidP="00C44869">
      <w:pPr>
        <w:autoSpaceDE w:val="0"/>
        <w:autoSpaceDN w:val="0"/>
        <w:adjustRightInd w:val="0"/>
        <w:jc w:val="both"/>
        <w:rPr>
          <w:b/>
          <w:bCs/>
          <w:color w:val="000000"/>
        </w:rPr>
      </w:pPr>
      <w:r w:rsidRPr="009B0A8A">
        <w:rPr>
          <w:b/>
          <w:bCs/>
          <w:color w:val="000000"/>
        </w:rPr>
        <w:lastRenderedPageBreak/>
        <w:t xml:space="preserve">NOTE </w:t>
      </w:r>
      <w:r>
        <w:rPr>
          <w:b/>
          <w:bCs/>
          <w:color w:val="000000"/>
        </w:rPr>
        <w:t>6</w:t>
      </w:r>
      <w:r w:rsidRPr="009B0A8A">
        <w:rPr>
          <w:b/>
          <w:bCs/>
          <w:color w:val="000000"/>
        </w:rPr>
        <w:t xml:space="preserve"> -</w:t>
      </w:r>
      <w:r w:rsidRPr="009B0A8A">
        <w:rPr>
          <w:b/>
          <w:bCs/>
          <w:color w:val="000000"/>
        </w:rPr>
        <w:tab/>
        <w:t>LOSS PER SHARE</w:t>
      </w:r>
    </w:p>
    <w:p w14:paraId="6D918873" w14:textId="77777777" w:rsidR="00C44869" w:rsidRPr="009B0A8A" w:rsidRDefault="00C44869" w:rsidP="00C44869">
      <w:pPr>
        <w:autoSpaceDE w:val="0"/>
        <w:autoSpaceDN w:val="0"/>
        <w:adjustRightInd w:val="0"/>
        <w:jc w:val="both"/>
        <w:rPr>
          <w:b/>
          <w:bCs/>
          <w:color w:val="000000"/>
        </w:rPr>
      </w:pPr>
    </w:p>
    <w:p w14:paraId="032C9BE4" w14:textId="77777777" w:rsidR="00C44869" w:rsidRPr="009B0A8A" w:rsidRDefault="00C44869" w:rsidP="00C44869">
      <w:pPr>
        <w:autoSpaceDE w:val="0"/>
        <w:autoSpaceDN w:val="0"/>
        <w:adjustRightInd w:val="0"/>
        <w:spacing w:after="120"/>
        <w:jc w:val="both"/>
        <w:rPr>
          <w:color w:val="000000"/>
        </w:rPr>
      </w:pPr>
      <w:r w:rsidRPr="009B0A8A">
        <w:rPr>
          <w:color w:val="000000"/>
        </w:rPr>
        <w:t>Basic loss per ordinary share is calculated by dividing the loss attributable to equity holders of the Company by the weighted average number of ordinary shares in issue during the period. Diluted earnings per share is calculated by adjusting the weighted average number of ordinary shares outstanding to assume conversion of all dilutive potential ordinary shares. There are currently no dilutive potential ordinary shares.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1505"/>
        <w:gridCol w:w="235"/>
        <w:gridCol w:w="2002"/>
        <w:gridCol w:w="235"/>
        <w:gridCol w:w="1575"/>
      </w:tblGrid>
      <w:tr w:rsidR="00C44869" w:rsidRPr="009B0A8A" w14:paraId="1582051E" w14:textId="77777777" w:rsidTr="007B3453">
        <w:trPr>
          <w:trHeight w:val="675"/>
        </w:trPr>
        <w:tc>
          <w:tcPr>
            <w:tcW w:w="3628" w:type="dxa"/>
          </w:tcPr>
          <w:p w14:paraId="616533E5" w14:textId="77777777" w:rsidR="00C44869" w:rsidRPr="009B0A8A" w:rsidRDefault="00C44869" w:rsidP="007B3453">
            <w:pPr>
              <w:autoSpaceDE w:val="0"/>
              <w:autoSpaceDN w:val="0"/>
              <w:adjustRightInd w:val="0"/>
              <w:jc w:val="both"/>
              <w:rPr>
                <w:color w:val="000000"/>
                <w:sz w:val="24"/>
                <w:szCs w:val="24"/>
              </w:rPr>
            </w:pPr>
          </w:p>
        </w:tc>
        <w:tc>
          <w:tcPr>
            <w:tcW w:w="1534" w:type="dxa"/>
            <w:vAlign w:val="bottom"/>
          </w:tcPr>
          <w:p w14:paraId="0284CFA2"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Earnings £</w:t>
            </w:r>
          </w:p>
        </w:tc>
        <w:tc>
          <w:tcPr>
            <w:tcW w:w="236" w:type="dxa"/>
          </w:tcPr>
          <w:p w14:paraId="3C1E327F" w14:textId="77777777" w:rsidR="00C44869" w:rsidRPr="009B0A8A" w:rsidRDefault="00C44869" w:rsidP="007B3453">
            <w:pPr>
              <w:autoSpaceDE w:val="0"/>
              <w:autoSpaceDN w:val="0"/>
              <w:adjustRightInd w:val="0"/>
              <w:jc w:val="center"/>
              <w:rPr>
                <w:b/>
                <w:bCs/>
                <w:color w:val="000000"/>
                <w:sz w:val="24"/>
                <w:szCs w:val="24"/>
              </w:rPr>
            </w:pPr>
          </w:p>
        </w:tc>
        <w:tc>
          <w:tcPr>
            <w:tcW w:w="2079" w:type="dxa"/>
            <w:vAlign w:val="bottom"/>
          </w:tcPr>
          <w:p w14:paraId="6D841844"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Weighted average number of shares</w:t>
            </w:r>
          </w:p>
        </w:tc>
        <w:tc>
          <w:tcPr>
            <w:tcW w:w="236" w:type="dxa"/>
          </w:tcPr>
          <w:p w14:paraId="7FA3C948" w14:textId="77777777" w:rsidR="00C44869" w:rsidRPr="009B0A8A" w:rsidRDefault="00C44869" w:rsidP="007B3453">
            <w:pPr>
              <w:autoSpaceDE w:val="0"/>
              <w:autoSpaceDN w:val="0"/>
              <w:adjustRightInd w:val="0"/>
              <w:jc w:val="center"/>
              <w:rPr>
                <w:b/>
                <w:bCs/>
                <w:color w:val="000000"/>
                <w:sz w:val="24"/>
                <w:szCs w:val="24"/>
              </w:rPr>
            </w:pPr>
          </w:p>
        </w:tc>
        <w:tc>
          <w:tcPr>
            <w:tcW w:w="1643" w:type="dxa"/>
            <w:vAlign w:val="bottom"/>
          </w:tcPr>
          <w:p w14:paraId="496DD49A"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Loss per share (pence)</w:t>
            </w:r>
          </w:p>
        </w:tc>
      </w:tr>
      <w:tr w:rsidR="00C44869" w:rsidRPr="009B0A8A" w14:paraId="0C4603AD" w14:textId="77777777" w:rsidTr="007B3453">
        <w:trPr>
          <w:trHeight w:val="296"/>
        </w:trPr>
        <w:tc>
          <w:tcPr>
            <w:tcW w:w="3628" w:type="dxa"/>
          </w:tcPr>
          <w:p w14:paraId="380B1C53" w14:textId="77777777" w:rsidR="00C44869" w:rsidRPr="009B0A8A" w:rsidRDefault="00C44869" w:rsidP="007B3453">
            <w:pPr>
              <w:autoSpaceDE w:val="0"/>
              <w:autoSpaceDN w:val="0"/>
              <w:adjustRightInd w:val="0"/>
              <w:jc w:val="both"/>
              <w:rPr>
                <w:color w:val="000000"/>
                <w:sz w:val="24"/>
                <w:szCs w:val="24"/>
              </w:rPr>
            </w:pPr>
          </w:p>
          <w:p w14:paraId="1D4A807C" w14:textId="77777777" w:rsidR="00C44869" w:rsidRPr="009B0A8A" w:rsidRDefault="00C44869" w:rsidP="007B3453">
            <w:pPr>
              <w:autoSpaceDE w:val="0"/>
              <w:autoSpaceDN w:val="0"/>
              <w:adjustRightInd w:val="0"/>
              <w:jc w:val="both"/>
              <w:rPr>
                <w:color w:val="000000"/>
                <w:sz w:val="24"/>
                <w:szCs w:val="24"/>
              </w:rPr>
            </w:pPr>
            <w:r w:rsidRPr="009B0A8A">
              <w:rPr>
                <w:color w:val="000000"/>
                <w:sz w:val="24"/>
                <w:szCs w:val="24"/>
              </w:rPr>
              <w:t>Loss per share attribut</w:t>
            </w:r>
            <w:r>
              <w:rPr>
                <w:color w:val="000000"/>
                <w:sz w:val="24"/>
                <w:szCs w:val="24"/>
              </w:rPr>
              <w:t>able</w:t>
            </w:r>
            <w:r w:rsidRPr="009B0A8A">
              <w:rPr>
                <w:color w:val="000000"/>
                <w:sz w:val="24"/>
                <w:szCs w:val="24"/>
              </w:rPr>
              <w:t xml:space="preserve"> to ordinary shareholders</w:t>
            </w:r>
            <w:r>
              <w:rPr>
                <w:color w:val="000000"/>
                <w:sz w:val="24"/>
                <w:szCs w:val="24"/>
              </w:rPr>
              <w:t>:</w:t>
            </w:r>
            <w:r w:rsidRPr="009B0A8A">
              <w:rPr>
                <w:color w:val="000000"/>
                <w:sz w:val="24"/>
                <w:szCs w:val="24"/>
              </w:rPr>
              <w:t xml:space="preserve"> </w:t>
            </w:r>
          </w:p>
        </w:tc>
        <w:tc>
          <w:tcPr>
            <w:tcW w:w="1534" w:type="dxa"/>
            <w:vAlign w:val="bottom"/>
          </w:tcPr>
          <w:p w14:paraId="4E2FD0D7" w14:textId="77777777" w:rsidR="00C44869" w:rsidRPr="009B0A8A" w:rsidRDefault="00C44869" w:rsidP="007B3453">
            <w:pPr>
              <w:tabs>
                <w:tab w:val="left" w:pos="58"/>
                <w:tab w:val="decimal" w:pos="1296"/>
              </w:tabs>
              <w:autoSpaceDE w:val="0"/>
              <w:autoSpaceDN w:val="0"/>
              <w:adjustRightInd w:val="0"/>
              <w:rPr>
                <w:color w:val="000000"/>
                <w:sz w:val="24"/>
                <w:szCs w:val="24"/>
              </w:rPr>
            </w:pPr>
          </w:p>
        </w:tc>
        <w:tc>
          <w:tcPr>
            <w:tcW w:w="236" w:type="dxa"/>
          </w:tcPr>
          <w:p w14:paraId="1B6BA000" w14:textId="77777777" w:rsidR="00C44869" w:rsidRPr="009B0A8A" w:rsidRDefault="00C44869" w:rsidP="007B3453">
            <w:pPr>
              <w:tabs>
                <w:tab w:val="left" w:pos="58"/>
              </w:tabs>
              <w:autoSpaceDE w:val="0"/>
              <w:autoSpaceDN w:val="0"/>
              <w:adjustRightInd w:val="0"/>
              <w:rPr>
                <w:color w:val="000000"/>
                <w:sz w:val="24"/>
                <w:szCs w:val="24"/>
              </w:rPr>
            </w:pPr>
          </w:p>
        </w:tc>
        <w:tc>
          <w:tcPr>
            <w:tcW w:w="2079" w:type="dxa"/>
            <w:vAlign w:val="bottom"/>
          </w:tcPr>
          <w:p w14:paraId="0AE5D5F4" w14:textId="77777777" w:rsidR="00C44869" w:rsidRPr="009B0A8A" w:rsidRDefault="00C44869" w:rsidP="007B3453">
            <w:pPr>
              <w:tabs>
                <w:tab w:val="left" w:pos="58"/>
              </w:tabs>
              <w:autoSpaceDE w:val="0"/>
              <w:autoSpaceDN w:val="0"/>
              <w:adjustRightInd w:val="0"/>
              <w:rPr>
                <w:color w:val="000000"/>
                <w:sz w:val="24"/>
                <w:szCs w:val="24"/>
              </w:rPr>
            </w:pPr>
          </w:p>
        </w:tc>
        <w:tc>
          <w:tcPr>
            <w:tcW w:w="236" w:type="dxa"/>
          </w:tcPr>
          <w:p w14:paraId="2E4D9CBA" w14:textId="77777777" w:rsidR="00C44869" w:rsidRPr="009B0A8A" w:rsidRDefault="00C44869" w:rsidP="007B3453">
            <w:pPr>
              <w:tabs>
                <w:tab w:val="left" w:pos="623"/>
              </w:tabs>
              <w:autoSpaceDE w:val="0"/>
              <w:autoSpaceDN w:val="0"/>
              <w:adjustRightInd w:val="0"/>
              <w:rPr>
                <w:color w:val="000000"/>
                <w:sz w:val="24"/>
                <w:szCs w:val="24"/>
              </w:rPr>
            </w:pPr>
          </w:p>
        </w:tc>
        <w:tc>
          <w:tcPr>
            <w:tcW w:w="1643" w:type="dxa"/>
            <w:vAlign w:val="bottom"/>
          </w:tcPr>
          <w:p w14:paraId="7282500D" w14:textId="77777777" w:rsidR="00C44869" w:rsidRPr="009B0A8A" w:rsidRDefault="00C44869" w:rsidP="007B3453">
            <w:pPr>
              <w:tabs>
                <w:tab w:val="left" w:pos="623"/>
              </w:tabs>
              <w:autoSpaceDE w:val="0"/>
              <w:autoSpaceDN w:val="0"/>
              <w:adjustRightInd w:val="0"/>
              <w:rPr>
                <w:color w:val="000000"/>
                <w:sz w:val="24"/>
                <w:szCs w:val="24"/>
              </w:rPr>
            </w:pPr>
          </w:p>
        </w:tc>
      </w:tr>
      <w:tr w:rsidR="00C44869" w:rsidRPr="009B0A8A" w14:paraId="4BC70F3B" w14:textId="77777777" w:rsidTr="007B3453">
        <w:trPr>
          <w:trHeight w:val="296"/>
        </w:trPr>
        <w:tc>
          <w:tcPr>
            <w:tcW w:w="3628" w:type="dxa"/>
          </w:tcPr>
          <w:p w14:paraId="7507CE8C" w14:textId="77777777" w:rsidR="00C44869" w:rsidRPr="007D2F21" w:rsidRDefault="00C44869" w:rsidP="00C44869">
            <w:pPr>
              <w:pStyle w:val="ListParagraph"/>
              <w:numPr>
                <w:ilvl w:val="0"/>
                <w:numId w:val="46"/>
              </w:numPr>
              <w:autoSpaceDE w:val="0"/>
              <w:autoSpaceDN w:val="0"/>
              <w:adjustRightInd w:val="0"/>
              <w:jc w:val="both"/>
              <w:rPr>
                <w:color w:val="000000"/>
              </w:rPr>
            </w:pPr>
            <w:r w:rsidRPr="007D2F21">
              <w:rPr>
                <w:color w:val="000000"/>
              </w:rPr>
              <w:t>Continuing activities</w:t>
            </w:r>
          </w:p>
        </w:tc>
        <w:tc>
          <w:tcPr>
            <w:tcW w:w="1534" w:type="dxa"/>
            <w:vAlign w:val="bottom"/>
          </w:tcPr>
          <w:p w14:paraId="478BD4BC" w14:textId="77777777" w:rsidR="00C44869" w:rsidRPr="009B0A8A" w:rsidRDefault="00C44869" w:rsidP="007B3453">
            <w:pPr>
              <w:tabs>
                <w:tab w:val="left" w:pos="58"/>
                <w:tab w:val="decimal" w:pos="1296"/>
              </w:tabs>
              <w:autoSpaceDE w:val="0"/>
              <w:autoSpaceDN w:val="0"/>
              <w:adjustRightInd w:val="0"/>
              <w:jc w:val="right"/>
              <w:rPr>
                <w:color w:val="000000"/>
              </w:rPr>
            </w:pPr>
            <w:r>
              <w:rPr>
                <w:color w:val="000000"/>
              </w:rPr>
              <w:t>(2,531,565)</w:t>
            </w:r>
          </w:p>
        </w:tc>
        <w:tc>
          <w:tcPr>
            <w:tcW w:w="236" w:type="dxa"/>
          </w:tcPr>
          <w:p w14:paraId="5A6CFE25" w14:textId="77777777" w:rsidR="00C44869" w:rsidRPr="009B0A8A" w:rsidRDefault="00C44869" w:rsidP="007B3453">
            <w:pPr>
              <w:tabs>
                <w:tab w:val="left" w:pos="58"/>
              </w:tabs>
              <w:autoSpaceDE w:val="0"/>
              <w:autoSpaceDN w:val="0"/>
              <w:adjustRightInd w:val="0"/>
              <w:rPr>
                <w:color w:val="000000"/>
              </w:rPr>
            </w:pPr>
          </w:p>
        </w:tc>
        <w:tc>
          <w:tcPr>
            <w:tcW w:w="2079" w:type="dxa"/>
            <w:vAlign w:val="bottom"/>
          </w:tcPr>
          <w:p w14:paraId="225EC715" w14:textId="77777777" w:rsidR="00C44869" w:rsidRPr="009B0A8A" w:rsidRDefault="00C44869" w:rsidP="007B3453">
            <w:pPr>
              <w:tabs>
                <w:tab w:val="left" w:pos="58"/>
              </w:tabs>
              <w:autoSpaceDE w:val="0"/>
              <w:autoSpaceDN w:val="0"/>
              <w:adjustRightInd w:val="0"/>
              <w:jc w:val="right"/>
              <w:rPr>
                <w:color w:val="000000"/>
              </w:rPr>
            </w:pPr>
            <w:r>
              <w:rPr>
                <w:color w:val="000000"/>
              </w:rPr>
              <w:t>506,291,025</w:t>
            </w:r>
          </w:p>
        </w:tc>
        <w:tc>
          <w:tcPr>
            <w:tcW w:w="236" w:type="dxa"/>
          </w:tcPr>
          <w:p w14:paraId="29082ADA" w14:textId="77777777" w:rsidR="00C44869" w:rsidRPr="009B0A8A" w:rsidRDefault="00C44869" w:rsidP="007B3453">
            <w:pPr>
              <w:tabs>
                <w:tab w:val="left" w:pos="623"/>
              </w:tabs>
              <w:autoSpaceDE w:val="0"/>
              <w:autoSpaceDN w:val="0"/>
              <w:adjustRightInd w:val="0"/>
              <w:jc w:val="right"/>
              <w:rPr>
                <w:color w:val="000000"/>
              </w:rPr>
            </w:pPr>
          </w:p>
        </w:tc>
        <w:tc>
          <w:tcPr>
            <w:tcW w:w="1643" w:type="dxa"/>
            <w:vAlign w:val="bottom"/>
          </w:tcPr>
          <w:p w14:paraId="3960A5D8" w14:textId="77777777" w:rsidR="00C44869" w:rsidRPr="009B0A8A" w:rsidRDefault="00C44869" w:rsidP="007B3453">
            <w:pPr>
              <w:tabs>
                <w:tab w:val="left" w:pos="623"/>
              </w:tabs>
              <w:autoSpaceDE w:val="0"/>
              <w:autoSpaceDN w:val="0"/>
              <w:adjustRightInd w:val="0"/>
              <w:jc w:val="right"/>
              <w:rPr>
                <w:color w:val="000000"/>
              </w:rPr>
            </w:pPr>
            <w:r>
              <w:rPr>
                <w:color w:val="000000"/>
              </w:rPr>
              <w:t>(0.50)</w:t>
            </w:r>
          </w:p>
        </w:tc>
      </w:tr>
      <w:tr w:rsidR="00C44869" w:rsidRPr="009B0A8A" w14:paraId="4C36E0B9" w14:textId="77777777" w:rsidTr="007B3453">
        <w:trPr>
          <w:trHeight w:val="296"/>
        </w:trPr>
        <w:tc>
          <w:tcPr>
            <w:tcW w:w="3628" w:type="dxa"/>
          </w:tcPr>
          <w:p w14:paraId="2EA03A61" w14:textId="77777777" w:rsidR="00C44869" w:rsidRPr="007D2F21" w:rsidRDefault="00C44869" w:rsidP="00C44869">
            <w:pPr>
              <w:pStyle w:val="ListParagraph"/>
              <w:numPr>
                <w:ilvl w:val="0"/>
                <w:numId w:val="46"/>
              </w:numPr>
              <w:autoSpaceDE w:val="0"/>
              <w:autoSpaceDN w:val="0"/>
              <w:adjustRightInd w:val="0"/>
              <w:jc w:val="both"/>
              <w:rPr>
                <w:color w:val="000000"/>
              </w:rPr>
            </w:pPr>
            <w:r w:rsidRPr="007D2F21">
              <w:rPr>
                <w:color w:val="000000"/>
              </w:rPr>
              <w:t>Discontinued activities</w:t>
            </w:r>
          </w:p>
        </w:tc>
        <w:tc>
          <w:tcPr>
            <w:tcW w:w="1534" w:type="dxa"/>
            <w:tcBorders>
              <w:bottom w:val="single" w:sz="4" w:space="0" w:color="auto"/>
            </w:tcBorders>
            <w:vAlign w:val="bottom"/>
          </w:tcPr>
          <w:p w14:paraId="53EC5CF3" w14:textId="77777777" w:rsidR="00C44869" w:rsidRPr="009B0A8A" w:rsidRDefault="00C44869" w:rsidP="007B3453">
            <w:pPr>
              <w:tabs>
                <w:tab w:val="left" w:pos="58"/>
                <w:tab w:val="decimal" w:pos="1296"/>
              </w:tabs>
              <w:autoSpaceDE w:val="0"/>
              <w:autoSpaceDN w:val="0"/>
              <w:adjustRightInd w:val="0"/>
              <w:jc w:val="right"/>
              <w:rPr>
                <w:color w:val="000000"/>
              </w:rPr>
            </w:pPr>
            <w:r>
              <w:rPr>
                <w:color w:val="000000"/>
              </w:rPr>
              <w:t>(43,875)</w:t>
            </w:r>
          </w:p>
        </w:tc>
        <w:tc>
          <w:tcPr>
            <w:tcW w:w="236" w:type="dxa"/>
          </w:tcPr>
          <w:p w14:paraId="2DB6BB95" w14:textId="77777777" w:rsidR="00C44869" w:rsidRPr="009B0A8A" w:rsidRDefault="00C44869" w:rsidP="007B3453">
            <w:pPr>
              <w:tabs>
                <w:tab w:val="left" w:pos="58"/>
              </w:tabs>
              <w:autoSpaceDE w:val="0"/>
              <w:autoSpaceDN w:val="0"/>
              <w:adjustRightInd w:val="0"/>
              <w:rPr>
                <w:color w:val="000000"/>
              </w:rPr>
            </w:pPr>
          </w:p>
        </w:tc>
        <w:tc>
          <w:tcPr>
            <w:tcW w:w="2079" w:type="dxa"/>
            <w:tcBorders>
              <w:bottom w:val="single" w:sz="4" w:space="0" w:color="auto"/>
            </w:tcBorders>
            <w:vAlign w:val="bottom"/>
          </w:tcPr>
          <w:p w14:paraId="56470CC8" w14:textId="77777777" w:rsidR="00C44869" w:rsidRPr="009B0A8A" w:rsidRDefault="00C44869" w:rsidP="007B3453">
            <w:pPr>
              <w:tabs>
                <w:tab w:val="left" w:pos="58"/>
              </w:tabs>
              <w:autoSpaceDE w:val="0"/>
              <w:autoSpaceDN w:val="0"/>
              <w:adjustRightInd w:val="0"/>
              <w:jc w:val="right"/>
              <w:rPr>
                <w:color w:val="000000"/>
              </w:rPr>
            </w:pPr>
            <w:r>
              <w:rPr>
                <w:color w:val="000000"/>
              </w:rPr>
              <w:t>506,292,025</w:t>
            </w:r>
          </w:p>
        </w:tc>
        <w:tc>
          <w:tcPr>
            <w:tcW w:w="236" w:type="dxa"/>
          </w:tcPr>
          <w:p w14:paraId="7EC243B2" w14:textId="77777777" w:rsidR="00C44869" w:rsidRPr="009B0A8A" w:rsidRDefault="00C44869" w:rsidP="007B3453">
            <w:pPr>
              <w:tabs>
                <w:tab w:val="left" w:pos="623"/>
              </w:tabs>
              <w:autoSpaceDE w:val="0"/>
              <w:autoSpaceDN w:val="0"/>
              <w:adjustRightInd w:val="0"/>
              <w:jc w:val="right"/>
              <w:rPr>
                <w:color w:val="000000"/>
              </w:rPr>
            </w:pPr>
          </w:p>
        </w:tc>
        <w:tc>
          <w:tcPr>
            <w:tcW w:w="1643" w:type="dxa"/>
            <w:tcBorders>
              <w:bottom w:val="single" w:sz="4" w:space="0" w:color="auto"/>
            </w:tcBorders>
            <w:vAlign w:val="bottom"/>
          </w:tcPr>
          <w:p w14:paraId="7DAC0B35" w14:textId="77777777" w:rsidR="00C44869" w:rsidRPr="009B0A8A" w:rsidRDefault="00C44869" w:rsidP="007B3453">
            <w:pPr>
              <w:tabs>
                <w:tab w:val="left" w:pos="623"/>
              </w:tabs>
              <w:autoSpaceDE w:val="0"/>
              <w:autoSpaceDN w:val="0"/>
              <w:adjustRightInd w:val="0"/>
              <w:jc w:val="right"/>
              <w:rPr>
                <w:color w:val="000000"/>
              </w:rPr>
            </w:pPr>
            <w:r>
              <w:rPr>
                <w:color w:val="000000"/>
              </w:rPr>
              <w:t>(0.01)</w:t>
            </w:r>
          </w:p>
        </w:tc>
      </w:tr>
      <w:tr w:rsidR="00C44869" w:rsidRPr="009B0A8A" w14:paraId="71AB3882" w14:textId="77777777" w:rsidTr="007B3453">
        <w:trPr>
          <w:trHeight w:val="296"/>
        </w:trPr>
        <w:tc>
          <w:tcPr>
            <w:tcW w:w="3628" w:type="dxa"/>
          </w:tcPr>
          <w:p w14:paraId="7057E568" w14:textId="77777777" w:rsidR="00C44869" w:rsidRDefault="00C44869" w:rsidP="007B3453">
            <w:pPr>
              <w:autoSpaceDE w:val="0"/>
              <w:autoSpaceDN w:val="0"/>
              <w:adjustRightInd w:val="0"/>
              <w:jc w:val="both"/>
              <w:rPr>
                <w:color w:val="000000"/>
              </w:rPr>
            </w:pPr>
          </w:p>
        </w:tc>
        <w:tc>
          <w:tcPr>
            <w:tcW w:w="1534" w:type="dxa"/>
            <w:tcBorders>
              <w:top w:val="single" w:sz="4" w:space="0" w:color="auto"/>
              <w:bottom w:val="single" w:sz="4" w:space="0" w:color="auto"/>
            </w:tcBorders>
            <w:vAlign w:val="bottom"/>
          </w:tcPr>
          <w:p w14:paraId="7708BC91" w14:textId="77777777" w:rsidR="00C44869" w:rsidRPr="009B0A8A" w:rsidRDefault="00C44869" w:rsidP="007B3453">
            <w:pPr>
              <w:tabs>
                <w:tab w:val="left" w:pos="58"/>
                <w:tab w:val="decimal" w:pos="1296"/>
              </w:tabs>
              <w:autoSpaceDE w:val="0"/>
              <w:autoSpaceDN w:val="0"/>
              <w:adjustRightInd w:val="0"/>
              <w:jc w:val="right"/>
              <w:rPr>
                <w:color w:val="000000"/>
              </w:rPr>
            </w:pPr>
            <w:r>
              <w:rPr>
                <w:color w:val="000000"/>
              </w:rPr>
              <w:t>(2,575,440)</w:t>
            </w:r>
          </w:p>
        </w:tc>
        <w:tc>
          <w:tcPr>
            <w:tcW w:w="236" w:type="dxa"/>
          </w:tcPr>
          <w:p w14:paraId="2536F532" w14:textId="77777777" w:rsidR="00C44869" w:rsidRPr="009B0A8A" w:rsidRDefault="00C44869" w:rsidP="007B3453">
            <w:pPr>
              <w:tabs>
                <w:tab w:val="left" w:pos="58"/>
              </w:tabs>
              <w:autoSpaceDE w:val="0"/>
              <w:autoSpaceDN w:val="0"/>
              <w:adjustRightInd w:val="0"/>
              <w:rPr>
                <w:color w:val="000000"/>
              </w:rPr>
            </w:pPr>
          </w:p>
        </w:tc>
        <w:tc>
          <w:tcPr>
            <w:tcW w:w="2079" w:type="dxa"/>
            <w:tcBorders>
              <w:top w:val="single" w:sz="4" w:space="0" w:color="auto"/>
              <w:bottom w:val="single" w:sz="4" w:space="0" w:color="auto"/>
            </w:tcBorders>
            <w:vAlign w:val="bottom"/>
          </w:tcPr>
          <w:p w14:paraId="48695601" w14:textId="77777777" w:rsidR="00C44869" w:rsidRPr="009B0A8A" w:rsidRDefault="00C44869" w:rsidP="007B3453">
            <w:pPr>
              <w:tabs>
                <w:tab w:val="left" w:pos="58"/>
              </w:tabs>
              <w:autoSpaceDE w:val="0"/>
              <w:autoSpaceDN w:val="0"/>
              <w:adjustRightInd w:val="0"/>
              <w:jc w:val="right"/>
              <w:rPr>
                <w:color w:val="000000"/>
              </w:rPr>
            </w:pPr>
            <w:r>
              <w:rPr>
                <w:color w:val="000000"/>
              </w:rPr>
              <w:t>506,292,052</w:t>
            </w:r>
          </w:p>
        </w:tc>
        <w:tc>
          <w:tcPr>
            <w:tcW w:w="236" w:type="dxa"/>
          </w:tcPr>
          <w:p w14:paraId="0C155236" w14:textId="77777777" w:rsidR="00C44869" w:rsidRPr="009B0A8A" w:rsidRDefault="00C44869" w:rsidP="007B3453">
            <w:pPr>
              <w:tabs>
                <w:tab w:val="left" w:pos="623"/>
              </w:tabs>
              <w:autoSpaceDE w:val="0"/>
              <w:autoSpaceDN w:val="0"/>
              <w:adjustRightInd w:val="0"/>
              <w:jc w:val="right"/>
              <w:rPr>
                <w:color w:val="000000"/>
              </w:rPr>
            </w:pPr>
          </w:p>
        </w:tc>
        <w:tc>
          <w:tcPr>
            <w:tcW w:w="1643" w:type="dxa"/>
            <w:tcBorders>
              <w:top w:val="single" w:sz="4" w:space="0" w:color="auto"/>
              <w:bottom w:val="single" w:sz="4" w:space="0" w:color="auto"/>
            </w:tcBorders>
            <w:vAlign w:val="bottom"/>
          </w:tcPr>
          <w:p w14:paraId="28FFA009" w14:textId="77777777" w:rsidR="00C44869" w:rsidRPr="009B0A8A" w:rsidRDefault="00C44869" w:rsidP="007B3453">
            <w:pPr>
              <w:tabs>
                <w:tab w:val="left" w:pos="623"/>
              </w:tabs>
              <w:autoSpaceDE w:val="0"/>
              <w:autoSpaceDN w:val="0"/>
              <w:adjustRightInd w:val="0"/>
              <w:jc w:val="right"/>
              <w:rPr>
                <w:color w:val="000000"/>
              </w:rPr>
            </w:pPr>
            <w:r>
              <w:rPr>
                <w:color w:val="000000"/>
              </w:rPr>
              <w:t>(0.51)</w:t>
            </w:r>
          </w:p>
        </w:tc>
      </w:tr>
      <w:tr w:rsidR="00C44869" w:rsidRPr="009B0A8A" w14:paraId="474D19E8" w14:textId="77777777" w:rsidTr="007B3453">
        <w:trPr>
          <w:trHeight w:val="296"/>
        </w:trPr>
        <w:tc>
          <w:tcPr>
            <w:tcW w:w="3628" w:type="dxa"/>
          </w:tcPr>
          <w:p w14:paraId="50A3B8C1" w14:textId="77777777" w:rsidR="00C44869" w:rsidRPr="009B0A8A" w:rsidRDefault="00C44869" w:rsidP="007B3453">
            <w:pPr>
              <w:autoSpaceDE w:val="0"/>
              <w:autoSpaceDN w:val="0"/>
              <w:adjustRightInd w:val="0"/>
              <w:jc w:val="both"/>
              <w:rPr>
                <w:color w:val="000000"/>
              </w:rPr>
            </w:pPr>
          </w:p>
        </w:tc>
        <w:tc>
          <w:tcPr>
            <w:tcW w:w="1534" w:type="dxa"/>
            <w:tcBorders>
              <w:top w:val="single" w:sz="4" w:space="0" w:color="auto"/>
            </w:tcBorders>
            <w:vAlign w:val="bottom"/>
          </w:tcPr>
          <w:p w14:paraId="33F3A2C0" w14:textId="77777777" w:rsidR="00C44869" w:rsidRPr="009B0A8A" w:rsidRDefault="00C44869" w:rsidP="007B3453">
            <w:pPr>
              <w:tabs>
                <w:tab w:val="left" w:pos="58"/>
                <w:tab w:val="decimal" w:pos="1296"/>
              </w:tabs>
              <w:autoSpaceDE w:val="0"/>
              <w:autoSpaceDN w:val="0"/>
              <w:adjustRightInd w:val="0"/>
              <w:rPr>
                <w:color w:val="000000"/>
              </w:rPr>
            </w:pPr>
          </w:p>
        </w:tc>
        <w:tc>
          <w:tcPr>
            <w:tcW w:w="236" w:type="dxa"/>
          </w:tcPr>
          <w:p w14:paraId="24B7630A" w14:textId="77777777" w:rsidR="00C44869" w:rsidRPr="009B0A8A" w:rsidRDefault="00C44869" w:rsidP="007B3453">
            <w:pPr>
              <w:tabs>
                <w:tab w:val="left" w:pos="58"/>
              </w:tabs>
              <w:autoSpaceDE w:val="0"/>
              <w:autoSpaceDN w:val="0"/>
              <w:adjustRightInd w:val="0"/>
              <w:rPr>
                <w:color w:val="000000"/>
              </w:rPr>
            </w:pPr>
          </w:p>
        </w:tc>
        <w:tc>
          <w:tcPr>
            <w:tcW w:w="2079" w:type="dxa"/>
            <w:tcBorders>
              <w:top w:val="single" w:sz="4" w:space="0" w:color="auto"/>
            </w:tcBorders>
            <w:vAlign w:val="bottom"/>
          </w:tcPr>
          <w:p w14:paraId="2A5F2E75" w14:textId="77777777" w:rsidR="00C44869" w:rsidRPr="009B0A8A" w:rsidRDefault="00C44869" w:rsidP="007B3453">
            <w:pPr>
              <w:tabs>
                <w:tab w:val="left" w:pos="58"/>
              </w:tabs>
              <w:autoSpaceDE w:val="0"/>
              <w:autoSpaceDN w:val="0"/>
              <w:adjustRightInd w:val="0"/>
              <w:rPr>
                <w:color w:val="000000"/>
              </w:rPr>
            </w:pPr>
          </w:p>
        </w:tc>
        <w:tc>
          <w:tcPr>
            <w:tcW w:w="236" w:type="dxa"/>
          </w:tcPr>
          <w:p w14:paraId="2085FE58" w14:textId="77777777" w:rsidR="00C44869" w:rsidRPr="009B0A8A" w:rsidRDefault="00C44869" w:rsidP="007B3453">
            <w:pPr>
              <w:tabs>
                <w:tab w:val="left" w:pos="623"/>
              </w:tabs>
              <w:autoSpaceDE w:val="0"/>
              <w:autoSpaceDN w:val="0"/>
              <w:adjustRightInd w:val="0"/>
              <w:rPr>
                <w:color w:val="000000"/>
              </w:rPr>
            </w:pPr>
          </w:p>
        </w:tc>
        <w:tc>
          <w:tcPr>
            <w:tcW w:w="1643" w:type="dxa"/>
            <w:tcBorders>
              <w:top w:val="single" w:sz="4" w:space="0" w:color="auto"/>
            </w:tcBorders>
            <w:vAlign w:val="bottom"/>
          </w:tcPr>
          <w:p w14:paraId="4F7B4684" w14:textId="77777777" w:rsidR="00C44869" w:rsidRPr="009B0A8A" w:rsidRDefault="00C44869" w:rsidP="007B3453">
            <w:pPr>
              <w:tabs>
                <w:tab w:val="left" w:pos="623"/>
              </w:tabs>
              <w:autoSpaceDE w:val="0"/>
              <w:autoSpaceDN w:val="0"/>
              <w:adjustRightInd w:val="0"/>
              <w:rPr>
                <w:color w:val="000000"/>
              </w:rPr>
            </w:pPr>
          </w:p>
        </w:tc>
      </w:tr>
    </w:tbl>
    <w:p w14:paraId="73E7BEF5" w14:textId="77777777" w:rsidR="00C44869" w:rsidRPr="009B0A8A" w:rsidRDefault="00C44869" w:rsidP="00C44869">
      <w:pPr>
        <w:autoSpaceDE w:val="0"/>
        <w:autoSpaceDN w:val="0"/>
        <w:adjustRightInd w:val="0"/>
        <w:jc w:val="both"/>
        <w:rPr>
          <w:b/>
          <w:bCs/>
          <w:color w:val="000000"/>
        </w:rPr>
      </w:pPr>
      <w:r w:rsidRPr="009B0A8A">
        <w:rPr>
          <w:b/>
          <w:bCs/>
          <w:color w:val="000000"/>
        </w:rPr>
        <w:t xml:space="preserve">NOTE </w:t>
      </w:r>
      <w:r>
        <w:rPr>
          <w:b/>
          <w:bCs/>
          <w:color w:val="000000"/>
        </w:rPr>
        <w:t>7</w:t>
      </w:r>
      <w:r w:rsidRPr="009B0A8A">
        <w:rPr>
          <w:b/>
          <w:bCs/>
          <w:color w:val="000000"/>
        </w:rPr>
        <w:t xml:space="preserve"> -</w:t>
      </w:r>
      <w:r w:rsidRPr="009B0A8A">
        <w:rPr>
          <w:b/>
          <w:bCs/>
          <w:color w:val="000000"/>
        </w:rPr>
        <w:tab/>
        <w:t>INVENTORIES</w:t>
      </w:r>
    </w:p>
    <w:p w14:paraId="1C95A981" w14:textId="77777777" w:rsidR="00C44869" w:rsidRPr="009B0A8A" w:rsidRDefault="00C44869" w:rsidP="00C44869">
      <w:pPr>
        <w:autoSpaceDE w:val="0"/>
        <w:autoSpaceDN w:val="0"/>
        <w:adjustRightInd w:val="0"/>
        <w:jc w:val="both"/>
        <w:rPr>
          <w:b/>
          <w:bCs/>
          <w:color w:val="000000"/>
        </w:rPr>
      </w:pPr>
    </w:p>
    <w:p w14:paraId="34946DF1" w14:textId="77777777" w:rsidR="00C44869" w:rsidRPr="009B0A8A" w:rsidRDefault="00C44869" w:rsidP="00C44869">
      <w:pPr>
        <w:autoSpaceDE w:val="0"/>
        <w:autoSpaceDN w:val="0"/>
        <w:adjustRightInd w:val="0"/>
        <w:jc w:val="both"/>
        <w:rPr>
          <w:color w:val="000000"/>
        </w:rPr>
      </w:pPr>
      <w:r w:rsidRPr="009B0A8A">
        <w:rPr>
          <w:color w:val="000000"/>
        </w:rPr>
        <w:t xml:space="preserve">Inventories comprise finished products and raw materials either developed by the Group or bought in from third parties. All inventory items are stated at their cost of production or acquisition, or at net realisable value if this is lower. There </w:t>
      </w:r>
      <w:r>
        <w:rPr>
          <w:color w:val="000000"/>
        </w:rPr>
        <w:t>were</w:t>
      </w:r>
      <w:r w:rsidRPr="009B0A8A">
        <w:rPr>
          <w:color w:val="000000"/>
        </w:rPr>
        <w:t xml:space="preserve"> no biological assets being grown for the six month periods ended September 30, </w:t>
      </w:r>
      <w:proofErr w:type="gramStart"/>
      <w:r w:rsidRPr="009B0A8A">
        <w:rPr>
          <w:color w:val="000000"/>
        </w:rPr>
        <w:t>202</w:t>
      </w:r>
      <w:r>
        <w:rPr>
          <w:color w:val="000000"/>
        </w:rPr>
        <w:t>4</w:t>
      </w:r>
      <w:proofErr w:type="gramEnd"/>
      <w:r w:rsidRPr="009B0A8A">
        <w:rPr>
          <w:color w:val="000000"/>
        </w:rPr>
        <w:t xml:space="preserve"> and 202</w:t>
      </w:r>
      <w:r>
        <w:rPr>
          <w:color w:val="000000"/>
        </w:rPr>
        <w:t>3</w:t>
      </w:r>
      <w:r w:rsidRPr="009B0A8A">
        <w:rPr>
          <w:color w:val="000000"/>
        </w:rPr>
        <w:t xml:space="preserve">. </w:t>
      </w:r>
    </w:p>
    <w:p w14:paraId="3D4A733E" w14:textId="77777777" w:rsidR="00C44869" w:rsidRPr="009B0A8A" w:rsidRDefault="00C44869" w:rsidP="00C44869">
      <w:pPr>
        <w:autoSpaceDE w:val="0"/>
        <w:autoSpaceDN w:val="0"/>
        <w:adjustRightInd w:val="0"/>
        <w:jc w:val="both"/>
        <w:rPr>
          <w:b/>
          <w:bCs/>
          <w:color w:val="000000"/>
          <w:highlight w:val="yellow"/>
        </w:rPr>
      </w:pPr>
    </w:p>
    <w:p w14:paraId="6C33F04E" w14:textId="77777777" w:rsidR="00C44869" w:rsidRPr="009B0A8A" w:rsidRDefault="00C44869" w:rsidP="00C44869">
      <w:pPr>
        <w:autoSpaceDE w:val="0"/>
        <w:autoSpaceDN w:val="0"/>
        <w:adjustRightInd w:val="0"/>
        <w:jc w:val="both"/>
        <w:rPr>
          <w:color w:val="000000"/>
        </w:rPr>
      </w:pPr>
      <w:r w:rsidRPr="009B0A8A">
        <w:rPr>
          <w:b/>
          <w:bCs/>
          <w:color w:val="000000"/>
        </w:rPr>
        <w:t xml:space="preserve">NOTE </w:t>
      </w:r>
      <w:r>
        <w:rPr>
          <w:b/>
          <w:bCs/>
          <w:color w:val="000000"/>
        </w:rPr>
        <w:t>8</w:t>
      </w:r>
      <w:r w:rsidRPr="009B0A8A">
        <w:rPr>
          <w:b/>
          <w:bCs/>
          <w:color w:val="000000"/>
        </w:rPr>
        <w:t xml:space="preserve"> -</w:t>
      </w:r>
      <w:r w:rsidRPr="009B0A8A">
        <w:rPr>
          <w:b/>
          <w:bCs/>
          <w:color w:val="000000"/>
        </w:rPr>
        <w:tab/>
        <w:t>INTANGIBLE ASSETS</w:t>
      </w:r>
    </w:p>
    <w:p w14:paraId="1F96D7EC" w14:textId="77777777" w:rsidR="00C44869" w:rsidRPr="009B0A8A" w:rsidRDefault="00C44869" w:rsidP="00C44869">
      <w:pPr>
        <w:autoSpaceDE w:val="0"/>
        <w:autoSpaceDN w:val="0"/>
        <w:adjustRightInd w:val="0"/>
        <w:jc w:val="both"/>
        <w:rPr>
          <w:b/>
          <w:bCs/>
          <w:color w:val="000000"/>
        </w:rPr>
      </w:pPr>
    </w:p>
    <w:p w14:paraId="78E64EAD" w14:textId="77777777" w:rsidR="00C44869" w:rsidRPr="009B0A8A" w:rsidRDefault="00C44869" w:rsidP="00C44869">
      <w:pPr>
        <w:autoSpaceDE w:val="0"/>
        <w:autoSpaceDN w:val="0"/>
        <w:adjustRightInd w:val="0"/>
        <w:jc w:val="both"/>
        <w:rPr>
          <w:color w:val="000000"/>
        </w:rPr>
      </w:pPr>
      <w:r w:rsidRPr="009B0A8A">
        <w:rPr>
          <w:color w:val="000000"/>
        </w:rPr>
        <w:t xml:space="preserve">The Group purchased the domain name </w:t>
      </w:r>
      <w:r>
        <w:rPr>
          <w:color w:val="000000"/>
        </w:rPr>
        <w:t>c</w:t>
      </w:r>
      <w:r w:rsidRPr="009B0A8A">
        <w:rPr>
          <w:color w:val="000000"/>
        </w:rPr>
        <w:t>hill.com on 22 June 2021. This domain name is the only</w:t>
      </w:r>
      <w:r>
        <w:rPr>
          <w:color w:val="000000"/>
        </w:rPr>
        <w:t xml:space="preserve"> </w:t>
      </w:r>
      <w:r w:rsidRPr="009B0A8A">
        <w:rPr>
          <w:color w:val="000000"/>
        </w:rPr>
        <w:t>intangible asset held by the Group.</w:t>
      </w:r>
    </w:p>
    <w:p w14:paraId="366529CD" w14:textId="77777777" w:rsidR="00C44869" w:rsidRPr="0091411F" w:rsidRDefault="00C44869" w:rsidP="00C44869">
      <w:pPr>
        <w:autoSpaceDE w:val="0"/>
        <w:autoSpaceDN w:val="0"/>
        <w:adjustRightInd w:val="0"/>
        <w:jc w:val="both"/>
        <w:rPr>
          <w:color w:val="000000"/>
        </w:rPr>
      </w:pPr>
    </w:p>
    <w:p w14:paraId="620166FA" w14:textId="77777777" w:rsidR="00C44869" w:rsidRDefault="00C44869" w:rsidP="00C44869">
      <w:pPr>
        <w:autoSpaceDE w:val="0"/>
        <w:autoSpaceDN w:val="0"/>
        <w:adjustRightInd w:val="0"/>
        <w:jc w:val="both"/>
        <w:rPr>
          <w:color w:val="000000"/>
        </w:rPr>
      </w:pPr>
      <w:r w:rsidRPr="0091411F">
        <w:rPr>
          <w:color w:val="000000"/>
        </w:rPr>
        <w:t>This domain name is stated in the accounts at its cost of acquisition less a provision for amortisation. The domain name is amortised over 25 years using the straight line method. The balance as of 30 September 2024 was £</w:t>
      </w:r>
      <w:proofErr w:type="gramStart"/>
      <w:r w:rsidRPr="0091411F">
        <w:rPr>
          <w:color w:val="000000"/>
        </w:rPr>
        <w:t>1,109,737  (</w:t>
      </w:r>
      <w:proofErr w:type="gramEnd"/>
      <w:r w:rsidRPr="0091411F">
        <w:rPr>
          <w:color w:val="000000"/>
        </w:rPr>
        <w:t>31 March 2024: £1,135,497. The amortisation expense for the period ended 30 September 2024 is £25,760 (six months ended 30 September 2023: £26,201. The change in the balance of the intangible asset from 31 March 2024 to 30 September 2024 is reflective of amortisation expense.</w:t>
      </w:r>
    </w:p>
    <w:p w14:paraId="6AD865ED" w14:textId="77777777" w:rsidR="00C44869" w:rsidRPr="00FB37AC" w:rsidRDefault="00C44869" w:rsidP="00C44869">
      <w:pPr>
        <w:autoSpaceDE w:val="0"/>
        <w:autoSpaceDN w:val="0"/>
        <w:adjustRightInd w:val="0"/>
        <w:jc w:val="both"/>
        <w:rPr>
          <w:color w:val="000000"/>
        </w:rPr>
      </w:pPr>
    </w:p>
    <w:p w14:paraId="0ACB1E86" w14:textId="77777777" w:rsidR="00C44869" w:rsidRPr="009B0A8A" w:rsidRDefault="00C44869" w:rsidP="00C44869">
      <w:pPr>
        <w:autoSpaceDE w:val="0"/>
        <w:autoSpaceDN w:val="0"/>
        <w:adjustRightInd w:val="0"/>
        <w:jc w:val="both"/>
        <w:rPr>
          <w:b/>
          <w:bCs/>
          <w:color w:val="000000"/>
        </w:rPr>
      </w:pPr>
      <w:r w:rsidRPr="009B0A8A">
        <w:rPr>
          <w:b/>
          <w:bCs/>
          <w:color w:val="000000"/>
        </w:rPr>
        <w:t xml:space="preserve">NOTE </w:t>
      </w:r>
      <w:r>
        <w:rPr>
          <w:b/>
          <w:bCs/>
          <w:color w:val="000000"/>
        </w:rPr>
        <w:t>9</w:t>
      </w:r>
      <w:r w:rsidRPr="009B0A8A">
        <w:rPr>
          <w:b/>
          <w:bCs/>
          <w:color w:val="000000"/>
        </w:rPr>
        <w:t xml:space="preserve"> -</w:t>
      </w:r>
      <w:r w:rsidRPr="009B0A8A">
        <w:rPr>
          <w:b/>
          <w:bCs/>
          <w:color w:val="000000"/>
        </w:rPr>
        <w:tab/>
        <w:t>SHARE CAPITAL &amp; RESERVES</w:t>
      </w:r>
    </w:p>
    <w:p w14:paraId="2D5EC409" w14:textId="77777777" w:rsidR="00C44869" w:rsidRPr="009B0A8A" w:rsidRDefault="00C44869" w:rsidP="00C44869">
      <w:pPr>
        <w:autoSpaceDE w:val="0"/>
        <w:autoSpaceDN w:val="0"/>
        <w:adjustRightInd w:val="0"/>
        <w:jc w:val="both"/>
        <w:rPr>
          <w:b/>
          <w:bCs/>
          <w:color w:val="000000"/>
        </w:rPr>
      </w:pPr>
    </w:p>
    <w:p w14:paraId="27936071" w14:textId="77777777" w:rsidR="00C44869" w:rsidRPr="009B0A8A" w:rsidRDefault="00C44869" w:rsidP="00C44869">
      <w:pPr>
        <w:autoSpaceDE w:val="0"/>
        <w:autoSpaceDN w:val="0"/>
        <w:adjustRightInd w:val="0"/>
        <w:spacing w:after="120"/>
        <w:jc w:val="both"/>
        <w:rPr>
          <w:b/>
          <w:bCs/>
          <w:color w:val="000000"/>
        </w:rPr>
      </w:pPr>
      <w:r w:rsidRPr="009B0A8A">
        <w:rPr>
          <w:color w:val="000000"/>
        </w:rPr>
        <w:t>Allotted, called up and fully paid Ordinary shares of £0.01 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5"/>
        <w:gridCol w:w="1710"/>
        <w:gridCol w:w="236"/>
        <w:gridCol w:w="1620"/>
        <w:gridCol w:w="236"/>
        <w:gridCol w:w="1705"/>
      </w:tblGrid>
      <w:tr w:rsidR="00C44869" w:rsidRPr="009B0A8A" w14:paraId="78A0D152" w14:textId="77777777" w:rsidTr="007B3453">
        <w:trPr>
          <w:trHeight w:val="350"/>
          <w:jc w:val="center"/>
        </w:trPr>
        <w:tc>
          <w:tcPr>
            <w:tcW w:w="3775" w:type="dxa"/>
          </w:tcPr>
          <w:p w14:paraId="5BE79A5A" w14:textId="77777777" w:rsidR="00C44869" w:rsidRPr="009B0A8A" w:rsidRDefault="00C44869" w:rsidP="007B3453">
            <w:pPr>
              <w:autoSpaceDE w:val="0"/>
              <w:autoSpaceDN w:val="0"/>
              <w:adjustRightInd w:val="0"/>
              <w:jc w:val="both"/>
              <w:rPr>
                <w:color w:val="000000"/>
                <w:sz w:val="24"/>
                <w:szCs w:val="24"/>
              </w:rPr>
            </w:pPr>
          </w:p>
        </w:tc>
        <w:tc>
          <w:tcPr>
            <w:tcW w:w="1710" w:type="dxa"/>
            <w:tcBorders>
              <w:bottom w:val="single" w:sz="4" w:space="0" w:color="auto"/>
            </w:tcBorders>
            <w:vAlign w:val="bottom"/>
          </w:tcPr>
          <w:p w14:paraId="5F195D96"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Number of Shares</w:t>
            </w:r>
          </w:p>
        </w:tc>
        <w:tc>
          <w:tcPr>
            <w:tcW w:w="236" w:type="dxa"/>
            <w:vAlign w:val="bottom"/>
          </w:tcPr>
          <w:p w14:paraId="6B283D19" w14:textId="77777777" w:rsidR="00C44869" w:rsidRPr="009B0A8A" w:rsidRDefault="00C44869" w:rsidP="007B3453">
            <w:pPr>
              <w:autoSpaceDE w:val="0"/>
              <w:autoSpaceDN w:val="0"/>
              <w:adjustRightInd w:val="0"/>
              <w:jc w:val="center"/>
              <w:rPr>
                <w:b/>
                <w:bCs/>
                <w:color w:val="000000"/>
                <w:sz w:val="24"/>
                <w:szCs w:val="24"/>
              </w:rPr>
            </w:pPr>
          </w:p>
        </w:tc>
        <w:tc>
          <w:tcPr>
            <w:tcW w:w="1620" w:type="dxa"/>
            <w:tcBorders>
              <w:bottom w:val="single" w:sz="4" w:space="0" w:color="auto"/>
            </w:tcBorders>
            <w:vAlign w:val="bottom"/>
          </w:tcPr>
          <w:p w14:paraId="01BCE0B9"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Share Capital</w:t>
            </w:r>
          </w:p>
          <w:p w14:paraId="4605B741"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w:t>
            </w:r>
          </w:p>
        </w:tc>
        <w:tc>
          <w:tcPr>
            <w:tcW w:w="236" w:type="dxa"/>
            <w:vAlign w:val="bottom"/>
          </w:tcPr>
          <w:p w14:paraId="64540C3C" w14:textId="77777777" w:rsidR="00C44869" w:rsidRPr="009B0A8A" w:rsidRDefault="00C44869" w:rsidP="007B3453">
            <w:pPr>
              <w:autoSpaceDE w:val="0"/>
              <w:autoSpaceDN w:val="0"/>
              <w:adjustRightInd w:val="0"/>
              <w:jc w:val="center"/>
              <w:rPr>
                <w:b/>
                <w:bCs/>
                <w:color w:val="000000"/>
                <w:sz w:val="24"/>
                <w:szCs w:val="24"/>
              </w:rPr>
            </w:pPr>
          </w:p>
        </w:tc>
        <w:tc>
          <w:tcPr>
            <w:tcW w:w="1705" w:type="dxa"/>
            <w:tcBorders>
              <w:bottom w:val="single" w:sz="4" w:space="0" w:color="auto"/>
            </w:tcBorders>
            <w:vAlign w:val="bottom"/>
          </w:tcPr>
          <w:p w14:paraId="07663F8E" w14:textId="77777777" w:rsidR="00C44869" w:rsidRPr="009B0A8A" w:rsidRDefault="00C44869" w:rsidP="007B3453">
            <w:pPr>
              <w:autoSpaceDE w:val="0"/>
              <w:autoSpaceDN w:val="0"/>
              <w:adjustRightInd w:val="0"/>
              <w:jc w:val="center"/>
              <w:rPr>
                <w:b/>
                <w:bCs/>
                <w:color w:val="000000"/>
                <w:sz w:val="24"/>
                <w:szCs w:val="24"/>
              </w:rPr>
            </w:pPr>
            <w:r w:rsidRPr="009B0A8A">
              <w:rPr>
                <w:b/>
                <w:bCs/>
                <w:color w:val="000000"/>
                <w:sz w:val="24"/>
                <w:szCs w:val="24"/>
              </w:rPr>
              <w:t>Share Premium £</w:t>
            </w:r>
          </w:p>
        </w:tc>
      </w:tr>
      <w:tr w:rsidR="00C44869" w:rsidRPr="009B0A8A" w14:paraId="1186E9AF" w14:textId="77777777" w:rsidTr="007B3453">
        <w:trPr>
          <w:trHeight w:val="302"/>
          <w:jc w:val="center"/>
        </w:trPr>
        <w:tc>
          <w:tcPr>
            <w:tcW w:w="3775" w:type="dxa"/>
            <w:vAlign w:val="bottom"/>
          </w:tcPr>
          <w:p w14:paraId="4C8B3378" w14:textId="77777777" w:rsidR="00C44869" w:rsidRPr="009B0A8A" w:rsidRDefault="00C44869" w:rsidP="007B3453">
            <w:pPr>
              <w:autoSpaceDE w:val="0"/>
              <w:autoSpaceDN w:val="0"/>
              <w:adjustRightInd w:val="0"/>
              <w:rPr>
                <w:color w:val="000000"/>
                <w:sz w:val="24"/>
                <w:szCs w:val="24"/>
              </w:rPr>
            </w:pPr>
            <w:r w:rsidRPr="009B0A8A">
              <w:rPr>
                <w:color w:val="000000"/>
                <w:sz w:val="24"/>
                <w:szCs w:val="24"/>
              </w:rPr>
              <w:t>Balance at 31 March 202</w:t>
            </w:r>
            <w:r>
              <w:rPr>
                <w:color w:val="000000"/>
                <w:sz w:val="24"/>
                <w:szCs w:val="24"/>
              </w:rPr>
              <w:t>4 and 30 September 2024</w:t>
            </w:r>
          </w:p>
        </w:tc>
        <w:tc>
          <w:tcPr>
            <w:tcW w:w="1710" w:type="dxa"/>
            <w:tcBorders>
              <w:top w:val="single" w:sz="4" w:space="0" w:color="auto"/>
            </w:tcBorders>
            <w:vAlign w:val="bottom"/>
          </w:tcPr>
          <w:p w14:paraId="13426607" w14:textId="77777777" w:rsidR="00C44869" w:rsidRPr="009B0A8A" w:rsidRDefault="00C44869" w:rsidP="007B3453">
            <w:pPr>
              <w:tabs>
                <w:tab w:val="left" w:pos="58"/>
                <w:tab w:val="decimal" w:pos="1433"/>
              </w:tabs>
              <w:autoSpaceDE w:val="0"/>
              <w:autoSpaceDN w:val="0"/>
              <w:adjustRightInd w:val="0"/>
              <w:jc w:val="right"/>
              <w:rPr>
                <w:color w:val="000000"/>
                <w:sz w:val="24"/>
                <w:szCs w:val="24"/>
              </w:rPr>
            </w:pPr>
            <w:r w:rsidRPr="009B0A8A">
              <w:rPr>
                <w:color w:val="000000"/>
                <w:sz w:val="24"/>
                <w:szCs w:val="24"/>
              </w:rPr>
              <w:tab/>
            </w:r>
            <w:r w:rsidRPr="009B0A8A">
              <w:rPr>
                <w:color w:val="000000"/>
                <w:sz w:val="24"/>
                <w:szCs w:val="24"/>
              </w:rPr>
              <w:tab/>
            </w:r>
            <w:r>
              <w:rPr>
                <w:color w:val="000000"/>
                <w:sz w:val="24"/>
                <w:szCs w:val="24"/>
              </w:rPr>
              <w:t>506,292,025</w:t>
            </w:r>
          </w:p>
        </w:tc>
        <w:tc>
          <w:tcPr>
            <w:tcW w:w="236" w:type="dxa"/>
            <w:vAlign w:val="bottom"/>
          </w:tcPr>
          <w:p w14:paraId="7550CF70" w14:textId="77777777" w:rsidR="00C44869" w:rsidRPr="009B0A8A" w:rsidRDefault="00C44869" w:rsidP="007B3453">
            <w:pPr>
              <w:tabs>
                <w:tab w:val="left" w:pos="58"/>
                <w:tab w:val="decimal" w:pos="1267"/>
              </w:tabs>
              <w:autoSpaceDE w:val="0"/>
              <w:autoSpaceDN w:val="0"/>
              <w:adjustRightInd w:val="0"/>
              <w:jc w:val="right"/>
              <w:rPr>
                <w:color w:val="000000"/>
                <w:sz w:val="24"/>
                <w:szCs w:val="24"/>
              </w:rPr>
            </w:pPr>
          </w:p>
        </w:tc>
        <w:tc>
          <w:tcPr>
            <w:tcW w:w="1620" w:type="dxa"/>
            <w:tcBorders>
              <w:top w:val="single" w:sz="4" w:space="0" w:color="auto"/>
            </w:tcBorders>
            <w:vAlign w:val="bottom"/>
          </w:tcPr>
          <w:p w14:paraId="38330508" w14:textId="77777777" w:rsidR="00C44869" w:rsidRPr="009B0A8A" w:rsidRDefault="00C44869" w:rsidP="007B3453">
            <w:pPr>
              <w:tabs>
                <w:tab w:val="left" w:pos="58"/>
                <w:tab w:val="decimal" w:pos="1267"/>
              </w:tabs>
              <w:autoSpaceDE w:val="0"/>
              <w:autoSpaceDN w:val="0"/>
              <w:adjustRightInd w:val="0"/>
              <w:jc w:val="right"/>
              <w:rPr>
                <w:color w:val="000000"/>
                <w:sz w:val="24"/>
                <w:szCs w:val="24"/>
              </w:rPr>
            </w:pPr>
            <w:r>
              <w:rPr>
                <w:color w:val="000000"/>
                <w:sz w:val="24"/>
                <w:szCs w:val="24"/>
              </w:rPr>
              <w:t>4,953,169</w:t>
            </w:r>
          </w:p>
        </w:tc>
        <w:tc>
          <w:tcPr>
            <w:tcW w:w="236" w:type="dxa"/>
            <w:vAlign w:val="bottom"/>
          </w:tcPr>
          <w:p w14:paraId="1854DBCD" w14:textId="77777777" w:rsidR="00C44869" w:rsidRPr="009B0A8A" w:rsidRDefault="00C44869" w:rsidP="007B3453">
            <w:pPr>
              <w:tabs>
                <w:tab w:val="left" w:pos="58"/>
                <w:tab w:val="decimal" w:pos="1267"/>
              </w:tabs>
              <w:autoSpaceDE w:val="0"/>
              <w:autoSpaceDN w:val="0"/>
              <w:adjustRightInd w:val="0"/>
              <w:jc w:val="right"/>
              <w:rPr>
                <w:color w:val="000000"/>
                <w:sz w:val="24"/>
                <w:szCs w:val="24"/>
              </w:rPr>
            </w:pPr>
          </w:p>
        </w:tc>
        <w:tc>
          <w:tcPr>
            <w:tcW w:w="1705" w:type="dxa"/>
            <w:tcBorders>
              <w:top w:val="single" w:sz="4" w:space="0" w:color="auto"/>
            </w:tcBorders>
            <w:vAlign w:val="bottom"/>
          </w:tcPr>
          <w:p w14:paraId="0A80FD6D" w14:textId="77777777" w:rsidR="00C44869" w:rsidRPr="009B0A8A" w:rsidRDefault="00C44869" w:rsidP="007B3453">
            <w:pPr>
              <w:tabs>
                <w:tab w:val="left" w:pos="58"/>
                <w:tab w:val="decimal" w:pos="1315"/>
              </w:tabs>
              <w:autoSpaceDE w:val="0"/>
              <w:autoSpaceDN w:val="0"/>
              <w:adjustRightInd w:val="0"/>
              <w:jc w:val="right"/>
              <w:rPr>
                <w:color w:val="000000"/>
                <w:sz w:val="24"/>
                <w:szCs w:val="24"/>
              </w:rPr>
            </w:pPr>
            <w:r w:rsidRPr="009B0A8A">
              <w:rPr>
                <w:color w:val="000000"/>
                <w:sz w:val="24"/>
                <w:szCs w:val="24"/>
              </w:rPr>
              <w:tab/>
            </w:r>
            <w:r w:rsidRPr="009B0A8A">
              <w:rPr>
                <w:color w:val="000000"/>
                <w:sz w:val="24"/>
                <w:szCs w:val="24"/>
              </w:rPr>
              <w:tab/>
              <w:t>1</w:t>
            </w:r>
            <w:r>
              <w:rPr>
                <w:color w:val="000000"/>
                <w:sz w:val="24"/>
                <w:szCs w:val="24"/>
              </w:rPr>
              <w:t>4</w:t>
            </w:r>
            <w:r w:rsidRPr="009B0A8A">
              <w:rPr>
                <w:color w:val="000000"/>
                <w:sz w:val="24"/>
                <w:szCs w:val="24"/>
              </w:rPr>
              <w:t>,</w:t>
            </w:r>
            <w:r>
              <w:rPr>
                <w:color w:val="000000"/>
                <w:sz w:val="24"/>
                <w:szCs w:val="24"/>
              </w:rPr>
              <w:t>755,570</w:t>
            </w:r>
          </w:p>
        </w:tc>
      </w:tr>
    </w:tbl>
    <w:p w14:paraId="7FBFA30E" w14:textId="77777777" w:rsidR="00C44869" w:rsidRPr="009B0A8A" w:rsidRDefault="00C44869" w:rsidP="00C44869">
      <w:pPr>
        <w:autoSpaceDE w:val="0"/>
        <w:autoSpaceDN w:val="0"/>
        <w:adjustRightInd w:val="0"/>
        <w:jc w:val="both"/>
        <w:rPr>
          <w:color w:val="000000"/>
        </w:rPr>
      </w:pPr>
      <w:r w:rsidRPr="009B0A8A">
        <w:rPr>
          <w:color w:val="000000"/>
        </w:rPr>
        <w:t xml:space="preserve">                        </w:t>
      </w:r>
    </w:p>
    <w:p w14:paraId="75DF5109" w14:textId="77777777" w:rsidR="00C44869" w:rsidRPr="00B22084" w:rsidRDefault="00C44869" w:rsidP="00C44869">
      <w:pPr>
        <w:autoSpaceDE w:val="0"/>
        <w:autoSpaceDN w:val="0"/>
        <w:adjustRightInd w:val="0"/>
        <w:jc w:val="both"/>
        <w:rPr>
          <w:color w:val="000000"/>
        </w:rPr>
      </w:pPr>
      <w:r w:rsidRPr="009B0A8A">
        <w:rPr>
          <w:color w:val="000000"/>
        </w:rPr>
        <w:t xml:space="preserve">The Group has only one class of share and all shares rank </w:t>
      </w:r>
      <w:proofErr w:type="spellStart"/>
      <w:r w:rsidRPr="009B0A8A">
        <w:rPr>
          <w:i/>
          <w:iCs/>
          <w:color w:val="000000"/>
        </w:rPr>
        <w:t>pari</w:t>
      </w:r>
      <w:proofErr w:type="spellEnd"/>
      <w:r w:rsidRPr="009B0A8A">
        <w:rPr>
          <w:i/>
          <w:iCs/>
          <w:color w:val="000000"/>
        </w:rPr>
        <w:t xml:space="preserve"> passu </w:t>
      </w:r>
      <w:r w:rsidRPr="009B0A8A">
        <w:rPr>
          <w:color w:val="000000"/>
        </w:rPr>
        <w:t>in every respect.</w:t>
      </w:r>
    </w:p>
    <w:p w14:paraId="1334B757" w14:textId="77777777" w:rsidR="00C44869" w:rsidRPr="009B0A8A" w:rsidRDefault="00C44869" w:rsidP="00C44869">
      <w:pPr>
        <w:autoSpaceDE w:val="0"/>
        <w:autoSpaceDN w:val="0"/>
        <w:adjustRightInd w:val="0"/>
        <w:jc w:val="center"/>
        <w:rPr>
          <w:color w:val="000000"/>
          <w:highlight w:val="yellow"/>
        </w:rPr>
      </w:pPr>
    </w:p>
    <w:p w14:paraId="686A3BD3" w14:textId="77777777" w:rsidR="00C44869" w:rsidRPr="009B0A8A" w:rsidRDefault="00C44869" w:rsidP="00C44869">
      <w:pPr>
        <w:autoSpaceDE w:val="0"/>
        <w:autoSpaceDN w:val="0"/>
        <w:adjustRightInd w:val="0"/>
        <w:jc w:val="both"/>
        <w:rPr>
          <w:b/>
          <w:bCs/>
          <w:color w:val="000000"/>
        </w:rPr>
      </w:pPr>
      <w:r w:rsidRPr="009B0A8A">
        <w:rPr>
          <w:b/>
          <w:bCs/>
          <w:color w:val="000000"/>
        </w:rPr>
        <w:t xml:space="preserve">NOTE </w:t>
      </w:r>
      <w:r>
        <w:rPr>
          <w:b/>
          <w:bCs/>
          <w:color w:val="000000"/>
        </w:rPr>
        <w:t>10</w:t>
      </w:r>
      <w:r w:rsidRPr="009B0A8A">
        <w:rPr>
          <w:b/>
          <w:bCs/>
          <w:color w:val="000000"/>
        </w:rPr>
        <w:t xml:space="preserve"> -</w:t>
      </w:r>
      <w:r w:rsidRPr="009B0A8A">
        <w:rPr>
          <w:b/>
          <w:bCs/>
          <w:color w:val="000000"/>
        </w:rPr>
        <w:tab/>
        <w:t>RELATED PARTY</w:t>
      </w:r>
      <w:r>
        <w:rPr>
          <w:b/>
          <w:bCs/>
          <w:color w:val="000000"/>
        </w:rPr>
        <w:t xml:space="preserve"> TRANSACTIONS</w:t>
      </w:r>
    </w:p>
    <w:p w14:paraId="4E8608D5" w14:textId="77777777" w:rsidR="00C44869" w:rsidRPr="009B0A8A" w:rsidRDefault="00C44869" w:rsidP="00C44869">
      <w:pPr>
        <w:autoSpaceDE w:val="0"/>
        <w:autoSpaceDN w:val="0"/>
        <w:adjustRightInd w:val="0"/>
        <w:jc w:val="both"/>
        <w:rPr>
          <w:b/>
          <w:bCs/>
          <w:color w:val="000000"/>
        </w:rPr>
      </w:pPr>
    </w:p>
    <w:p w14:paraId="070DC4E6" w14:textId="77777777" w:rsidR="00C44869" w:rsidRDefault="00C44869" w:rsidP="00C44869">
      <w:pPr>
        <w:autoSpaceDE w:val="0"/>
        <w:autoSpaceDN w:val="0"/>
        <w:adjustRightInd w:val="0"/>
        <w:jc w:val="both"/>
        <w:rPr>
          <w:color w:val="000000"/>
        </w:rPr>
      </w:pPr>
      <w:r w:rsidRPr="00433324">
        <w:rPr>
          <w:color w:val="000000"/>
        </w:rPr>
        <w:lastRenderedPageBreak/>
        <w:t>During the Period, the Group was involved in transactions with former directors Antonio Russo and Trevor Taylor, who are considered related parties under applicable accounting standards. These transactions occurred prior to the reconstitution of the Board of Directors on 4 June 2024.</w:t>
      </w:r>
    </w:p>
    <w:p w14:paraId="36476626" w14:textId="77777777" w:rsidR="00C44869" w:rsidRDefault="00C44869" w:rsidP="00C44869">
      <w:pPr>
        <w:autoSpaceDE w:val="0"/>
        <w:autoSpaceDN w:val="0"/>
        <w:adjustRightInd w:val="0"/>
        <w:spacing w:before="240" w:after="240"/>
        <w:jc w:val="both"/>
        <w:rPr>
          <w:color w:val="000000"/>
        </w:rPr>
      </w:pPr>
      <w:r w:rsidRPr="00433324">
        <w:rPr>
          <w:color w:val="000000"/>
        </w:rPr>
        <w:t>As part of these transactions, ownership of the domain name chill.com, a key intangible asset of the Group, was assigned to an entity under the control of Mr Russo. In addition, a cash transfer of approximately $400,000</w:t>
      </w:r>
      <w:r>
        <w:rPr>
          <w:color w:val="000000"/>
        </w:rPr>
        <w:t xml:space="preserve"> in aggregate</w:t>
      </w:r>
      <w:r w:rsidRPr="00433324">
        <w:rPr>
          <w:color w:val="000000"/>
        </w:rPr>
        <w:t xml:space="preserve"> was made to Mr Russo and Mr Taylor. </w:t>
      </w:r>
    </w:p>
    <w:p w14:paraId="6C269B4A" w14:textId="77777777" w:rsidR="00C44869" w:rsidRPr="00433324" w:rsidRDefault="00C44869" w:rsidP="00C44869">
      <w:pPr>
        <w:autoSpaceDE w:val="0"/>
        <w:autoSpaceDN w:val="0"/>
        <w:adjustRightInd w:val="0"/>
        <w:spacing w:before="240" w:after="240"/>
        <w:jc w:val="both"/>
        <w:rPr>
          <w:color w:val="000000"/>
        </w:rPr>
      </w:pPr>
      <w:r w:rsidRPr="00433324">
        <w:rPr>
          <w:color w:val="000000"/>
        </w:rPr>
        <w:t>Following a review of these matters, the Company initiated legal proceedings in the United States to seek the recovery of assets and to protect its interests. These actions subsequently led to a settlement agreement</w:t>
      </w:r>
      <w:r>
        <w:rPr>
          <w:color w:val="000000"/>
        </w:rPr>
        <w:t xml:space="preserve"> in December 2024,</w:t>
      </w:r>
      <w:r w:rsidRPr="00433324">
        <w:rPr>
          <w:color w:val="000000"/>
        </w:rPr>
        <w:t xml:space="preserve"> </w:t>
      </w:r>
      <w:r>
        <w:rPr>
          <w:color w:val="000000"/>
        </w:rPr>
        <w:t xml:space="preserve">resulting in the </w:t>
      </w:r>
      <w:r w:rsidRPr="00433324">
        <w:rPr>
          <w:color w:val="000000"/>
        </w:rPr>
        <w:t xml:space="preserve">chill.com domain </w:t>
      </w:r>
      <w:r>
        <w:rPr>
          <w:color w:val="000000"/>
        </w:rPr>
        <w:t>falling under the control of</w:t>
      </w:r>
      <w:r w:rsidRPr="00433324">
        <w:rPr>
          <w:color w:val="000000"/>
        </w:rPr>
        <w:t xml:space="preserve"> the Group. </w:t>
      </w:r>
    </w:p>
    <w:p w14:paraId="20205DC5" w14:textId="77777777" w:rsidR="00C44869" w:rsidRDefault="00C44869" w:rsidP="00C44869">
      <w:pPr>
        <w:autoSpaceDE w:val="0"/>
        <w:autoSpaceDN w:val="0"/>
        <w:adjustRightInd w:val="0"/>
        <w:spacing w:before="240"/>
        <w:jc w:val="both"/>
        <w:rPr>
          <w:b/>
          <w:bCs/>
          <w:color w:val="000000"/>
        </w:rPr>
      </w:pPr>
      <w:r w:rsidRPr="009B0A8A">
        <w:rPr>
          <w:b/>
          <w:bCs/>
          <w:color w:val="000000"/>
        </w:rPr>
        <w:t xml:space="preserve">NOTE </w:t>
      </w:r>
      <w:r>
        <w:rPr>
          <w:b/>
          <w:bCs/>
          <w:color w:val="000000"/>
        </w:rPr>
        <w:t>11</w:t>
      </w:r>
      <w:r w:rsidRPr="009B0A8A">
        <w:rPr>
          <w:b/>
          <w:bCs/>
          <w:color w:val="000000"/>
        </w:rPr>
        <w:t xml:space="preserve"> -</w:t>
      </w:r>
      <w:r w:rsidRPr="009B0A8A">
        <w:rPr>
          <w:b/>
          <w:bCs/>
          <w:color w:val="000000"/>
        </w:rPr>
        <w:tab/>
        <w:t>SUBSEQUENT EVENTS</w:t>
      </w:r>
    </w:p>
    <w:p w14:paraId="14BA1A06" w14:textId="77777777" w:rsidR="00C44869" w:rsidRDefault="00C44869" w:rsidP="00C44869">
      <w:pPr>
        <w:autoSpaceDE w:val="0"/>
        <w:autoSpaceDN w:val="0"/>
        <w:adjustRightInd w:val="0"/>
        <w:spacing w:before="240"/>
        <w:jc w:val="both"/>
        <w:rPr>
          <w:color w:val="000000"/>
        </w:rPr>
      </w:pPr>
      <w:r>
        <w:rPr>
          <w:color w:val="000000"/>
        </w:rPr>
        <w:t>On 9 December 2024, the Company announced the intended launch of new Chill-branded e-liquid products for use in reuseable vape products. It also announced the establishment of a new retail distribution services division, aimed at supporting third-party brands by providing route-to-market solutions and field sales representation.</w:t>
      </w:r>
    </w:p>
    <w:p w14:paraId="42850849" w14:textId="77777777" w:rsidR="00C44869" w:rsidRDefault="00C44869" w:rsidP="00C44869">
      <w:pPr>
        <w:spacing w:before="240" w:after="240"/>
        <w:jc w:val="both"/>
        <w:rPr>
          <w:color w:val="000000"/>
        </w:rPr>
      </w:pPr>
      <w:r>
        <w:rPr>
          <w:color w:val="000000"/>
        </w:rPr>
        <w:t xml:space="preserve">On 19 December 2024, the Company announced that it had reached an out-of-court </w:t>
      </w:r>
      <w:r w:rsidRPr="00D44681">
        <w:rPr>
          <w:color w:val="000000"/>
        </w:rPr>
        <w:t>settlement with its former directors</w:t>
      </w:r>
      <w:r>
        <w:rPr>
          <w:color w:val="000000"/>
        </w:rPr>
        <w:t>, resulting in c</w:t>
      </w:r>
      <w:r w:rsidRPr="00D44681">
        <w:rPr>
          <w:color w:val="000000"/>
        </w:rPr>
        <w:t xml:space="preserve">hill.com domain and related trademarks </w:t>
      </w:r>
      <w:r>
        <w:rPr>
          <w:color w:val="000000"/>
        </w:rPr>
        <w:t>coming</w:t>
      </w:r>
      <w:r w:rsidRPr="00D44681">
        <w:rPr>
          <w:color w:val="000000"/>
        </w:rPr>
        <w:t xml:space="preserve"> under the Company's ownership and management.</w:t>
      </w:r>
      <w:r>
        <w:rPr>
          <w:color w:val="000000"/>
        </w:rPr>
        <w:t xml:space="preserve"> The former directors retained monies they received prior to the Company’s General Meeting held on 4 June 2024. </w:t>
      </w:r>
    </w:p>
    <w:p w14:paraId="049BA387" w14:textId="77777777" w:rsidR="00C44869" w:rsidRDefault="00C44869" w:rsidP="00C44869">
      <w:pPr>
        <w:spacing w:before="240" w:after="240"/>
        <w:jc w:val="both"/>
        <w:rPr>
          <w:color w:val="000000"/>
        </w:rPr>
      </w:pPr>
      <w:r>
        <w:rPr>
          <w:color w:val="000000"/>
        </w:rPr>
        <w:t>On 22 May 2025, the Company announced that it had raised £1 million through the issuance of convertible loan notes priced at 1.5 pence per share, with a three-year term and 10% annual interest. Warrants with an exercise price determined by the volume-weighted average of the Company’s ordinary shares at the point of funds being drawn down were also issued to the subscribers.</w:t>
      </w:r>
    </w:p>
    <w:p w14:paraId="61DD1EB3" w14:textId="77777777" w:rsidR="00C44869" w:rsidRDefault="00C44869" w:rsidP="00C44869">
      <w:pPr>
        <w:spacing w:before="240" w:after="240"/>
        <w:jc w:val="both"/>
        <w:rPr>
          <w:color w:val="000000"/>
        </w:rPr>
      </w:pPr>
      <w:r>
        <w:rPr>
          <w:color w:val="000000"/>
        </w:rPr>
        <w:t xml:space="preserve">On 23 June 2025, Chill Brands released its overdue audited accounts for the financial year ending 31 March 2024. The results included a material increase in recorded revenue to £1.9 million, largely generated through sales of the Company’s Chill ZERO nicotine-free vape products to major UK retailers. </w:t>
      </w:r>
    </w:p>
    <w:p w14:paraId="7AEF9CC1" w14:textId="77777777" w:rsidR="00C44869" w:rsidRDefault="00C44869" w:rsidP="00C44869">
      <w:pPr>
        <w:autoSpaceDE w:val="0"/>
        <w:autoSpaceDN w:val="0"/>
        <w:adjustRightInd w:val="0"/>
        <w:spacing w:before="240"/>
        <w:jc w:val="both"/>
        <w:rPr>
          <w:b/>
          <w:bCs/>
          <w:color w:val="000000"/>
        </w:rPr>
      </w:pPr>
      <w:r w:rsidRPr="009B0A8A">
        <w:rPr>
          <w:b/>
          <w:bCs/>
          <w:color w:val="000000"/>
        </w:rPr>
        <w:t xml:space="preserve">NOTE </w:t>
      </w:r>
      <w:r>
        <w:rPr>
          <w:b/>
          <w:bCs/>
          <w:color w:val="000000"/>
        </w:rPr>
        <w:t>12</w:t>
      </w:r>
      <w:r w:rsidRPr="009B0A8A">
        <w:rPr>
          <w:b/>
          <w:bCs/>
          <w:color w:val="000000"/>
        </w:rPr>
        <w:t xml:space="preserve"> -</w:t>
      </w:r>
      <w:r w:rsidRPr="009B0A8A">
        <w:rPr>
          <w:b/>
          <w:bCs/>
          <w:color w:val="000000"/>
        </w:rPr>
        <w:tab/>
        <w:t>S</w:t>
      </w:r>
      <w:r>
        <w:rPr>
          <w:b/>
          <w:bCs/>
          <w:color w:val="000000"/>
        </w:rPr>
        <w:t>EASONALITY OF THE GROUP’S BUSINESS</w:t>
      </w:r>
    </w:p>
    <w:p w14:paraId="555D8F40" w14:textId="77777777" w:rsidR="00C44869" w:rsidRPr="00D44681" w:rsidRDefault="00C44869" w:rsidP="00C44869">
      <w:pPr>
        <w:spacing w:before="240" w:after="240"/>
        <w:jc w:val="both"/>
        <w:rPr>
          <w:color w:val="000000"/>
        </w:rPr>
      </w:pPr>
      <w:r>
        <w:rPr>
          <w:color w:val="000000"/>
        </w:rPr>
        <w:t>There are no material seasonal factors which materially affect the operations of the Group’s business.</w:t>
      </w:r>
    </w:p>
    <w:p w14:paraId="33ADD94A" w14:textId="77777777" w:rsidR="00F019F5" w:rsidRDefault="00F019F5"/>
    <w:sectPr w:rsidR="00F01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8D760" w14:textId="77777777" w:rsidR="005B41FC" w:rsidRDefault="005B41FC" w:rsidP="00C44869">
      <w:r>
        <w:separator/>
      </w:r>
    </w:p>
  </w:endnote>
  <w:endnote w:type="continuationSeparator" w:id="0">
    <w:p w14:paraId="25F54F45" w14:textId="77777777" w:rsidR="005B41FC" w:rsidRDefault="005B41FC" w:rsidP="00C4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2718026"/>
      <w:docPartObj>
        <w:docPartGallery w:val="Page Numbers (Bottom of Page)"/>
        <w:docPartUnique/>
      </w:docPartObj>
    </w:sdtPr>
    <w:sdtContent>
      <w:p w14:paraId="024F1081" w14:textId="77777777" w:rsidR="00000000" w:rsidRDefault="00000000" w:rsidP="00C448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E38D39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4214319"/>
      <w:docPartObj>
        <w:docPartGallery w:val="Page Numbers (Bottom of Page)"/>
        <w:docPartUnique/>
      </w:docPartObj>
    </w:sdtPr>
    <w:sdtContent>
      <w:p w14:paraId="07E4052C" w14:textId="7237BF32" w:rsidR="00C44869" w:rsidRDefault="00C44869" w:rsidP="008376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1691CC" w14:textId="77777777" w:rsidR="00C44869" w:rsidRDefault="00C4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94EFD" w14:textId="77777777" w:rsidR="005B41FC" w:rsidRDefault="005B41FC" w:rsidP="00C44869">
      <w:r>
        <w:separator/>
      </w:r>
    </w:p>
  </w:footnote>
  <w:footnote w:type="continuationSeparator" w:id="0">
    <w:p w14:paraId="6D426E2C" w14:textId="77777777" w:rsidR="005B41FC" w:rsidRDefault="005B41FC" w:rsidP="00C4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2C2"/>
    <w:multiLevelType w:val="multilevel"/>
    <w:tmpl w:val="DF986E70"/>
    <w:lvl w:ilvl="0">
      <w:start w:val="20"/>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1" w15:restartNumberingAfterBreak="0">
    <w:nsid w:val="05234BEE"/>
    <w:multiLevelType w:val="hybridMultilevel"/>
    <w:tmpl w:val="6F301006"/>
    <w:lvl w:ilvl="0" w:tplc="0AFCB83E">
      <w:start w:val="1"/>
      <w:numFmt w:val="bullet"/>
      <w:lvlText w:val="-"/>
      <w:lvlJc w:val="left"/>
      <w:pPr>
        <w:ind w:left="720" w:hanging="360"/>
      </w:pPr>
      <w:rPr>
        <w:rFonts w:ascii="Times New Roman" w:eastAsia="Times New Roman" w:hAnsi="Times New Roman"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1B0"/>
    <w:multiLevelType w:val="multilevel"/>
    <w:tmpl w:val="EF1220DE"/>
    <w:lvl w:ilvl="0">
      <w:start w:val="26"/>
      <w:numFmt w:val="decimal"/>
      <w:lvlText w:val="%1."/>
      <w:lvlJc w:val="left"/>
      <w:pPr>
        <w:ind w:left="515" w:hanging="395"/>
      </w:pPr>
      <w:rPr>
        <w:rFonts w:ascii="Times New Roman" w:eastAsia="Arial" w:hAnsi="Times New Roman" w:cs="Times New Roman" w:hint="default"/>
        <w:color w:val="000000" w:themeColor="text1"/>
        <w:w w:val="97"/>
        <w:sz w:val="24"/>
        <w:szCs w:val="24"/>
        <w:u w:val="none"/>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3" w15:restartNumberingAfterBreak="0">
    <w:nsid w:val="0B846A2D"/>
    <w:multiLevelType w:val="multilevel"/>
    <w:tmpl w:val="05FA9EB4"/>
    <w:lvl w:ilvl="0">
      <w:start w:val="16"/>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4" w15:restartNumberingAfterBreak="0">
    <w:nsid w:val="0FA0107A"/>
    <w:multiLevelType w:val="hybridMultilevel"/>
    <w:tmpl w:val="3276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D1358"/>
    <w:multiLevelType w:val="multilevel"/>
    <w:tmpl w:val="3E7C9F42"/>
    <w:lvl w:ilvl="0">
      <w:start w:val="14"/>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6" w15:restartNumberingAfterBreak="0">
    <w:nsid w:val="11FE6587"/>
    <w:multiLevelType w:val="multilevel"/>
    <w:tmpl w:val="0E04F598"/>
    <w:lvl w:ilvl="0">
      <w:start w:val="11"/>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7" w15:restartNumberingAfterBreak="0">
    <w:nsid w:val="147F748C"/>
    <w:multiLevelType w:val="hybridMultilevel"/>
    <w:tmpl w:val="420060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C97A87"/>
    <w:multiLevelType w:val="multilevel"/>
    <w:tmpl w:val="9A7ADC68"/>
    <w:lvl w:ilvl="0">
      <w:start w:val="13"/>
      <w:numFmt w:val="decimal"/>
      <w:lvlText w:val="%1."/>
      <w:lvlJc w:val="left"/>
      <w:pPr>
        <w:ind w:left="515" w:hanging="395"/>
      </w:pPr>
      <w:rPr>
        <w:rFonts w:ascii="Times New Roman" w:eastAsia="Arial" w:hAnsi="Times New Roman" w:cs="Times New Roman" w:hint="default"/>
        <w:color w:val="000000" w:themeColor="text1"/>
        <w:w w:val="97"/>
        <w:sz w:val="24"/>
        <w:szCs w:val="24"/>
        <w:u w:val="dotted"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9" w15:restartNumberingAfterBreak="0">
    <w:nsid w:val="168639DA"/>
    <w:multiLevelType w:val="hybridMultilevel"/>
    <w:tmpl w:val="52445040"/>
    <w:lvl w:ilvl="0" w:tplc="FB2671EA">
      <w:numFmt w:val="bullet"/>
      <w:lvlText w:val=""/>
      <w:lvlJc w:val="left"/>
      <w:pPr>
        <w:ind w:left="460" w:hanging="360"/>
      </w:pPr>
      <w:rPr>
        <w:rFonts w:ascii="Symbol" w:eastAsia="Symbol" w:hAnsi="Symbol" w:cs="Symbol" w:hint="default"/>
        <w:w w:val="100"/>
        <w:sz w:val="20"/>
        <w:szCs w:val="20"/>
      </w:rPr>
    </w:lvl>
    <w:lvl w:ilvl="1" w:tplc="A9FC935C">
      <w:numFmt w:val="bullet"/>
      <w:lvlText w:val="•"/>
      <w:lvlJc w:val="left"/>
      <w:pPr>
        <w:ind w:left="1482" w:hanging="360"/>
      </w:pPr>
      <w:rPr>
        <w:rFonts w:hint="default"/>
      </w:rPr>
    </w:lvl>
    <w:lvl w:ilvl="2" w:tplc="C936D73A">
      <w:numFmt w:val="bullet"/>
      <w:lvlText w:val="•"/>
      <w:lvlJc w:val="left"/>
      <w:pPr>
        <w:ind w:left="2505" w:hanging="360"/>
      </w:pPr>
      <w:rPr>
        <w:rFonts w:hint="default"/>
      </w:rPr>
    </w:lvl>
    <w:lvl w:ilvl="3" w:tplc="7D9E7ADC">
      <w:numFmt w:val="bullet"/>
      <w:lvlText w:val="•"/>
      <w:lvlJc w:val="left"/>
      <w:pPr>
        <w:ind w:left="3528" w:hanging="360"/>
      </w:pPr>
      <w:rPr>
        <w:rFonts w:hint="default"/>
      </w:rPr>
    </w:lvl>
    <w:lvl w:ilvl="4" w:tplc="AF7250CE">
      <w:numFmt w:val="bullet"/>
      <w:lvlText w:val="•"/>
      <w:lvlJc w:val="left"/>
      <w:pPr>
        <w:ind w:left="4551" w:hanging="360"/>
      </w:pPr>
      <w:rPr>
        <w:rFonts w:hint="default"/>
      </w:rPr>
    </w:lvl>
    <w:lvl w:ilvl="5" w:tplc="68145E90">
      <w:numFmt w:val="bullet"/>
      <w:lvlText w:val="•"/>
      <w:lvlJc w:val="left"/>
      <w:pPr>
        <w:ind w:left="5574" w:hanging="360"/>
      </w:pPr>
      <w:rPr>
        <w:rFonts w:hint="default"/>
      </w:rPr>
    </w:lvl>
    <w:lvl w:ilvl="6" w:tplc="1E424AC8">
      <w:numFmt w:val="bullet"/>
      <w:lvlText w:val="•"/>
      <w:lvlJc w:val="left"/>
      <w:pPr>
        <w:ind w:left="6597" w:hanging="360"/>
      </w:pPr>
      <w:rPr>
        <w:rFonts w:hint="default"/>
      </w:rPr>
    </w:lvl>
    <w:lvl w:ilvl="7" w:tplc="571681DC">
      <w:numFmt w:val="bullet"/>
      <w:lvlText w:val="•"/>
      <w:lvlJc w:val="left"/>
      <w:pPr>
        <w:ind w:left="7620" w:hanging="360"/>
      </w:pPr>
      <w:rPr>
        <w:rFonts w:hint="default"/>
      </w:rPr>
    </w:lvl>
    <w:lvl w:ilvl="8" w:tplc="4942B806">
      <w:numFmt w:val="bullet"/>
      <w:lvlText w:val="•"/>
      <w:lvlJc w:val="left"/>
      <w:pPr>
        <w:ind w:left="8643" w:hanging="360"/>
      </w:pPr>
      <w:rPr>
        <w:rFonts w:hint="default"/>
      </w:rPr>
    </w:lvl>
  </w:abstractNum>
  <w:abstractNum w:abstractNumId="10" w15:restartNumberingAfterBreak="0">
    <w:nsid w:val="177E7BC0"/>
    <w:multiLevelType w:val="hybridMultilevel"/>
    <w:tmpl w:val="93A8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A494F"/>
    <w:multiLevelType w:val="hybridMultilevel"/>
    <w:tmpl w:val="4142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17AC6"/>
    <w:multiLevelType w:val="hybridMultilevel"/>
    <w:tmpl w:val="A3381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F36CE"/>
    <w:multiLevelType w:val="multilevel"/>
    <w:tmpl w:val="0396E0A4"/>
    <w:lvl w:ilvl="0">
      <w:start w:val="28"/>
      <w:numFmt w:val="decimal"/>
      <w:lvlText w:val="%1."/>
      <w:lvlJc w:val="left"/>
      <w:pPr>
        <w:ind w:left="515" w:hanging="395"/>
      </w:pPr>
      <w:rPr>
        <w:rFonts w:ascii="Times New Roman" w:eastAsia="Arial" w:hAnsi="Times New Roman" w:cs="Times New Roman" w:hint="default"/>
        <w:color w:val="000000" w:themeColor="text1"/>
        <w:w w:val="97"/>
        <w:sz w:val="24"/>
        <w:szCs w:val="24"/>
        <w:u w:val="none"/>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14" w15:restartNumberingAfterBreak="0">
    <w:nsid w:val="20C260C4"/>
    <w:multiLevelType w:val="multilevel"/>
    <w:tmpl w:val="4FDC32E2"/>
    <w:lvl w:ilvl="0">
      <w:start w:val="2"/>
      <w:numFmt w:val="decimal"/>
      <w:lvlText w:val="%1."/>
      <w:lvlJc w:val="left"/>
      <w:pPr>
        <w:ind w:left="515" w:hanging="395"/>
      </w:pPr>
      <w:rPr>
        <w:rFonts w:ascii="Times New Roman" w:eastAsia="Arial" w:hAnsi="Times New Roman" w:cs="Times New Roman" w:hint="default"/>
        <w:color w:val="000000" w:themeColor="text1"/>
        <w:w w:val="97"/>
        <w:sz w:val="24"/>
        <w:szCs w:val="24"/>
        <w:u w:val="dotted" w:color="BE9443"/>
      </w:rPr>
    </w:lvl>
    <w:lvl w:ilvl="1">
      <w:start w:val="13"/>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15" w15:restartNumberingAfterBreak="0">
    <w:nsid w:val="21A72DE6"/>
    <w:multiLevelType w:val="hybridMultilevel"/>
    <w:tmpl w:val="08B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56B4F"/>
    <w:multiLevelType w:val="hybridMultilevel"/>
    <w:tmpl w:val="F94A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4656E"/>
    <w:multiLevelType w:val="hybridMultilevel"/>
    <w:tmpl w:val="1660D5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FC283F"/>
    <w:multiLevelType w:val="hybridMultilevel"/>
    <w:tmpl w:val="8174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E4C17"/>
    <w:multiLevelType w:val="hybridMultilevel"/>
    <w:tmpl w:val="A8904BB2"/>
    <w:lvl w:ilvl="0" w:tplc="44EEDE5C">
      <w:start w:val="11"/>
      <w:numFmt w:val="bullet"/>
      <w:lvlText w:val="-"/>
      <w:lvlJc w:val="left"/>
      <w:pPr>
        <w:ind w:left="648" w:hanging="360"/>
      </w:pPr>
      <w:rPr>
        <w:rFonts w:ascii="Times New Roman" w:eastAsia="Times New Roman" w:hAnsi="Times New Roman" w:hint="default"/>
      </w:rPr>
    </w:lvl>
    <w:lvl w:ilvl="1" w:tplc="08090001">
      <w:start w:val="1"/>
      <w:numFmt w:val="bullet"/>
      <w:lvlText w:val=""/>
      <w:lvlJc w:val="left"/>
      <w:pPr>
        <w:ind w:left="1368" w:hanging="360"/>
      </w:pPr>
      <w:rPr>
        <w:rFonts w:ascii="Symbol" w:hAnsi="Symbol" w:hint="default"/>
      </w:rPr>
    </w:lvl>
    <w:lvl w:ilvl="2" w:tplc="08090005">
      <w:start w:val="1"/>
      <w:numFmt w:val="bullet"/>
      <w:lvlText w:val=""/>
      <w:lvlJc w:val="left"/>
      <w:pPr>
        <w:ind w:left="2088" w:hanging="360"/>
      </w:pPr>
      <w:rPr>
        <w:rFonts w:ascii="Wingdings" w:hAnsi="Wingdings" w:hint="default"/>
      </w:rPr>
    </w:lvl>
    <w:lvl w:ilvl="3" w:tplc="0809000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0" w15:restartNumberingAfterBreak="0">
    <w:nsid w:val="2D347269"/>
    <w:multiLevelType w:val="multilevel"/>
    <w:tmpl w:val="D980924A"/>
    <w:lvl w:ilvl="0">
      <w:start w:val="3"/>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21" w15:restartNumberingAfterBreak="0">
    <w:nsid w:val="2D3B760C"/>
    <w:multiLevelType w:val="hybridMultilevel"/>
    <w:tmpl w:val="E0DE6938"/>
    <w:lvl w:ilvl="0" w:tplc="44EEDE5C">
      <w:start w:val="11"/>
      <w:numFmt w:val="bullet"/>
      <w:lvlText w:val="-"/>
      <w:lvlJc w:val="left"/>
      <w:pPr>
        <w:ind w:left="835" w:hanging="360"/>
      </w:pPr>
      <w:rPr>
        <w:rFonts w:ascii="Times New Roman" w:eastAsia="Times New Roman" w:hAnsi="Times New Roman"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2" w15:restartNumberingAfterBreak="0">
    <w:nsid w:val="2E2E5E55"/>
    <w:multiLevelType w:val="hybridMultilevel"/>
    <w:tmpl w:val="5BD8E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0978BB"/>
    <w:multiLevelType w:val="hybridMultilevel"/>
    <w:tmpl w:val="C1DA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A5E32"/>
    <w:multiLevelType w:val="hybridMultilevel"/>
    <w:tmpl w:val="DC2E8C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432D6A5D"/>
    <w:multiLevelType w:val="hybridMultilevel"/>
    <w:tmpl w:val="E56604C6"/>
    <w:lvl w:ilvl="0" w:tplc="8BFCCBD6">
      <w:start w:val="1"/>
      <w:numFmt w:val="lowerLetter"/>
      <w:lvlText w:val="(%1)"/>
      <w:lvlJc w:val="left"/>
      <w:pPr>
        <w:ind w:left="515" w:hanging="395"/>
      </w:pPr>
      <w:rPr>
        <w:rFonts w:ascii="Trebuchet MS" w:eastAsia="Trebuchet MS" w:hAnsi="Trebuchet MS" w:cs="Trebuchet MS" w:hint="default"/>
        <w:i/>
        <w:color w:val="000000" w:themeColor="text1"/>
        <w:w w:val="82"/>
        <w:sz w:val="20"/>
        <w:szCs w:val="20"/>
      </w:rPr>
    </w:lvl>
    <w:lvl w:ilvl="1" w:tplc="AEB02B1C">
      <w:numFmt w:val="bullet"/>
      <w:lvlText w:val="•"/>
      <w:lvlJc w:val="left"/>
      <w:pPr>
        <w:ind w:left="1478" w:hanging="395"/>
      </w:pPr>
      <w:rPr>
        <w:rFonts w:hint="default"/>
      </w:rPr>
    </w:lvl>
    <w:lvl w:ilvl="2" w:tplc="2580E2B4">
      <w:numFmt w:val="bullet"/>
      <w:lvlText w:val="•"/>
      <w:lvlJc w:val="left"/>
      <w:pPr>
        <w:ind w:left="2437" w:hanging="395"/>
      </w:pPr>
      <w:rPr>
        <w:rFonts w:hint="default"/>
      </w:rPr>
    </w:lvl>
    <w:lvl w:ilvl="3" w:tplc="B8203A00">
      <w:numFmt w:val="bullet"/>
      <w:lvlText w:val="•"/>
      <w:lvlJc w:val="left"/>
      <w:pPr>
        <w:ind w:left="3395" w:hanging="395"/>
      </w:pPr>
      <w:rPr>
        <w:rFonts w:hint="default"/>
      </w:rPr>
    </w:lvl>
    <w:lvl w:ilvl="4" w:tplc="6514217E">
      <w:numFmt w:val="bullet"/>
      <w:lvlText w:val="•"/>
      <w:lvlJc w:val="left"/>
      <w:pPr>
        <w:ind w:left="4354" w:hanging="395"/>
      </w:pPr>
      <w:rPr>
        <w:rFonts w:hint="default"/>
      </w:rPr>
    </w:lvl>
    <w:lvl w:ilvl="5" w:tplc="36B88EC0">
      <w:numFmt w:val="bullet"/>
      <w:lvlText w:val="•"/>
      <w:lvlJc w:val="left"/>
      <w:pPr>
        <w:ind w:left="5312" w:hanging="395"/>
      </w:pPr>
      <w:rPr>
        <w:rFonts w:hint="default"/>
      </w:rPr>
    </w:lvl>
    <w:lvl w:ilvl="6" w:tplc="F7EEF182">
      <w:numFmt w:val="bullet"/>
      <w:lvlText w:val="•"/>
      <w:lvlJc w:val="left"/>
      <w:pPr>
        <w:ind w:left="6271" w:hanging="395"/>
      </w:pPr>
      <w:rPr>
        <w:rFonts w:hint="default"/>
      </w:rPr>
    </w:lvl>
    <w:lvl w:ilvl="7" w:tplc="9A5A0DC8">
      <w:numFmt w:val="bullet"/>
      <w:lvlText w:val="•"/>
      <w:lvlJc w:val="left"/>
      <w:pPr>
        <w:ind w:left="7229" w:hanging="395"/>
      </w:pPr>
      <w:rPr>
        <w:rFonts w:hint="default"/>
      </w:rPr>
    </w:lvl>
    <w:lvl w:ilvl="8" w:tplc="217E5912">
      <w:numFmt w:val="bullet"/>
      <w:lvlText w:val="•"/>
      <w:lvlJc w:val="left"/>
      <w:pPr>
        <w:ind w:left="8188" w:hanging="395"/>
      </w:pPr>
      <w:rPr>
        <w:rFonts w:hint="default"/>
      </w:rPr>
    </w:lvl>
  </w:abstractNum>
  <w:abstractNum w:abstractNumId="26" w15:restartNumberingAfterBreak="0">
    <w:nsid w:val="439873D5"/>
    <w:multiLevelType w:val="multilevel"/>
    <w:tmpl w:val="23860FCE"/>
    <w:lvl w:ilvl="0">
      <w:start w:val="2"/>
      <w:numFmt w:val="decimal"/>
      <w:lvlText w:val="%1."/>
      <w:lvlJc w:val="left"/>
      <w:pPr>
        <w:ind w:left="515" w:hanging="395"/>
      </w:pPr>
      <w:rPr>
        <w:rFonts w:ascii="Times New Roman" w:eastAsia="Arial" w:hAnsi="Times New Roman" w:cs="Times New Roman" w:hint="default"/>
        <w:color w:val="000000" w:themeColor="text1"/>
        <w:w w:val="97"/>
        <w:sz w:val="24"/>
        <w:szCs w:val="24"/>
        <w:u w:val="dotted" w:color="BE9443"/>
      </w:rPr>
    </w:lvl>
    <w:lvl w:ilvl="1">
      <w:start w:val="15"/>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27" w15:restartNumberingAfterBreak="0">
    <w:nsid w:val="492D1A13"/>
    <w:multiLevelType w:val="multilevel"/>
    <w:tmpl w:val="E484380E"/>
    <w:lvl w:ilvl="0">
      <w:start w:val="2"/>
      <w:numFmt w:val="decimal"/>
      <w:lvlText w:val="%1."/>
      <w:lvlJc w:val="left"/>
      <w:pPr>
        <w:ind w:left="515" w:hanging="395"/>
      </w:pPr>
      <w:rPr>
        <w:rFonts w:ascii="Times New Roman" w:eastAsia="Arial" w:hAnsi="Times New Roman" w:cs="Times New Roman" w:hint="default"/>
        <w:color w:val="000000" w:themeColor="text1"/>
        <w:w w:val="97"/>
        <w:sz w:val="24"/>
        <w:szCs w:val="24"/>
        <w:u w:val="dotted" w:color="BE9443"/>
      </w:rPr>
    </w:lvl>
    <w:lvl w:ilvl="1">
      <w:start w:val="17"/>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28" w15:restartNumberingAfterBreak="0">
    <w:nsid w:val="4A8647CB"/>
    <w:multiLevelType w:val="hybridMultilevel"/>
    <w:tmpl w:val="E10C1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B40194"/>
    <w:multiLevelType w:val="hybridMultilevel"/>
    <w:tmpl w:val="50D69288"/>
    <w:lvl w:ilvl="0" w:tplc="20F489FE">
      <w:numFmt w:val="bullet"/>
      <w:lvlText w:val="-"/>
      <w:lvlJc w:val="left"/>
      <w:pPr>
        <w:ind w:left="975" w:hanging="360"/>
      </w:pPr>
      <w:rPr>
        <w:rFonts w:ascii="Century Gothic" w:eastAsia="Times New Roman" w:hAnsi="Century Gothic" w:cs="Times New Roman"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0" w15:restartNumberingAfterBreak="0">
    <w:nsid w:val="4FF52B17"/>
    <w:multiLevelType w:val="multilevel"/>
    <w:tmpl w:val="97EA5EFE"/>
    <w:lvl w:ilvl="0">
      <w:start w:val="10"/>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31" w15:restartNumberingAfterBreak="0">
    <w:nsid w:val="5086642E"/>
    <w:multiLevelType w:val="hybridMultilevel"/>
    <w:tmpl w:val="F57AD086"/>
    <w:lvl w:ilvl="0" w:tplc="4EB0180C">
      <w:start w:val="1"/>
      <w:numFmt w:val="bullet"/>
      <w:lvlText w:val=""/>
      <w:lvlJc w:val="left"/>
      <w:pPr>
        <w:ind w:left="120" w:hanging="395"/>
      </w:pPr>
      <w:rPr>
        <w:rFonts w:ascii="Symbol" w:hAnsi="Symbol" w:hint="default"/>
        <w:color w:val="000000" w:themeColor="text1"/>
        <w:w w:val="97"/>
        <w:sz w:val="20"/>
        <w:szCs w:val="20"/>
      </w:rPr>
    </w:lvl>
    <w:lvl w:ilvl="1" w:tplc="068A558C">
      <w:numFmt w:val="bullet"/>
      <w:lvlText w:val="•"/>
      <w:lvlJc w:val="left"/>
      <w:pPr>
        <w:ind w:left="1118" w:hanging="395"/>
      </w:pPr>
      <w:rPr>
        <w:rFonts w:hint="default"/>
      </w:rPr>
    </w:lvl>
    <w:lvl w:ilvl="2" w:tplc="4ADC68CC">
      <w:numFmt w:val="bullet"/>
      <w:lvlText w:val="•"/>
      <w:lvlJc w:val="left"/>
      <w:pPr>
        <w:ind w:left="2117" w:hanging="395"/>
      </w:pPr>
      <w:rPr>
        <w:rFonts w:hint="default"/>
      </w:rPr>
    </w:lvl>
    <w:lvl w:ilvl="3" w:tplc="D5C68B00">
      <w:numFmt w:val="bullet"/>
      <w:lvlText w:val="•"/>
      <w:lvlJc w:val="left"/>
      <w:pPr>
        <w:ind w:left="3115" w:hanging="395"/>
      </w:pPr>
      <w:rPr>
        <w:rFonts w:hint="default"/>
      </w:rPr>
    </w:lvl>
    <w:lvl w:ilvl="4" w:tplc="139483F6">
      <w:numFmt w:val="bullet"/>
      <w:lvlText w:val="•"/>
      <w:lvlJc w:val="left"/>
      <w:pPr>
        <w:ind w:left="4114" w:hanging="395"/>
      </w:pPr>
      <w:rPr>
        <w:rFonts w:hint="default"/>
      </w:rPr>
    </w:lvl>
    <w:lvl w:ilvl="5" w:tplc="ECFC0F3C">
      <w:numFmt w:val="bullet"/>
      <w:lvlText w:val="•"/>
      <w:lvlJc w:val="left"/>
      <w:pPr>
        <w:ind w:left="5112" w:hanging="395"/>
      </w:pPr>
      <w:rPr>
        <w:rFonts w:hint="default"/>
      </w:rPr>
    </w:lvl>
    <w:lvl w:ilvl="6" w:tplc="B808BCD4">
      <w:numFmt w:val="bullet"/>
      <w:lvlText w:val="•"/>
      <w:lvlJc w:val="left"/>
      <w:pPr>
        <w:ind w:left="6111" w:hanging="395"/>
      </w:pPr>
      <w:rPr>
        <w:rFonts w:hint="default"/>
      </w:rPr>
    </w:lvl>
    <w:lvl w:ilvl="7" w:tplc="A4AE4398">
      <w:numFmt w:val="bullet"/>
      <w:lvlText w:val="•"/>
      <w:lvlJc w:val="left"/>
      <w:pPr>
        <w:ind w:left="7109" w:hanging="395"/>
      </w:pPr>
      <w:rPr>
        <w:rFonts w:hint="default"/>
      </w:rPr>
    </w:lvl>
    <w:lvl w:ilvl="8" w:tplc="A442F7A2">
      <w:numFmt w:val="bullet"/>
      <w:lvlText w:val="•"/>
      <w:lvlJc w:val="left"/>
      <w:pPr>
        <w:ind w:left="8108" w:hanging="395"/>
      </w:pPr>
      <w:rPr>
        <w:rFonts w:hint="default"/>
      </w:rPr>
    </w:lvl>
  </w:abstractNum>
  <w:abstractNum w:abstractNumId="32" w15:restartNumberingAfterBreak="0">
    <w:nsid w:val="524D18CA"/>
    <w:multiLevelType w:val="multilevel"/>
    <w:tmpl w:val="1C46F9F8"/>
    <w:lvl w:ilvl="0">
      <w:start w:val="22"/>
      <w:numFmt w:val="decimal"/>
      <w:lvlText w:val="%1."/>
      <w:lvlJc w:val="left"/>
      <w:pPr>
        <w:ind w:left="395" w:hanging="395"/>
      </w:pPr>
      <w:rPr>
        <w:rFonts w:ascii="Times New Roman" w:eastAsia="Arial" w:hAnsi="Times New Roman" w:cs="Times New Roman" w:hint="default"/>
        <w:b/>
        <w:bCs/>
        <w:color w:val="000000" w:themeColor="text1"/>
        <w:w w:val="97"/>
        <w:sz w:val="24"/>
        <w:szCs w:val="24"/>
        <w:u w:val="none" w:color="BE9443"/>
      </w:rPr>
    </w:lvl>
    <w:lvl w:ilvl="1">
      <w:start w:val="1"/>
      <w:numFmt w:val="decimal"/>
      <w:lvlText w:val="%1.%2"/>
      <w:lvlJc w:val="left"/>
      <w:pPr>
        <w:ind w:left="39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317" w:hanging="395"/>
      </w:pPr>
      <w:rPr>
        <w:rFonts w:hint="default"/>
      </w:rPr>
    </w:lvl>
    <w:lvl w:ilvl="3">
      <w:numFmt w:val="bullet"/>
      <w:lvlText w:val="•"/>
      <w:lvlJc w:val="left"/>
      <w:pPr>
        <w:ind w:left="3275" w:hanging="395"/>
      </w:pPr>
      <w:rPr>
        <w:rFonts w:hint="default"/>
      </w:rPr>
    </w:lvl>
    <w:lvl w:ilvl="4">
      <w:numFmt w:val="bullet"/>
      <w:lvlText w:val="•"/>
      <w:lvlJc w:val="left"/>
      <w:pPr>
        <w:ind w:left="4234" w:hanging="395"/>
      </w:pPr>
      <w:rPr>
        <w:rFonts w:hint="default"/>
      </w:rPr>
    </w:lvl>
    <w:lvl w:ilvl="5">
      <w:numFmt w:val="bullet"/>
      <w:lvlText w:val="•"/>
      <w:lvlJc w:val="left"/>
      <w:pPr>
        <w:ind w:left="5192" w:hanging="395"/>
      </w:pPr>
      <w:rPr>
        <w:rFonts w:hint="default"/>
      </w:rPr>
    </w:lvl>
    <w:lvl w:ilvl="6">
      <w:numFmt w:val="bullet"/>
      <w:lvlText w:val="•"/>
      <w:lvlJc w:val="left"/>
      <w:pPr>
        <w:ind w:left="6151" w:hanging="395"/>
      </w:pPr>
      <w:rPr>
        <w:rFonts w:hint="default"/>
      </w:rPr>
    </w:lvl>
    <w:lvl w:ilvl="7">
      <w:numFmt w:val="bullet"/>
      <w:lvlText w:val="•"/>
      <w:lvlJc w:val="left"/>
      <w:pPr>
        <w:ind w:left="7109" w:hanging="395"/>
      </w:pPr>
      <w:rPr>
        <w:rFonts w:hint="default"/>
      </w:rPr>
    </w:lvl>
    <w:lvl w:ilvl="8">
      <w:numFmt w:val="bullet"/>
      <w:lvlText w:val="•"/>
      <w:lvlJc w:val="left"/>
      <w:pPr>
        <w:ind w:left="8068" w:hanging="395"/>
      </w:pPr>
      <w:rPr>
        <w:rFonts w:hint="default"/>
      </w:rPr>
    </w:lvl>
  </w:abstractNum>
  <w:abstractNum w:abstractNumId="33" w15:restartNumberingAfterBreak="0">
    <w:nsid w:val="56EC6435"/>
    <w:multiLevelType w:val="hybridMultilevel"/>
    <w:tmpl w:val="3E5CD2DC"/>
    <w:lvl w:ilvl="0" w:tplc="29562A18">
      <w:start w:val="1"/>
      <w:numFmt w:val="lowerLetter"/>
      <w:lvlText w:val="(%1)"/>
      <w:lvlJc w:val="left"/>
      <w:pPr>
        <w:ind w:left="515" w:hanging="395"/>
      </w:pPr>
      <w:rPr>
        <w:rFonts w:ascii="Trebuchet MS" w:eastAsia="Trebuchet MS" w:hAnsi="Trebuchet MS" w:cs="Trebuchet MS" w:hint="default"/>
        <w:b w:val="0"/>
        <w:bCs w:val="0"/>
        <w:i/>
        <w:color w:val="000000" w:themeColor="text1"/>
        <w:w w:val="8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446FD8"/>
    <w:multiLevelType w:val="hybridMultilevel"/>
    <w:tmpl w:val="0E76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A40AC"/>
    <w:multiLevelType w:val="multilevel"/>
    <w:tmpl w:val="D79AB20E"/>
    <w:lvl w:ilvl="0">
      <w:start w:val="1"/>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36" w15:restartNumberingAfterBreak="0">
    <w:nsid w:val="617A5AF8"/>
    <w:multiLevelType w:val="hybridMultilevel"/>
    <w:tmpl w:val="2912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A532F"/>
    <w:multiLevelType w:val="hybridMultilevel"/>
    <w:tmpl w:val="D94E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A20F7"/>
    <w:multiLevelType w:val="hybridMultilevel"/>
    <w:tmpl w:val="A560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54AA"/>
    <w:multiLevelType w:val="multilevel"/>
    <w:tmpl w:val="69AEB366"/>
    <w:lvl w:ilvl="0">
      <w:start w:val="2"/>
      <w:numFmt w:val="decimal"/>
      <w:lvlText w:val="%1."/>
      <w:lvlJc w:val="left"/>
      <w:pPr>
        <w:ind w:left="515" w:hanging="395"/>
      </w:pPr>
      <w:rPr>
        <w:rFonts w:ascii="Times New Roman" w:eastAsia="Arial" w:hAnsi="Times New Roman" w:cs="Times New Roman" w:hint="default"/>
        <w:color w:val="000000" w:themeColor="text1"/>
        <w:w w:val="97"/>
        <w:sz w:val="24"/>
        <w:szCs w:val="24"/>
        <w:u w:val="dotted" w:color="BE9443"/>
      </w:rPr>
    </w:lvl>
    <w:lvl w:ilvl="1">
      <w:start w:val="9"/>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40" w15:restartNumberingAfterBreak="0">
    <w:nsid w:val="71BA32F0"/>
    <w:multiLevelType w:val="hybridMultilevel"/>
    <w:tmpl w:val="459C0880"/>
    <w:lvl w:ilvl="0" w:tplc="4998B05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F6D37"/>
    <w:multiLevelType w:val="hybridMultilevel"/>
    <w:tmpl w:val="422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809B0"/>
    <w:multiLevelType w:val="hybridMultilevel"/>
    <w:tmpl w:val="920C4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3234F3"/>
    <w:multiLevelType w:val="multilevel"/>
    <w:tmpl w:val="382AED18"/>
    <w:lvl w:ilvl="0">
      <w:start w:val="25"/>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44" w15:restartNumberingAfterBreak="0">
    <w:nsid w:val="7B512B41"/>
    <w:multiLevelType w:val="hybridMultilevel"/>
    <w:tmpl w:val="494A0404"/>
    <w:lvl w:ilvl="0" w:tplc="497A4CBA">
      <w:start w:val="1"/>
      <w:numFmt w:val="lowerLetter"/>
      <w:lvlText w:val="(%1)"/>
      <w:lvlJc w:val="left"/>
      <w:pPr>
        <w:ind w:left="515" w:hanging="395"/>
      </w:pPr>
      <w:rPr>
        <w:rFonts w:ascii="Trebuchet MS" w:eastAsia="Trebuchet MS" w:hAnsi="Trebuchet MS" w:cs="Trebuchet MS" w:hint="default"/>
        <w:i/>
        <w:color w:val="000000" w:themeColor="text1"/>
        <w:w w:val="82"/>
        <w:sz w:val="20"/>
        <w:szCs w:val="20"/>
      </w:rPr>
    </w:lvl>
    <w:lvl w:ilvl="1" w:tplc="1B060F7E">
      <w:numFmt w:val="bullet"/>
      <w:lvlText w:val="•"/>
      <w:lvlJc w:val="left"/>
      <w:pPr>
        <w:ind w:left="1478" w:hanging="395"/>
      </w:pPr>
      <w:rPr>
        <w:rFonts w:hint="default"/>
      </w:rPr>
    </w:lvl>
    <w:lvl w:ilvl="2" w:tplc="BC3825E4">
      <w:numFmt w:val="bullet"/>
      <w:lvlText w:val="•"/>
      <w:lvlJc w:val="left"/>
      <w:pPr>
        <w:ind w:left="2437" w:hanging="395"/>
      </w:pPr>
      <w:rPr>
        <w:rFonts w:hint="default"/>
      </w:rPr>
    </w:lvl>
    <w:lvl w:ilvl="3" w:tplc="F7424A48">
      <w:numFmt w:val="bullet"/>
      <w:lvlText w:val="•"/>
      <w:lvlJc w:val="left"/>
      <w:pPr>
        <w:ind w:left="3395" w:hanging="395"/>
      </w:pPr>
      <w:rPr>
        <w:rFonts w:hint="default"/>
      </w:rPr>
    </w:lvl>
    <w:lvl w:ilvl="4" w:tplc="0C1E4D96">
      <w:numFmt w:val="bullet"/>
      <w:lvlText w:val="•"/>
      <w:lvlJc w:val="left"/>
      <w:pPr>
        <w:ind w:left="4354" w:hanging="395"/>
      </w:pPr>
      <w:rPr>
        <w:rFonts w:hint="default"/>
      </w:rPr>
    </w:lvl>
    <w:lvl w:ilvl="5" w:tplc="C5BEB408">
      <w:numFmt w:val="bullet"/>
      <w:lvlText w:val="•"/>
      <w:lvlJc w:val="left"/>
      <w:pPr>
        <w:ind w:left="5312" w:hanging="395"/>
      </w:pPr>
      <w:rPr>
        <w:rFonts w:hint="default"/>
      </w:rPr>
    </w:lvl>
    <w:lvl w:ilvl="6" w:tplc="194A8114">
      <w:numFmt w:val="bullet"/>
      <w:lvlText w:val="•"/>
      <w:lvlJc w:val="left"/>
      <w:pPr>
        <w:ind w:left="6271" w:hanging="395"/>
      </w:pPr>
      <w:rPr>
        <w:rFonts w:hint="default"/>
      </w:rPr>
    </w:lvl>
    <w:lvl w:ilvl="7" w:tplc="4F5CF7E6">
      <w:numFmt w:val="bullet"/>
      <w:lvlText w:val="•"/>
      <w:lvlJc w:val="left"/>
      <w:pPr>
        <w:ind w:left="7229" w:hanging="395"/>
      </w:pPr>
      <w:rPr>
        <w:rFonts w:hint="default"/>
      </w:rPr>
    </w:lvl>
    <w:lvl w:ilvl="8" w:tplc="D8689AFE">
      <w:numFmt w:val="bullet"/>
      <w:lvlText w:val="•"/>
      <w:lvlJc w:val="left"/>
      <w:pPr>
        <w:ind w:left="8188" w:hanging="395"/>
      </w:pPr>
      <w:rPr>
        <w:rFonts w:hint="default"/>
      </w:rPr>
    </w:lvl>
  </w:abstractNum>
  <w:abstractNum w:abstractNumId="45" w15:restartNumberingAfterBreak="0">
    <w:nsid w:val="7CE7073B"/>
    <w:multiLevelType w:val="multilevel"/>
    <w:tmpl w:val="9970D64A"/>
    <w:lvl w:ilvl="0">
      <w:start w:val="9"/>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abstractNum w:abstractNumId="46" w15:restartNumberingAfterBreak="0">
    <w:nsid w:val="7EFA1706"/>
    <w:multiLevelType w:val="multilevel"/>
    <w:tmpl w:val="A2004D58"/>
    <w:lvl w:ilvl="0">
      <w:start w:val="21"/>
      <w:numFmt w:val="decimal"/>
      <w:lvlText w:val="%1."/>
      <w:lvlJc w:val="left"/>
      <w:pPr>
        <w:ind w:left="515" w:hanging="395"/>
      </w:pPr>
      <w:rPr>
        <w:rFonts w:ascii="Times New Roman" w:eastAsia="Arial" w:hAnsi="Times New Roman" w:cs="Times New Roman" w:hint="default"/>
        <w:color w:val="000000" w:themeColor="text1"/>
        <w:w w:val="97"/>
        <w:sz w:val="24"/>
        <w:szCs w:val="24"/>
        <w:u w:val="none" w:color="BE9443"/>
      </w:rPr>
    </w:lvl>
    <w:lvl w:ilvl="1">
      <w:start w:val="1"/>
      <w:numFmt w:val="decimal"/>
      <w:lvlText w:val="%1.%2"/>
      <w:lvlJc w:val="left"/>
      <w:pPr>
        <w:ind w:left="515" w:hanging="395"/>
      </w:pPr>
      <w:rPr>
        <w:rFonts w:ascii="Times New Roman" w:eastAsia="Arial" w:hAnsi="Times New Roman" w:cs="Times New Roman" w:hint="default"/>
        <w:b/>
        <w:bCs/>
        <w:color w:val="000000" w:themeColor="text1"/>
        <w:w w:val="97"/>
        <w:sz w:val="24"/>
        <w:szCs w:val="24"/>
      </w:rPr>
    </w:lvl>
    <w:lvl w:ilvl="2">
      <w:numFmt w:val="bullet"/>
      <w:lvlText w:val="•"/>
      <w:lvlJc w:val="left"/>
      <w:pPr>
        <w:ind w:left="2437" w:hanging="395"/>
      </w:pPr>
      <w:rPr>
        <w:rFonts w:hint="default"/>
      </w:rPr>
    </w:lvl>
    <w:lvl w:ilvl="3">
      <w:numFmt w:val="bullet"/>
      <w:lvlText w:val="•"/>
      <w:lvlJc w:val="left"/>
      <w:pPr>
        <w:ind w:left="3395" w:hanging="395"/>
      </w:pPr>
      <w:rPr>
        <w:rFonts w:hint="default"/>
      </w:rPr>
    </w:lvl>
    <w:lvl w:ilvl="4">
      <w:numFmt w:val="bullet"/>
      <w:lvlText w:val="•"/>
      <w:lvlJc w:val="left"/>
      <w:pPr>
        <w:ind w:left="4354" w:hanging="395"/>
      </w:pPr>
      <w:rPr>
        <w:rFonts w:hint="default"/>
      </w:rPr>
    </w:lvl>
    <w:lvl w:ilvl="5">
      <w:numFmt w:val="bullet"/>
      <w:lvlText w:val="•"/>
      <w:lvlJc w:val="left"/>
      <w:pPr>
        <w:ind w:left="5312" w:hanging="395"/>
      </w:pPr>
      <w:rPr>
        <w:rFonts w:hint="default"/>
      </w:rPr>
    </w:lvl>
    <w:lvl w:ilvl="6">
      <w:numFmt w:val="bullet"/>
      <w:lvlText w:val="•"/>
      <w:lvlJc w:val="left"/>
      <w:pPr>
        <w:ind w:left="6271" w:hanging="395"/>
      </w:pPr>
      <w:rPr>
        <w:rFonts w:hint="default"/>
      </w:rPr>
    </w:lvl>
    <w:lvl w:ilvl="7">
      <w:numFmt w:val="bullet"/>
      <w:lvlText w:val="•"/>
      <w:lvlJc w:val="left"/>
      <w:pPr>
        <w:ind w:left="7229" w:hanging="395"/>
      </w:pPr>
      <w:rPr>
        <w:rFonts w:hint="default"/>
      </w:rPr>
    </w:lvl>
    <w:lvl w:ilvl="8">
      <w:numFmt w:val="bullet"/>
      <w:lvlText w:val="•"/>
      <w:lvlJc w:val="left"/>
      <w:pPr>
        <w:ind w:left="8188" w:hanging="395"/>
      </w:pPr>
      <w:rPr>
        <w:rFonts w:hint="default"/>
      </w:rPr>
    </w:lvl>
  </w:abstractNum>
  <w:num w:numId="1" w16cid:durableId="813377084">
    <w:abstractNumId w:val="4"/>
  </w:num>
  <w:num w:numId="2" w16cid:durableId="2083331151">
    <w:abstractNumId w:val="22"/>
  </w:num>
  <w:num w:numId="3" w16cid:durableId="1745905711">
    <w:abstractNumId w:val="12"/>
  </w:num>
  <w:num w:numId="4" w16cid:durableId="1821533352">
    <w:abstractNumId w:val="34"/>
  </w:num>
  <w:num w:numId="5" w16cid:durableId="1692103167">
    <w:abstractNumId w:val="35"/>
  </w:num>
  <w:num w:numId="6" w16cid:durableId="1649166500">
    <w:abstractNumId w:val="24"/>
  </w:num>
  <w:num w:numId="7" w16cid:durableId="1188252544">
    <w:abstractNumId w:val="39"/>
  </w:num>
  <w:num w:numId="8" w16cid:durableId="1742555540">
    <w:abstractNumId w:val="14"/>
  </w:num>
  <w:num w:numId="9" w16cid:durableId="1941913493">
    <w:abstractNumId w:val="26"/>
  </w:num>
  <w:num w:numId="10" w16cid:durableId="1530751878">
    <w:abstractNumId w:val="27"/>
  </w:num>
  <w:num w:numId="11" w16cid:durableId="1190726557">
    <w:abstractNumId w:val="25"/>
  </w:num>
  <w:num w:numId="12" w16cid:durableId="683360372">
    <w:abstractNumId w:val="44"/>
  </w:num>
  <w:num w:numId="13" w16cid:durableId="220822939">
    <w:abstractNumId w:val="31"/>
  </w:num>
  <w:num w:numId="14" w16cid:durableId="644433557">
    <w:abstractNumId w:val="33"/>
  </w:num>
  <w:num w:numId="15" w16cid:durableId="666322576">
    <w:abstractNumId w:val="19"/>
  </w:num>
  <w:num w:numId="16" w16cid:durableId="1727799182">
    <w:abstractNumId w:val="20"/>
  </w:num>
  <w:num w:numId="17" w16cid:durableId="1819298232">
    <w:abstractNumId w:val="45"/>
  </w:num>
  <w:num w:numId="18" w16cid:durableId="1288464706">
    <w:abstractNumId w:val="6"/>
  </w:num>
  <w:num w:numId="19" w16cid:durableId="441607628">
    <w:abstractNumId w:val="5"/>
  </w:num>
  <w:num w:numId="20" w16cid:durableId="16543724">
    <w:abstractNumId w:val="46"/>
  </w:num>
  <w:num w:numId="21" w16cid:durableId="148176910">
    <w:abstractNumId w:val="32"/>
  </w:num>
  <w:num w:numId="22" w16cid:durableId="860970122">
    <w:abstractNumId w:val="43"/>
  </w:num>
  <w:num w:numId="23" w16cid:durableId="309023829">
    <w:abstractNumId w:val="2"/>
  </w:num>
  <w:num w:numId="24" w16cid:durableId="1306475059">
    <w:abstractNumId w:val="13"/>
  </w:num>
  <w:num w:numId="25" w16cid:durableId="1574772575">
    <w:abstractNumId w:val="9"/>
  </w:num>
  <w:num w:numId="26" w16cid:durableId="1559170427">
    <w:abstractNumId w:val="30"/>
  </w:num>
  <w:num w:numId="27" w16cid:durableId="1355109010">
    <w:abstractNumId w:val="16"/>
  </w:num>
  <w:num w:numId="28" w16cid:durableId="680165068">
    <w:abstractNumId w:val="18"/>
  </w:num>
  <w:num w:numId="29" w16cid:durableId="536116513">
    <w:abstractNumId w:val="10"/>
  </w:num>
  <w:num w:numId="30" w16cid:durableId="1518038533">
    <w:abstractNumId w:val="37"/>
  </w:num>
  <w:num w:numId="31" w16cid:durableId="308901463">
    <w:abstractNumId w:val="28"/>
  </w:num>
  <w:num w:numId="32" w16cid:durableId="834489969">
    <w:abstractNumId w:val="8"/>
  </w:num>
  <w:num w:numId="33" w16cid:durableId="1235893625">
    <w:abstractNumId w:val="3"/>
  </w:num>
  <w:num w:numId="34" w16cid:durableId="1372153318">
    <w:abstractNumId w:val="0"/>
  </w:num>
  <w:num w:numId="35" w16cid:durableId="128518330">
    <w:abstractNumId w:val="17"/>
  </w:num>
  <w:num w:numId="36" w16cid:durableId="998269553">
    <w:abstractNumId w:val="36"/>
  </w:num>
  <w:num w:numId="37" w16cid:durableId="571350292">
    <w:abstractNumId w:val="21"/>
  </w:num>
  <w:num w:numId="38" w16cid:durableId="1855459432">
    <w:abstractNumId w:val="7"/>
  </w:num>
  <w:num w:numId="39" w16cid:durableId="265381967">
    <w:abstractNumId w:val="41"/>
  </w:num>
  <w:num w:numId="40" w16cid:durableId="601454288">
    <w:abstractNumId w:val="38"/>
  </w:num>
  <w:num w:numId="41" w16cid:durableId="1911649341">
    <w:abstractNumId w:val="15"/>
  </w:num>
  <w:num w:numId="42" w16cid:durableId="622926382">
    <w:abstractNumId w:val="11"/>
  </w:num>
  <w:num w:numId="43" w16cid:durableId="1906404761">
    <w:abstractNumId w:val="29"/>
  </w:num>
  <w:num w:numId="44" w16cid:durableId="417874481">
    <w:abstractNumId w:val="40"/>
  </w:num>
  <w:num w:numId="45" w16cid:durableId="1721707113">
    <w:abstractNumId w:val="42"/>
  </w:num>
  <w:num w:numId="46" w16cid:durableId="1168210868">
    <w:abstractNumId w:val="1"/>
  </w:num>
  <w:num w:numId="47" w16cid:durableId="1136289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69"/>
    <w:rsid w:val="00000408"/>
    <w:rsid w:val="00073EA0"/>
    <w:rsid w:val="005B41FC"/>
    <w:rsid w:val="006B41F8"/>
    <w:rsid w:val="008563FF"/>
    <w:rsid w:val="00A46933"/>
    <w:rsid w:val="00C44869"/>
    <w:rsid w:val="00F01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4D1DC3"/>
  <w15:chartTrackingRefBased/>
  <w15:docId w15:val="{2227D7FD-F0A1-6744-8753-5D53243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6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44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4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8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8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8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8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4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869"/>
    <w:rPr>
      <w:rFonts w:eastAsiaTheme="majorEastAsia" w:cstheme="majorBidi"/>
      <w:color w:val="272727" w:themeColor="text1" w:themeTint="D8"/>
    </w:rPr>
  </w:style>
  <w:style w:type="paragraph" w:styleId="Title">
    <w:name w:val="Title"/>
    <w:basedOn w:val="Normal"/>
    <w:next w:val="Normal"/>
    <w:link w:val="TitleChar"/>
    <w:uiPriority w:val="10"/>
    <w:qFormat/>
    <w:rsid w:val="00C448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8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8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4869"/>
    <w:rPr>
      <w:i/>
      <w:iCs/>
      <w:color w:val="404040" w:themeColor="text1" w:themeTint="BF"/>
    </w:rPr>
  </w:style>
  <w:style w:type="paragraph" w:styleId="ListParagraph">
    <w:name w:val="List Paragraph"/>
    <w:basedOn w:val="Normal"/>
    <w:link w:val="ListParagraphChar"/>
    <w:uiPriority w:val="34"/>
    <w:qFormat/>
    <w:rsid w:val="00C44869"/>
    <w:pPr>
      <w:ind w:left="720"/>
      <w:contextualSpacing/>
    </w:pPr>
  </w:style>
  <w:style w:type="character" w:styleId="IntenseEmphasis">
    <w:name w:val="Intense Emphasis"/>
    <w:basedOn w:val="DefaultParagraphFont"/>
    <w:uiPriority w:val="21"/>
    <w:qFormat/>
    <w:rsid w:val="00C44869"/>
    <w:rPr>
      <w:i/>
      <w:iCs/>
      <w:color w:val="0F4761" w:themeColor="accent1" w:themeShade="BF"/>
    </w:rPr>
  </w:style>
  <w:style w:type="paragraph" w:styleId="IntenseQuote">
    <w:name w:val="Intense Quote"/>
    <w:basedOn w:val="Normal"/>
    <w:next w:val="Normal"/>
    <w:link w:val="IntenseQuoteChar"/>
    <w:uiPriority w:val="30"/>
    <w:qFormat/>
    <w:rsid w:val="00C44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869"/>
    <w:rPr>
      <w:i/>
      <w:iCs/>
      <w:color w:val="0F4761" w:themeColor="accent1" w:themeShade="BF"/>
    </w:rPr>
  </w:style>
  <w:style w:type="character" w:styleId="IntenseReference">
    <w:name w:val="Intense Reference"/>
    <w:basedOn w:val="DefaultParagraphFont"/>
    <w:uiPriority w:val="32"/>
    <w:qFormat/>
    <w:rsid w:val="00C44869"/>
    <w:rPr>
      <w:b/>
      <w:bCs/>
      <w:smallCaps/>
      <w:color w:val="0F4761" w:themeColor="accent1" w:themeShade="BF"/>
      <w:spacing w:val="5"/>
    </w:rPr>
  </w:style>
  <w:style w:type="paragraph" w:customStyle="1" w:styleId="fz">
    <w:name w:val="fz"/>
    <w:basedOn w:val="Normal"/>
    <w:rsid w:val="00C44869"/>
    <w:pPr>
      <w:spacing w:before="100" w:beforeAutospacing="1" w:after="100" w:afterAutospacing="1"/>
    </w:pPr>
  </w:style>
  <w:style w:type="character" w:customStyle="1" w:styleId="ga">
    <w:name w:val="ga"/>
    <w:basedOn w:val="DefaultParagraphFont"/>
    <w:rsid w:val="00C44869"/>
  </w:style>
  <w:style w:type="paragraph" w:customStyle="1" w:styleId="fx">
    <w:name w:val="fx"/>
    <w:basedOn w:val="Normal"/>
    <w:rsid w:val="00C44869"/>
    <w:pPr>
      <w:spacing w:before="100" w:beforeAutospacing="1" w:after="100" w:afterAutospacing="1"/>
    </w:pPr>
  </w:style>
  <w:style w:type="character" w:customStyle="1" w:styleId="fy">
    <w:name w:val="fy"/>
    <w:basedOn w:val="DefaultParagraphFont"/>
    <w:rsid w:val="00C44869"/>
  </w:style>
  <w:style w:type="character" w:customStyle="1" w:styleId="fw">
    <w:name w:val="fw"/>
    <w:basedOn w:val="DefaultParagraphFont"/>
    <w:rsid w:val="00C44869"/>
  </w:style>
  <w:style w:type="paragraph" w:customStyle="1" w:styleId="aw">
    <w:name w:val="aw"/>
    <w:basedOn w:val="Normal"/>
    <w:rsid w:val="00C44869"/>
    <w:pPr>
      <w:spacing w:before="100" w:beforeAutospacing="1" w:after="100" w:afterAutospacing="1"/>
    </w:pPr>
  </w:style>
  <w:style w:type="character" w:customStyle="1" w:styleId="al">
    <w:name w:val="al"/>
    <w:basedOn w:val="DefaultParagraphFont"/>
    <w:rsid w:val="00C44869"/>
  </w:style>
  <w:style w:type="paragraph" w:customStyle="1" w:styleId="ay">
    <w:name w:val="ay"/>
    <w:basedOn w:val="Normal"/>
    <w:rsid w:val="00C44869"/>
    <w:pPr>
      <w:spacing w:before="100" w:beforeAutospacing="1" w:after="100" w:afterAutospacing="1"/>
    </w:pPr>
  </w:style>
  <w:style w:type="paragraph" w:customStyle="1" w:styleId="ax">
    <w:name w:val="ax"/>
    <w:basedOn w:val="Normal"/>
    <w:rsid w:val="00C44869"/>
    <w:pPr>
      <w:spacing w:before="100" w:beforeAutospacing="1" w:after="100" w:afterAutospacing="1"/>
    </w:pPr>
  </w:style>
  <w:style w:type="paragraph" w:customStyle="1" w:styleId="az">
    <w:name w:val="az"/>
    <w:basedOn w:val="Normal"/>
    <w:rsid w:val="00C44869"/>
    <w:pPr>
      <w:spacing w:before="100" w:beforeAutospacing="1" w:after="100" w:afterAutospacing="1"/>
    </w:pPr>
  </w:style>
  <w:style w:type="character" w:customStyle="1" w:styleId="ad">
    <w:name w:val="ad"/>
    <w:basedOn w:val="DefaultParagraphFont"/>
    <w:rsid w:val="00C44869"/>
  </w:style>
  <w:style w:type="character" w:styleId="Hyperlink">
    <w:name w:val="Hyperlink"/>
    <w:basedOn w:val="DefaultParagraphFont"/>
    <w:uiPriority w:val="99"/>
    <w:unhideWhenUsed/>
    <w:rsid w:val="00C44869"/>
    <w:rPr>
      <w:color w:val="0000FF"/>
      <w:u w:val="single"/>
    </w:rPr>
  </w:style>
  <w:style w:type="character" w:customStyle="1" w:styleId="ab">
    <w:name w:val="ab"/>
    <w:basedOn w:val="DefaultParagraphFont"/>
    <w:rsid w:val="00C44869"/>
  </w:style>
  <w:style w:type="paragraph" w:customStyle="1" w:styleId="bb">
    <w:name w:val="bb"/>
    <w:basedOn w:val="Normal"/>
    <w:rsid w:val="00C44869"/>
    <w:pPr>
      <w:spacing w:before="100" w:beforeAutospacing="1" w:after="100" w:afterAutospacing="1"/>
    </w:pPr>
  </w:style>
  <w:style w:type="character" w:customStyle="1" w:styleId="z">
    <w:name w:val="z"/>
    <w:basedOn w:val="DefaultParagraphFont"/>
    <w:rsid w:val="00C44869"/>
  </w:style>
  <w:style w:type="paragraph" w:customStyle="1" w:styleId="bc">
    <w:name w:val="bc"/>
    <w:basedOn w:val="Normal"/>
    <w:rsid w:val="00C44869"/>
    <w:pPr>
      <w:spacing w:before="100" w:beforeAutospacing="1" w:after="100" w:afterAutospacing="1"/>
    </w:pPr>
  </w:style>
  <w:style w:type="paragraph" w:customStyle="1" w:styleId="bd">
    <w:name w:val="bd"/>
    <w:basedOn w:val="Normal"/>
    <w:rsid w:val="00C44869"/>
    <w:pPr>
      <w:spacing w:before="100" w:beforeAutospacing="1" w:after="100" w:afterAutospacing="1"/>
    </w:pPr>
  </w:style>
  <w:style w:type="paragraph" w:customStyle="1" w:styleId="be">
    <w:name w:val="be"/>
    <w:basedOn w:val="Normal"/>
    <w:rsid w:val="00C44869"/>
    <w:pPr>
      <w:spacing w:before="100" w:beforeAutospacing="1" w:after="100" w:afterAutospacing="1"/>
    </w:pPr>
  </w:style>
  <w:style w:type="paragraph" w:customStyle="1" w:styleId="a">
    <w:name w:val="a"/>
    <w:basedOn w:val="Normal"/>
    <w:rsid w:val="00C44869"/>
    <w:pPr>
      <w:spacing w:before="100" w:beforeAutospacing="1" w:after="100" w:afterAutospacing="1"/>
    </w:pPr>
  </w:style>
  <w:style w:type="paragraph" w:styleId="Revision">
    <w:name w:val="Revision"/>
    <w:hidden/>
    <w:uiPriority w:val="99"/>
    <w:semiHidden/>
    <w:rsid w:val="00C44869"/>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44869"/>
    <w:rPr>
      <w:sz w:val="16"/>
      <w:szCs w:val="16"/>
    </w:rPr>
  </w:style>
  <w:style w:type="paragraph" w:styleId="CommentText">
    <w:name w:val="annotation text"/>
    <w:basedOn w:val="Normal"/>
    <w:link w:val="CommentTextChar"/>
    <w:uiPriority w:val="99"/>
    <w:unhideWhenUsed/>
    <w:rsid w:val="00C44869"/>
    <w:rPr>
      <w:sz w:val="20"/>
      <w:szCs w:val="20"/>
    </w:rPr>
  </w:style>
  <w:style w:type="character" w:customStyle="1" w:styleId="CommentTextChar">
    <w:name w:val="Comment Text Char"/>
    <w:basedOn w:val="DefaultParagraphFont"/>
    <w:link w:val="CommentText"/>
    <w:uiPriority w:val="99"/>
    <w:rsid w:val="00C448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44869"/>
    <w:rPr>
      <w:b/>
      <w:bCs/>
    </w:rPr>
  </w:style>
  <w:style w:type="character" w:customStyle="1" w:styleId="CommentSubjectChar">
    <w:name w:val="Comment Subject Char"/>
    <w:basedOn w:val="CommentTextChar"/>
    <w:link w:val="CommentSubject"/>
    <w:uiPriority w:val="99"/>
    <w:semiHidden/>
    <w:rsid w:val="00C44869"/>
    <w:rPr>
      <w:rFonts w:ascii="Times New Roman" w:eastAsia="Times New Roman" w:hAnsi="Times New Roman" w:cs="Times New Roman"/>
      <w:b/>
      <w:bCs/>
      <w:sz w:val="20"/>
      <w:szCs w:val="20"/>
      <w:lang w:eastAsia="en-GB"/>
    </w:rPr>
  </w:style>
  <w:style w:type="character" w:customStyle="1" w:styleId="ListParagraphChar">
    <w:name w:val="List Paragraph Char"/>
    <w:link w:val="ListParagraph"/>
    <w:uiPriority w:val="34"/>
    <w:locked/>
    <w:rsid w:val="00C44869"/>
  </w:style>
  <w:style w:type="character" w:styleId="UnresolvedMention">
    <w:name w:val="Unresolved Mention"/>
    <w:basedOn w:val="DefaultParagraphFont"/>
    <w:uiPriority w:val="99"/>
    <w:semiHidden/>
    <w:unhideWhenUsed/>
    <w:rsid w:val="00C44869"/>
    <w:rPr>
      <w:color w:val="605E5C"/>
      <w:shd w:val="clear" w:color="auto" w:fill="E1DFDD"/>
    </w:rPr>
  </w:style>
  <w:style w:type="paragraph" w:styleId="BodyText">
    <w:name w:val="Body Text"/>
    <w:basedOn w:val="Normal"/>
    <w:link w:val="BodyTextChar"/>
    <w:uiPriority w:val="1"/>
    <w:qFormat/>
    <w:rsid w:val="00C44869"/>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C44869"/>
    <w:rPr>
      <w:rFonts w:ascii="Arial" w:eastAsia="Arial" w:hAnsi="Arial" w:cs="Arial"/>
      <w:sz w:val="20"/>
      <w:szCs w:val="20"/>
      <w:lang w:val="en-US"/>
    </w:rPr>
  </w:style>
  <w:style w:type="numbering" w:customStyle="1" w:styleId="NoList1">
    <w:name w:val="No List1"/>
    <w:next w:val="NoList"/>
    <w:uiPriority w:val="99"/>
    <w:semiHidden/>
    <w:unhideWhenUsed/>
    <w:rsid w:val="00C44869"/>
  </w:style>
  <w:style w:type="paragraph" w:customStyle="1" w:styleId="TableParagraph">
    <w:name w:val="Table Paragraph"/>
    <w:basedOn w:val="Normal"/>
    <w:uiPriority w:val="1"/>
    <w:qFormat/>
    <w:rsid w:val="00C44869"/>
    <w:pPr>
      <w:widowControl w:val="0"/>
      <w:autoSpaceDE w:val="0"/>
      <w:autoSpaceDN w:val="0"/>
    </w:pPr>
    <w:rPr>
      <w:sz w:val="22"/>
      <w:szCs w:val="22"/>
      <w:lang w:val="en-US" w:eastAsia="en-US"/>
    </w:rPr>
  </w:style>
  <w:style w:type="paragraph" w:styleId="Header">
    <w:name w:val="header"/>
    <w:basedOn w:val="Normal"/>
    <w:link w:val="HeaderChar"/>
    <w:uiPriority w:val="99"/>
    <w:unhideWhenUsed/>
    <w:rsid w:val="00C4486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44869"/>
    <w:rPr>
      <w:sz w:val="22"/>
      <w:szCs w:val="22"/>
      <w:lang w:val="en-US"/>
    </w:rPr>
  </w:style>
  <w:style w:type="paragraph" w:styleId="Footer">
    <w:name w:val="footer"/>
    <w:basedOn w:val="Normal"/>
    <w:link w:val="FooterChar"/>
    <w:uiPriority w:val="99"/>
    <w:unhideWhenUsed/>
    <w:rsid w:val="00C4486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44869"/>
    <w:rPr>
      <w:sz w:val="22"/>
      <w:szCs w:val="22"/>
      <w:lang w:val="en-US"/>
    </w:rPr>
  </w:style>
  <w:style w:type="table" w:styleId="TableGrid">
    <w:name w:val="Table Grid"/>
    <w:basedOn w:val="TableNormal"/>
    <w:uiPriority w:val="39"/>
    <w:rsid w:val="00C448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48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8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4869"/>
    <w:pPr>
      <w:spacing w:before="100" w:beforeAutospacing="1" w:after="100" w:afterAutospacing="1"/>
    </w:pPr>
    <w:rPr>
      <w:rFonts w:ascii="Calibri" w:eastAsiaTheme="minorHAnsi" w:hAnsi="Calibri" w:cs="Calibri"/>
      <w:sz w:val="22"/>
      <w:szCs w:val="22"/>
      <w:lang w:val="en-US" w:eastAsia="en-US"/>
    </w:rPr>
  </w:style>
  <w:style w:type="paragraph" w:styleId="BalloonText">
    <w:name w:val="Balloon Text"/>
    <w:basedOn w:val="Normal"/>
    <w:link w:val="BalloonTextChar"/>
    <w:uiPriority w:val="99"/>
    <w:semiHidden/>
    <w:unhideWhenUsed/>
    <w:rsid w:val="00C44869"/>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C44869"/>
    <w:rPr>
      <w:rFonts w:ascii="Segoe UI" w:hAnsi="Segoe UI" w:cs="Segoe UI"/>
      <w:sz w:val="18"/>
      <w:szCs w:val="18"/>
      <w:lang w:val="en-US"/>
    </w:rPr>
  </w:style>
  <w:style w:type="table" w:styleId="GridTable1Light-Accent1">
    <w:name w:val="Grid Table 1 Light Accent 1"/>
    <w:basedOn w:val="TableNormal"/>
    <w:uiPriority w:val="46"/>
    <w:rsid w:val="00C44869"/>
    <w:rPr>
      <w:rFonts w:ascii="Times New Roman" w:eastAsia="Times New Roman" w:hAnsi="Times New Roman" w:cs="Times New Roman"/>
      <w:sz w:val="20"/>
      <w:szCs w:val="20"/>
      <w:lang w:eastAsia="en-GB"/>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C44869"/>
  </w:style>
  <w:style w:type="paragraph" w:customStyle="1" w:styleId="whitespace-pre-wrap">
    <w:name w:val="whitespace-pre-wrap"/>
    <w:basedOn w:val="Normal"/>
    <w:rsid w:val="00C44869"/>
    <w:pPr>
      <w:spacing w:before="100" w:beforeAutospacing="1" w:after="100" w:afterAutospacing="1"/>
    </w:pPr>
  </w:style>
  <w:style w:type="table" w:customStyle="1" w:styleId="TableGrid3">
    <w:name w:val="Table Grid3"/>
    <w:basedOn w:val="TableNormal"/>
    <w:next w:val="TableGrid"/>
    <w:uiPriority w:val="39"/>
    <w:rsid w:val="00C4486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4869"/>
    <w:rPr>
      <w:color w:val="96607D" w:themeColor="followedHyperlink"/>
      <w:u w:val="single"/>
    </w:rPr>
  </w:style>
  <w:style w:type="character" w:styleId="Strong">
    <w:name w:val="Strong"/>
    <w:basedOn w:val="DefaultParagraphFont"/>
    <w:uiPriority w:val="22"/>
    <w:qFormat/>
    <w:rsid w:val="00C44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lbrandsgroup.com/about-us/board-of-directors-and-managemen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24" ma:contentTypeDescription="Create a new document." ma:contentTypeScope="" ma:versionID="18a8c02773ec663c924f2e31fb896543">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7482c6015add32a715e6b55cefdf7857"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38613cf-dcbd-4d1f-a98a-ac1dab320160}" ma:internalName="TaxCatchAll" ma:showField="CatchAllData" ma:web="408f9518-7230-4f9b-ad14-69b2885d9a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7db20a-6f9b-4f44-af6c-da7c85cf1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700505b-58b0-4025-b1b1-49349b622e8b">
      <Terms xmlns="http://schemas.microsoft.com/office/infopath/2007/PartnerControls"/>
    </lcf76f155ced4ddcb4097134ff3c332f>
    <TaxCatchAll xmlns="408f9518-7230-4f9b-ad14-69b2885d9a49" xsi:nil="true"/>
    <_dlc_ExpireDateSaved xmlns="http://schemas.microsoft.com/sharepoint/v3" xsi:nil="true"/>
    <_dlc_ExpireDate xmlns="http://schemas.microsoft.com/sharepoint/v3">2100-07-11T10:19:09+00:00</_dlc_ExpireDate>
  </documentManagement>
</p:properties>
</file>

<file path=customXml/itemProps1.xml><?xml version="1.0" encoding="utf-8"?>
<ds:datastoreItem xmlns:ds="http://schemas.openxmlformats.org/officeDocument/2006/customXml" ds:itemID="{F4EF7129-4669-4646-A436-352E4385A01D}"/>
</file>

<file path=customXml/itemProps2.xml><?xml version="1.0" encoding="utf-8"?>
<ds:datastoreItem xmlns:ds="http://schemas.openxmlformats.org/officeDocument/2006/customXml" ds:itemID="{FA334EE4-A30E-49F2-AF06-947DBBFFABC9}"/>
</file>

<file path=customXml/itemProps3.xml><?xml version="1.0" encoding="utf-8"?>
<ds:datastoreItem xmlns:ds="http://schemas.openxmlformats.org/officeDocument/2006/customXml" ds:itemID="{8652E978-0247-434B-A932-BC500C78EE9B}"/>
</file>

<file path=docProps/app.xml><?xml version="1.0" encoding="utf-8"?>
<Properties xmlns="http://schemas.openxmlformats.org/officeDocument/2006/extended-properties" xmlns:vt="http://schemas.openxmlformats.org/officeDocument/2006/docPropsVTypes">
  <Template>Normal.dotm</Template>
  <TotalTime>3</TotalTime>
  <Pages>15</Pages>
  <Words>7716</Words>
  <Characters>43987</Characters>
  <Application>Microsoft Office Word</Application>
  <DocSecurity>0</DocSecurity>
  <Lines>366</Lines>
  <Paragraphs>103</Paragraphs>
  <ScaleCrop>false</ScaleCrop>
  <Company/>
  <LinksUpToDate>false</LinksUpToDate>
  <CharactersWithSpaces>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Sommerton</dc:creator>
  <cp:keywords/>
  <dc:description/>
  <cp:lastModifiedBy>Callum Sommerton</cp:lastModifiedBy>
  <cp:revision>1</cp:revision>
  <dcterms:created xsi:type="dcterms:W3CDTF">2025-07-10T17:25:00Z</dcterms:created>
  <dcterms:modified xsi:type="dcterms:W3CDTF">2025-07-10T17:28:00Z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0x010100E8C7B911F907344CBA8B01A70642EC54</vt:lpwstr>
  </property>
  <property fmtid="{D5CDD505-2E9C-101B-9397-08002B2CF9AE}" pid="3" name="_dlc_policyId">
    <vt:lpwstr>/sites/CompanyData/Shared Documents</vt:lpwstr>
  </property>
  <property fmtid="{D5CDD505-2E9C-101B-9397-08002B2CF9AE}" pid="4"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ies>
</file>