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98D" w:rsidRDefault="0079598D" w:rsidP="0079598D">
      <w:pPr>
        <w:pStyle w:val="Body"/>
        <w:rPr>
          <w:rFonts w:ascii="Times New Roman" w:hAnsi="Times New Roman"/>
        </w:rPr>
      </w:pPr>
      <w:r>
        <w:rPr>
          <w:noProof/>
          <w:lang w:eastAsia="en-GB"/>
        </w:rPr>
        <w:drawing>
          <wp:anchor distT="0" distB="0" distL="114300" distR="114300" simplePos="0" relativeHeight="251660288" behindDoc="0" locked="0" layoutInCell="1" allowOverlap="1" wp14:anchorId="210D5D78" wp14:editId="18C78DA7">
            <wp:simplePos x="0" y="0"/>
            <wp:positionH relativeFrom="column">
              <wp:posOffset>1715135</wp:posOffset>
            </wp:positionH>
            <wp:positionV relativeFrom="paragraph">
              <wp:posOffset>254635</wp:posOffset>
            </wp:positionV>
            <wp:extent cx="2066925" cy="84201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842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A91F6F7" wp14:editId="0CBC3D85">
                <wp:simplePos x="0" y="0"/>
                <wp:positionH relativeFrom="column">
                  <wp:posOffset>0</wp:posOffset>
                </wp:positionH>
                <wp:positionV relativeFrom="paragraph">
                  <wp:posOffset>204470</wp:posOffset>
                </wp:positionV>
                <wp:extent cx="54889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0C60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pt" to="43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sk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"/>
            </w:pict>
          </mc:Fallback>
        </mc:AlternateContent>
      </w:r>
    </w:p>
    <w:p w:rsidR="0079598D" w:rsidRDefault="0079598D" w:rsidP="0079598D">
      <w:pPr>
        <w:pStyle w:val="Body"/>
        <w:rPr>
          <w:rFonts w:ascii="Times New Roman" w:hAnsi="Times New Roman"/>
        </w:rPr>
      </w:pPr>
    </w:p>
    <w:p w:rsidR="0079598D" w:rsidRDefault="0079598D" w:rsidP="0079598D">
      <w:pPr>
        <w:pStyle w:val="Title"/>
        <w:jc w:val="center"/>
        <w:rPr>
          <w:rFonts w:ascii="Times New Roman" w:hAnsi="Times New Roman"/>
        </w:rPr>
      </w:pPr>
    </w:p>
    <w:p w:rsidR="0079598D" w:rsidRDefault="0079598D" w:rsidP="0079598D">
      <w:pPr>
        <w:pStyle w:val="Body"/>
        <w:rPr>
          <w:rFonts w:ascii="Times New Roman" w:hAnsi="Times New Roman"/>
        </w:rPr>
      </w:pPr>
    </w:p>
    <w:p w:rsidR="0079598D" w:rsidRDefault="0079598D" w:rsidP="0079598D">
      <w:pPr>
        <w:pStyle w:val="Title16"/>
        <w:spacing w:after="60"/>
      </w:pPr>
      <w:r>
        <w:t>METRO BANK PLC</w:t>
      </w:r>
    </w:p>
    <w:p w:rsidR="0079598D" w:rsidRDefault="0079598D" w:rsidP="0079598D">
      <w:pPr>
        <w:pStyle w:val="Titleitalic"/>
        <w:spacing w:after="60"/>
        <w:rPr>
          <w:sz w:val="18"/>
          <w:szCs w:val="18"/>
        </w:rPr>
      </w:pPr>
      <w:r>
        <w:rPr>
          <w:sz w:val="18"/>
          <w:szCs w:val="18"/>
        </w:rPr>
        <w:t xml:space="preserve">(A public limited company incorporated in England and Wales </w:t>
      </w:r>
      <w:r>
        <w:rPr>
          <w:sz w:val="18"/>
          <w:szCs w:val="18"/>
        </w:rPr>
        <w:br/>
        <w:t>on 6 November 2007 with registration number 6419578)</w:t>
      </w:r>
    </w:p>
    <w:p w:rsidR="0079598D" w:rsidRDefault="0079598D" w:rsidP="0079598D">
      <w:pPr>
        <w:pStyle w:val="Title16"/>
        <w:pBdr>
          <w:bottom w:val="single" w:sz="4" w:space="1" w:color="auto"/>
        </w:pBdr>
        <w:spacing w:after="60"/>
      </w:pPr>
      <w:r>
        <w:t xml:space="preserve">NOTICE OF SPECIAL RESOLUTIONS TO BE FILED WITH COMPANIES HOUSE  </w:t>
      </w:r>
    </w:p>
    <w:p w:rsidR="0079598D" w:rsidRDefault="0079598D" w:rsidP="00B441E6">
      <w:pPr>
        <w:autoSpaceDE w:val="0"/>
        <w:autoSpaceDN w:val="0"/>
        <w:adjustRightInd w:val="0"/>
        <w:spacing w:after="0" w:line="240" w:lineRule="auto"/>
        <w:rPr>
          <w:b/>
        </w:rPr>
      </w:pPr>
    </w:p>
    <w:p w:rsidR="00F74D66" w:rsidRPr="0011297A" w:rsidRDefault="00F74D66" w:rsidP="00B441E6">
      <w:pPr>
        <w:autoSpaceDE w:val="0"/>
        <w:autoSpaceDN w:val="0"/>
        <w:adjustRightInd w:val="0"/>
        <w:spacing w:after="0" w:line="240" w:lineRule="auto"/>
        <w:rPr>
          <w:rFonts w:ascii="MuseoSans-700" w:hAnsi="MuseoSans-700" w:cs="MuseoSans-700"/>
          <w:sz w:val="20"/>
          <w:szCs w:val="20"/>
        </w:rPr>
      </w:pPr>
      <w:r w:rsidRPr="0011297A">
        <w:rPr>
          <w:rFonts w:ascii="MuseoSans-700" w:hAnsi="MuseoSans-700" w:cs="MuseoSans-700"/>
          <w:sz w:val="20"/>
          <w:szCs w:val="20"/>
        </w:rPr>
        <w:t xml:space="preserve">At the Annual General </w:t>
      </w:r>
      <w:r w:rsidR="00EB1AE7">
        <w:rPr>
          <w:rFonts w:ascii="MuseoSans-700" w:hAnsi="MuseoSans-700" w:cs="MuseoSans-700"/>
          <w:sz w:val="20"/>
          <w:szCs w:val="20"/>
        </w:rPr>
        <w:t>Meeting of the Company held on 18 May 2021</w:t>
      </w:r>
      <w:r w:rsidRPr="0011297A">
        <w:rPr>
          <w:rFonts w:ascii="MuseoSans-700" w:hAnsi="MuseoSans-700" w:cs="MuseoSans-700"/>
          <w:sz w:val="20"/>
          <w:szCs w:val="20"/>
        </w:rPr>
        <w:t xml:space="preserve"> at </w:t>
      </w:r>
      <w:r w:rsidR="005B6A63">
        <w:rPr>
          <w:rFonts w:ascii="MuseoSans-700" w:hAnsi="MuseoSans-700" w:cs="MuseoSans-700"/>
          <w:sz w:val="20"/>
          <w:szCs w:val="20"/>
        </w:rPr>
        <w:t>2.00</w:t>
      </w:r>
      <w:r w:rsidRPr="0011297A">
        <w:rPr>
          <w:rFonts w:ascii="MuseoSans-700" w:hAnsi="MuseoSans-700" w:cs="MuseoSans-700"/>
          <w:sz w:val="20"/>
          <w:szCs w:val="20"/>
        </w:rPr>
        <w:t xml:space="preserve">pm at One Southampton Row, London, WC1B 5HA, the following </w:t>
      </w:r>
      <w:r w:rsidR="00FC1954" w:rsidRPr="0011297A">
        <w:rPr>
          <w:rFonts w:ascii="MuseoSans-700" w:hAnsi="MuseoSans-700" w:cs="MuseoSans-700"/>
          <w:sz w:val="20"/>
          <w:szCs w:val="20"/>
        </w:rPr>
        <w:t xml:space="preserve">special </w:t>
      </w:r>
      <w:r w:rsidRPr="0011297A">
        <w:rPr>
          <w:rFonts w:ascii="MuseoSans-700" w:hAnsi="MuseoSans-700" w:cs="MuseoSans-700"/>
          <w:sz w:val="20"/>
          <w:szCs w:val="20"/>
        </w:rPr>
        <w:t xml:space="preserve">resolutions </w:t>
      </w:r>
      <w:proofErr w:type="gramStart"/>
      <w:r w:rsidRPr="0011297A">
        <w:rPr>
          <w:rFonts w:ascii="MuseoSans-700" w:hAnsi="MuseoSans-700" w:cs="MuseoSans-700"/>
          <w:sz w:val="20"/>
          <w:szCs w:val="20"/>
        </w:rPr>
        <w:t>wer</w:t>
      </w:r>
      <w:r w:rsidR="00FC1954" w:rsidRPr="0011297A">
        <w:rPr>
          <w:rFonts w:ascii="MuseoSans-700" w:hAnsi="MuseoSans-700" w:cs="MuseoSans-700"/>
          <w:sz w:val="20"/>
          <w:szCs w:val="20"/>
        </w:rPr>
        <w:t>e passed</w:t>
      </w:r>
      <w:proofErr w:type="gramEnd"/>
      <w:r w:rsidRPr="0011297A">
        <w:rPr>
          <w:rFonts w:ascii="MuseoSans-700" w:hAnsi="MuseoSans-700" w:cs="MuseoSans-700"/>
          <w:sz w:val="20"/>
          <w:szCs w:val="20"/>
        </w:rPr>
        <w:t xml:space="preserve">. </w:t>
      </w:r>
    </w:p>
    <w:p w:rsidR="00F74D66" w:rsidRPr="0011297A" w:rsidRDefault="00F74D66" w:rsidP="00B441E6">
      <w:pPr>
        <w:autoSpaceDE w:val="0"/>
        <w:autoSpaceDN w:val="0"/>
        <w:adjustRightInd w:val="0"/>
        <w:spacing w:after="0" w:line="240" w:lineRule="auto"/>
        <w:rPr>
          <w:rFonts w:ascii="MuseoSans-700" w:hAnsi="MuseoSans-700" w:cs="MuseoSans-700"/>
          <w:sz w:val="20"/>
          <w:szCs w:val="20"/>
        </w:rPr>
      </w:pPr>
    </w:p>
    <w:p w:rsidR="00B6521B" w:rsidRPr="0011297A" w:rsidRDefault="00F74D66" w:rsidP="00FC1954">
      <w:pPr>
        <w:jc w:val="center"/>
        <w:rPr>
          <w:rFonts w:ascii="MuseoSans-700" w:hAnsi="MuseoSans-700" w:cs="MuseoSans-700"/>
          <w:b/>
          <w:sz w:val="20"/>
          <w:szCs w:val="20"/>
        </w:rPr>
      </w:pPr>
      <w:r w:rsidRPr="0011297A">
        <w:rPr>
          <w:rFonts w:ascii="MuseoSans-700" w:hAnsi="MuseoSans-700" w:cs="MuseoSans-700"/>
          <w:b/>
          <w:sz w:val="20"/>
          <w:szCs w:val="20"/>
        </w:rPr>
        <w:t>SPECIAL RESOL</w:t>
      </w:r>
      <w:r w:rsidR="00B6521B" w:rsidRPr="0011297A">
        <w:rPr>
          <w:rFonts w:ascii="MuseoSans-700" w:hAnsi="MuseoSans-700" w:cs="MuseoSans-700"/>
          <w:b/>
          <w:sz w:val="20"/>
          <w:szCs w:val="20"/>
        </w:rPr>
        <w:t>U</w:t>
      </w:r>
      <w:r w:rsidRPr="0011297A">
        <w:rPr>
          <w:rFonts w:ascii="MuseoSans-700" w:hAnsi="MuseoSans-700" w:cs="MuseoSans-700"/>
          <w:b/>
          <w:sz w:val="20"/>
          <w:szCs w:val="20"/>
        </w:rPr>
        <w:t>TIONS</w:t>
      </w:r>
      <w:r w:rsidR="00653774" w:rsidRPr="0011297A">
        <w:rPr>
          <w:rFonts w:ascii="MuseoSans-700" w:hAnsi="MuseoSans-700" w:cs="MuseoSans-700"/>
          <w:b/>
          <w:sz w:val="20"/>
          <w:szCs w:val="20"/>
        </w:rPr>
        <w:t xml:space="preserve"> </w:t>
      </w:r>
    </w:p>
    <w:p w:rsidR="00B6521B" w:rsidRPr="0011297A" w:rsidRDefault="00653774" w:rsidP="00B6521B">
      <w:pPr>
        <w:autoSpaceDE w:val="0"/>
        <w:autoSpaceDN w:val="0"/>
        <w:adjustRightInd w:val="0"/>
        <w:spacing w:after="0" w:line="240" w:lineRule="auto"/>
        <w:rPr>
          <w:rFonts w:ascii="MuseoSans-100" w:hAnsi="MuseoSans-100" w:cs="MuseoSans-100"/>
          <w:b/>
          <w:sz w:val="20"/>
          <w:szCs w:val="20"/>
          <w:u w:val="single"/>
        </w:rPr>
      </w:pPr>
      <w:r w:rsidRPr="0011297A">
        <w:rPr>
          <w:rFonts w:ascii="MuseoSans-100" w:hAnsi="MuseoSans-100" w:cs="MuseoSans-100"/>
          <w:b/>
          <w:sz w:val="20"/>
          <w:szCs w:val="20"/>
          <w:u w:val="single"/>
        </w:rPr>
        <w:t>Authority to dis</w:t>
      </w:r>
      <w:r w:rsidR="005B6A63">
        <w:rPr>
          <w:rFonts w:ascii="MuseoSans-100" w:hAnsi="MuseoSans-100" w:cs="MuseoSans-100"/>
          <w:b/>
          <w:sz w:val="20"/>
          <w:szCs w:val="20"/>
          <w:u w:val="single"/>
        </w:rPr>
        <w:t>-</w:t>
      </w:r>
      <w:r w:rsidRPr="0011297A">
        <w:rPr>
          <w:rFonts w:ascii="MuseoSans-100" w:hAnsi="MuseoSans-100" w:cs="MuseoSans-100"/>
          <w:b/>
          <w:sz w:val="20"/>
          <w:szCs w:val="20"/>
          <w:u w:val="single"/>
        </w:rPr>
        <w:t>apply pre-emption rights</w:t>
      </w:r>
    </w:p>
    <w:p w:rsidR="0079598D" w:rsidRPr="0011297A" w:rsidRDefault="0079598D" w:rsidP="00B6521B">
      <w:pPr>
        <w:autoSpaceDE w:val="0"/>
        <w:autoSpaceDN w:val="0"/>
        <w:adjustRightInd w:val="0"/>
        <w:spacing w:after="0" w:line="240" w:lineRule="auto"/>
        <w:rPr>
          <w:rFonts w:ascii="MuseoSans-100" w:hAnsi="MuseoSans-100" w:cs="MuseoSans-100"/>
          <w:b/>
          <w:sz w:val="20"/>
          <w:szCs w:val="20"/>
          <w:u w:val="single"/>
        </w:rPr>
      </w:pPr>
    </w:p>
    <w:p w:rsidR="00EB1AE7" w:rsidRPr="00EB1AE7" w:rsidRDefault="00EB1AE7" w:rsidP="00EB1AE7">
      <w:pPr>
        <w:pStyle w:val="ListParagraph"/>
        <w:numPr>
          <w:ilvl w:val="0"/>
          <w:numId w:val="5"/>
        </w:numPr>
        <w:ind w:left="0"/>
        <w:rPr>
          <w:rFonts w:ascii="MuseoSans-100" w:hAnsi="MuseoSans-100" w:cs="MuseoSans-100"/>
          <w:sz w:val="20"/>
          <w:szCs w:val="20"/>
        </w:rPr>
      </w:pPr>
      <w:r>
        <w:rPr>
          <w:rFonts w:ascii="MuseoSans-100" w:hAnsi="MuseoSans-100" w:cs="MuseoSans-100"/>
          <w:sz w:val="20"/>
          <w:szCs w:val="20"/>
          <w:lang w:val="en-US"/>
        </w:rPr>
        <w:t>Resolution 21</w:t>
      </w:r>
      <w:r w:rsidR="005974D7" w:rsidRPr="005B6A63">
        <w:rPr>
          <w:rFonts w:ascii="MuseoSans-100" w:hAnsi="MuseoSans-100" w:cs="MuseoSans-100"/>
          <w:sz w:val="20"/>
          <w:szCs w:val="20"/>
          <w:lang w:val="en-US"/>
        </w:rPr>
        <w:t xml:space="preserve"> - </w:t>
      </w:r>
      <w:r w:rsidR="00DF6B6C" w:rsidRPr="005B6A63">
        <w:rPr>
          <w:rFonts w:ascii="MuseoSans-100" w:hAnsi="MuseoSans-100" w:cs="MuseoSans-100"/>
          <w:sz w:val="20"/>
          <w:szCs w:val="20"/>
          <w:lang w:val="en-US"/>
        </w:rPr>
        <w:t xml:space="preserve">THAT, </w:t>
      </w:r>
      <w:r w:rsidR="005974D7" w:rsidRPr="005B6A63">
        <w:rPr>
          <w:rFonts w:ascii="MuseoSans-100" w:hAnsi="MuseoSans-100" w:cs="MuseoSans-100"/>
          <w:sz w:val="20"/>
          <w:szCs w:val="20"/>
          <w:lang w:val="en-US"/>
        </w:rPr>
        <w:t>following the</w:t>
      </w:r>
      <w:r w:rsidR="00DF6B6C" w:rsidRPr="005B6A63">
        <w:rPr>
          <w:rFonts w:ascii="MuseoSans-100" w:hAnsi="MuseoSans-100" w:cs="MuseoSans-100"/>
          <w:sz w:val="20"/>
          <w:szCs w:val="20"/>
          <w:lang w:val="en-US"/>
        </w:rPr>
        <w:t xml:space="preserve"> passing </w:t>
      </w:r>
      <w:r w:rsidRPr="00EB1AE7">
        <w:rPr>
          <w:rFonts w:ascii="MuseoSans-100" w:hAnsi="MuseoSans-100" w:cs="MuseoSans-100"/>
          <w:sz w:val="20"/>
          <w:szCs w:val="20"/>
        </w:rPr>
        <w:t>of Resolution 20 above, the Directors be authorised to make allotments of equity securities (as defined in Section 560(1) of the Companies Act 2006) wholly for cash:</w:t>
      </w:r>
    </w:p>
    <w:p w:rsidR="00EB1AE7" w:rsidRDefault="00EB1AE7" w:rsidP="00EB1AE7">
      <w:pPr>
        <w:pStyle w:val="ListParagraph"/>
        <w:numPr>
          <w:ilvl w:val="1"/>
          <w:numId w:val="5"/>
        </w:numPr>
        <w:adjustRightInd w:val="0"/>
        <w:spacing w:line="240" w:lineRule="auto"/>
        <w:rPr>
          <w:rFonts w:ascii="MuseoSans-100" w:hAnsi="MuseoSans-100" w:cs="MuseoSans-100"/>
          <w:sz w:val="20"/>
          <w:szCs w:val="20"/>
          <w:lang w:val="en-US"/>
        </w:rPr>
      </w:pPr>
      <w:r w:rsidRPr="00EB1AE7">
        <w:rPr>
          <w:rFonts w:ascii="MuseoSans-100" w:hAnsi="MuseoSans-100" w:cs="MuseoSans-100"/>
          <w:sz w:val="20"/>
          <w:szCs w:val="20"/>
          <w:lang w:val="en-US"/>
        </w:rPr>
        <w:t>pursuant to the authority given in paragraph (a) of Resolution 20 above or where the allotment constitutes an allotment of equity securities by virtue of Section 560(3) of the Companies Act 2006 and, in each case:</w:t>
      </w:r>
    </w:p>
    <w:p w:rsidR="00EB1AE7" w:rsidRPr="00EB1AE7" w:rsidRDefault="00EB1AE7" w:rsidP="00EB1AE7">
      <w:pPr>
        <w:pStyle w:val="ListParagraph"/>
        <w:adjustRightInd w:val="0"/>
        <w:spacing w:line="240" w:lineRule="auto"/>
        <w:ind w:left="678"/>
        <w:rPr>
          <w:rFonts w:ascii="MuseoSans-100" w:hAnsi="MuseoSans-100" w:cs="MuseoSans-100"/>
          <w:sz w:val="20"/>
          <w:szCs w:val="20"/>
          <w:lang w:val="en-US"/>
        </w:rPr>
      </w:pPr>
    </w:p>
    <w:p w:rsidR="00EB1AE7" w:rsidRDefault="00EB1AE7" w:rsidP="00EB1AE7">
      <w:pPr>
        <w:pStyle w:val="ListParagraph"/>
        <w:numPr>
          <w:ilvl w:val="2"/>
          <w:numId w:val="5"/>
        </w:numPr>
        <w:adjustRightInd w:val="0"/>
        <w:rPr>
          <w:rFonts w:ascii="MuseoSans-100" w:hAnsi="MuseoSans-100" w:cs="MuseoSans-100"/>
          <w:sz w:val="20"/>
          <w:szCs w:val="20"/>
          <w:lang w:val="en-US"/>
        </w:rPr>
      </w:pPr>
      <w:r w:rsidRPr="00EB1AE7">
        <w:rPr>
          <w:rFonts w:ascii="MuseoSans-100" w:hAnsi="MuseoSans-100" w:cs="MuseoSans-100"/>
          <w:sz w:val="20"/>
          <w:szCs w:val="20"/>
          <w:lang w:val="en-US"/>
        </w:rPr>
        <w:t>in connection with a pre-emptive offer; and</w:t>
      </w:r>
    </w:p>
    <w:p w:rsidR="00EB1AE7" w:rsidRPr="00EB1AE7" w:rsidRDefault="00EB1AE7" w:rsidP="00EB1AE7">
      <w:pPr>
        <w:pStyle w:val="ListParagraph"/>
        <w:adjustRightInd w:val="0"/>
        <w:ind w:left="960"/>
        <w:rPr>
          <w:rFonts w:ascii="MuseoSans-100" w:hAnsi="MuseoSans-100" w:cs="MuseoSans-100"/>
          <w:sz w:val="20"/>
          <w:szCs w:val="20"/>
          <w:lang w:val="en-US"/>
        </w:rPr>
      </w:pPr>
    </w:p>
    <w:p w:rsidR="00EB1AE7" w:rsidRDefault="00EB1AE7" w:rsidP="00420AD1">
      <w:pPr>
        <w:pStyle w:val="ListParagraph"/>
        <w:numPr>
          <w:ilvl w:val="2"/>
          <w:numId w:val="5"/>
        </w:numPr>
        <w:adjustRightInd w:val="0"/>
        <w:rPr>
          <w:rFonts w:ascii="MuseoSans-100" w:hAnsi="MuseoSans-100" w:cs="MuseoSans-100"/>
          <w:sz w:val="20"/>
          <w:szCs w:val="20"/>
          <w:lang w:val="en-US"/>
        </w:rPr>
      </w:pPr>
      <w:bookmarkStart w:id="0" w:name="_GoBack"/>
      <w:bookmarkEnd w:id="0"/>
      <w:r w:rsidRPr="00EB1AE7">
        <w:rPr>
          <w:rFonts w:ascii="MuseoSans-100" w:hAnsi="MuseoSans-100" w:cs="MuseoSans-100"/>
          <w:sz w:val="20"/>
          <w:szCs w:val="20"/>
          <w:lang w:val="en-US"/>
        </w:rPr>
        <w:t>otherwise than in connection with a pre-emptive offer, up to an aggregate nominal amount of £8.62; and</w:t>
      </w:r>
    </w:p>
    <w:p w:rsidR="00EB1AE7" w:rsidRPr="00EB1AE7" w:rsidRDefault="00EB1AE7" w:rsidP="00EB1AE7">
      <w:pPr>
        <w:pStyle w:val="ListParagraph"/>
        <w:adjustRightInd w:val="0"/>
        <w:spacing w:line="240" w:lineRule="auto"/>
        <w:ind w:left="678" w:hanging="284"/>
        <w:rPr>
          <w:rFonts w:ascii="MuseoSans-100" w:hAnsi="MuseoSans-100" w:cs="MuseoSans-100"/>
          <w:sz w:val="20"/>
          <w:szCs w:val="20"/>
          <w:lang w:val="en-US"/>
        </w:rPr>
      </w:pPr>
    </w:p>
    <w:p w:rsidR="00EB1AE7" w:rsidRPr="00EB1AE7" w:rsidRDefault="00EB1AE7" w:rsidP="00420AD1">
      <w:pPr>
        <w:pStyle w:val="ListParagraph"/>
        <w:numPr>
          <w:ilvl w:val="1"/>
          <w:numId w:val="5"/>
        </w:numPr>
        <w:adjustRightInd w:val="0"/>
        <w:spacing w:line="240" w:lineRule="auto"/>
        <w:rPr>
          <w:rFonts w:ascii="MuseoSans-100" w:hAnsi="MuseoSans-100" w:cs="MuseoSans-100"/>
          <w:sz w:val="20"/>
          <w:szCs w:val="20"/>
          <w:lang w:val="en-US"/>
        </w:rPr>
      </w:pPr>
      <w:r w:rsidRPr="00EB1AE7">
        <w:rPr>
          <w:rFonts w:ascii="MuseoSans-100" w:hAnsi="MuseoSans-100" w:cs="MuseoSans-100"/>
          <w:sz w:val="20"/>
          <w:szCs w:val="20"/>
          <w:lang w:val="en-US"/>
        </w:rPr>
        <w:t xml:space="preserve">pursuant to the authority given in paragraph (b) of Resolution 20 in connection with a pre-emptive rights issue, </w:t>
      </w:r>
    </w:p>
    <w:p w:rsidR="00EB1AE7" w:rsidRPr="00EB1AE7" w:rsidRDefault="00EB1AE7" w:rsidP="00EB1AE7">
      <w:pPr>
        <w:pStyle w:val="ListParagraph"/>
        <w:ind w:left="0"/>
        <w:rPr>
          <w:rFonts w:ascii="MuseoSans-100" w:hAnsi="MuseoSans-100" w:cs="MuseoSans-100"/>
          <w:sz w:val="20"/>
          <w:szCs w:val="20"/>
        </w:rPr>
      </w:pPr>
    </w:p>
    <w:p w:rsidR="00EB1AE7" w:rsidRDefault="00EB1AE7" w:rsidP="00EB1AE7">
      <w:pPr>
        <w:pStyle w:val="ListParagraph"/>
        <w:ind w:left="0"/>
        <w:rPr>
          <w:rFonts w:ascii="MuseoSans-100" w:hAnsi="MuseoSans-100" w:cs="MuseoSans-100"/>
          <w:sz w:val="20"/>
          <w:szCs w:val="20"/>
        </w:rPr>
      </w:pPr>
      <w:proofErr w:type="gramStart"/>
      <w:r w:rsidRPr="00EB1AE7">
        <w:rPr>
          <w:rFonts w:ascii="MuseoSans-100" w:hAnsi="MuseoSans-100" w:cs="MuseoSans-100"/>
          <w:sz w:val="20"/>
          <w:szCs w:val="20"/>
        </w:rPr>
        <w:t>as if Section 561(1) of the Companies Act 2006 did not apply to any such allotment, and such authority shall (unless previously revoked or renewed) expire at the end of the next AGM or at the close of business on 30 June 2022, whichever is the earlier, save that the said authority shall permit the Company to make an offer or enter into an agreement before the expiry of such authority which would or might require equity securities to be allotted or treasury shares to be sold after such expiry and the Directors may allot equity securities and sell treasury shares in pursuance of such offer or agreement as if such authority conferred had not expired.</w:t>
      </w:r>
      <w:proofErr w:type="gramEnd"/>
      <w:r w:rsidRPr="00EB1AE7">
        <w:rPr>
          <w:rFonts w:ascii="MuseoSans-100" w:hAnsi="MuseoSans-100" w:cs="MuseoSans-100"/>
          <w:sz w:val="20"/>
          <w:szCs w:val="20"/>
        </w:rPr>
        <w:t xml:space="preserve"> For the purposes of this Resolution, the nominal amount of any securities shall be taken to be, in the case of rights to subscribe for or convert any securities into shares of the Company, the nominal amount of such </w:t>
      </w:r>
      <w:proofErr w:type="gramStart"/>
      <w:r w:rsidRPr="00EB1AE7">
        <w:rPr>
          <w:rFonts w:ascii="MuseoSans-100" w:hAnsi="MuseoSans-100" w:cs="MuseoSans-100"/>
          <w:sz w:val="20"/>
          <w:szCs w:val="20"/>
        </w:rPr>
        <w:t>shares which</w:t>
      </w:r>
      <w:proofErr w:type="gramEnd"/>
      <w:r w:rsidRPr="00EB1AE7">
        <w:rPr>
          <w:rFonts w:ascii="MuseoSans-100" w:hAnsi="MuseoSans-100" w:cs="MuseoSans-100"/>
          <w:sz w:val="20"/>
          <w:szCs w:val="20"/>
        </w:rPr>
        <w:t xml:space="preserve"> may be allotted pursuant to such rights. </w:t>
      </w:r>
    </w:p>
    <w:p w:rsidR="00EB1AE7" w:rsidRPr="00EB1AE7" w:rsidRDefault="00EB1AE7" w:rsidP="00EB1AE7">
      <w:pPr>
        <w:pStyle w:val="ListParagraph"/>
        <w:ind w:left="0"/>
        <w:rPr>
          <w:rFonts w:ascii="MuseoSans-100" w:hAnsi="MuseoSans-100" w:cs="MuseoSans-100"/>
          <w:sz w:val="20"/>
          <w:szCs w:val="20"/>
        </w:rPr>
      </w:pPr>
    </w:p>
    <w:p w:rsidR="00DF6B6C" w:rsidRPr="00EB1AE7" w:rsidRDefault="00EB1AE7" w:rsidP="00EB1AE7">
      <w:pPr>
        <w:pStyle w:val="ListParagraph"/>
        <w:ind w:left="0"/>
        <w:rPr>
          <w:rFonts w:ascii="MuseoSans-100" w:hAnsi="MuseoSans-100" w:cs="MuseoSans-100"/>
          <w:b/>
          <w:sz w:val="20"/>
          <w:szCs w:val="20"/>
          <w:lang w:val="en-US"/>
        </w:rPr>
      </w:pPr>
      <w:proofErr w:type="gramStart"/>
      <w:r w:rsidRPr="00EB1AE7">
        <w:rPr>
          <w:rFonts w:ascii="MuseoSans-100" w:hAnsi="MuseoSans-100" w:cs="MuseoSans-100"/>
          <w:sz w:val="20"/>
          <w:szCs w:val="20"/>
        </w:rPr>
        <w:t>For the purposes of this Resolution, ‘</w:t>
      </w:r>
      <w:r w:rsidRPr="00EB1AE7">
        <w:rPr>
          <w:rFonts w:ascii="MuseoSans-100" w:hAnsi="MuseoSans-100" w:cs="MuseoSans-100"/>
          <w:b/>
          <w:bCs/>
          <w:sz w:val="20"/>
          <w:szCs w:val="20"/>
        </w:rPr>
        <w:t>pre-emptive offer</w:t>
      </w:r>
      <w:r w:rsidRPr="00EB1AE7">
        <w:rPr>
          <w:rFonts w:ascii="MuseoSans-100" w:hAnsi="MuseoSans-100" w:cs="MuseoSans-100"/>
          <w:sz w:val="20"/>
          <w:szCs w:val="20"/>
        </w:rPr>
        <w:t>’ means an offer of equity securities open for acceptance for a period fixed by the Directors to: (a) holders (other than the Company) on the register on a record date fixed by the Directors of ordinary shares in proportion to their respective holdings; and (b) other persons so entitled by virtue of the rights attaching to any other equity securities held by them, but subject in both cases to such exclusions or other arrangements as the Directors may deem necessary or expedient in relation to treasury shares, fractional entitlements, record dates or legal, regulatory or practical problems in, or under the laws of, any territory.</w:t>
      </w:r>
      <w:proofErr w:type="gramEnd"/>
    </w:p>
    <w:p w:rsidR="00EB1AE7" w:rsidRDefault="00EB1AE7" w:rsidP="00EB1AE7">
      <w:pPr>
        <w:pStyle w:val="ListParagraph"/>
        <w:ind w:left="0"/>
        <w:rPr>
          <w:rFonts w:ascii="MuseoSans-100" w:hAnsi="MuseoSans-100" w:cs="MuseoSans-100"/>
          <w:b/>
          <w:sz w:val="20"/>
          <w:szCs w:val="20"/>
          <w:lang w:val="en-US"/>
        </w:rPr>
      </w:pPr>
    </w:p>
    <w:p w:rsidR="00CD2938" w:rsidRDefault="005974D7" w:rsidP="00CD2938">
      <w:pPr>
        <w:pStyle w:val="ListParagraph"/>
        <w:numPr>
          <w:ilvl w:val="0"/>
          <w:numId w:val="5"/>
        </w:numPr>
        <w:adjustRightInd w:val="0"/>
        <w:spacing w:line="240" w:lineRule="auto"/>
        <w:ind w:left="0"/>
        <w:rPr>
          <w:rFonts w:ascii="MuseoSans-100" w:hAnsi="MuseoSans-100" w:cs="MuseoSans-100"/>
          <w:sz w:val="20"/>
          <w:szCs w:val="20"/>
        </w:rPr>
      </w:pPr>
      <w:r w:rsidRPr="005B6A63">
        <w:rPr>
          <w:rFonts w:ascii="MuseoSans-100" w:hAnsi="MuseoSans-100" w:cs="MuseoSans-100"/>
          <w:sz w:val="20"/>
          <w:szCs w:val="20"/>
          <w:lang w:val="en-US"/>
        </w:rPr>
        <w:t>R</w:t>
      </w:r>
      <w:r w:rsidR="00EB1AE7">
        <w:rPr>
          <w:rFonts w:ascii="MuseoSans-100" w:hAnsi="MuseoSans-100" w:cs="MuseoSans-100"/>
          <w:sz w:val="20"/>
          <w:szCs w:val="20"/>
          <w:lang w:val="en-US"/>
        </w:rPr>
        <w:t>esolution 22</w:t>
      </w:r>
      <w:r w:rsidRPr="005B6A63">
        <w:rPr>
          <w:rFonts w:ascii="MuseoSans-100" w:hAnsi="MuseoSans-100" w:cs="MuseoSans-100"/>
          <w:sz w:val="20"/>
          <w:szCs w:val="20"/>
          <w:lang w:val="en-US"/>
        </w:rPr>
        <w:t xml:space="preserve"> - </w:t>
      </w:r>
      <w:r w:rsidR="00DF6B6C" w:rsidRPr="005B6A63">
        <w:rPr>
          <w:rFonts w:ascii="MuseoSans-100" w:hAnsi="MuseoSans-100" w:cs="MuseoSans-100"/>
          <w:sz w:val="20"/>
          <w:szCs w:val="20"/>
          <w:lang w:val="en-US"/>
        </w:rPr>
        <w:t xml:space="preserve">THAT, subject to the passing </w:t>
      </w:r>
      <w:r w:rsidR="00CD2938" w:rsidRPr="00CD2938">
        <w:rPr>
          <w:rFonts w:ascii="MuseoSans-100" w:hAnsi="MuseoSans-100" w:cs="MuseoSans-100"/>
          <w:sz w:val="20"/>
          <w:szCs w:val="20"/>
        </w:rPr>
        <w:t>of Resolution 20 above and in addition to the authority granted under Resolution 21 above, the Directors be authorised to allot equity securities (as defined in Section 560(1) of the Companies Act 2006) wholly for cash pursuant to the authority given by Resolution 20 above or where the allotment constitutes an allotment of equity securities by virtue of Section 560(3) of the Companies Act 2006 as if Section 561(1) of the Companies Act 2006 did not apply to any such allotment, such authority to be:</w:t>
      </w:r>
    </w:p>
    <w:p w:rsidR="00CD2938" w:rsidRPr="00CD2938" w:rsidRDefault="00CD2938" w:rsidP="00CD2938">
      <w:pPr>
        <w:pStyle w:val="ListParagraph"/>
        <w:adjustRightInd w:val="0"/>
        <w:spacing w:line="240" w:lineRule="auto"/>
        <w:ind w:left="0"/>
        <w:rPr>
          <w:rFonts w:ascii="MuseoSans-100" w:hAnsi="MuseoSans-100" w:cs="MuseoSans-100"/>
          <w:sz w:val="20"/>
          <w:szCs w:val="20"/>
        </w:rPr>
      </w:pPr>
    </w:p>
    <w:p w:rsidR="00CD2938" w:rsidRDefault="00CD2938" w:rsidP="00420AD1">
      <w:pPr>
        <w:pStyle w:val="ListParagraph"/>
        <w:numPr>
          <w:ilvl w:val="1"/>
          <w:numId w:val="5"/>
        </w:numPr>
        <w:adjustRightInd w:val="0"/>
        <w:rPr>
          <w:rFonts w:ascii="MuseoSans-100" w:hAnsi="MuseoSans-100" w:cs="MuseoSans-100"/>
          <w:sz w:val="20"/>
          <w:szCs w:val="20"/>
          <w:lang w:val="en-US"/>
        </w:rPr>
      </w:pPr>
      <w:r w:rsidRPr="00CD2938">
        <w:rPr>
          <w:rFonts w:ascii="MuseoSans-100" w:hAnsi="MuseoSans-100" w:cs="MuseoSans-100"/>
          <w:sz w:val="20"/>
          <w:szCs w:val="20"/>
          <w:lang w:val="en-US"/>
        </w:rPr>
        <w:t>limited to the allotment of equity securities or sale of treasury shares up to an aggregate nominal amount of £8.62; and</w:t>
      </w:r>
    </w:p>
    <w:p w:rsidR="00420AD1" w:rsidRPr="00CD2938" w:rsidRDefault="00420AD1" w:rsidP="00420AD1">
      <w:pPr>
        <w:pStyle w:val="ListParagraph"/>
        <w:adjustRightInd w:val="0"/>
        <w:ind w:left="678"/>
        <w:rPr>
          <w:rFonts w:ascii="MuseoSans-100" w:hAnsi="MuseoSans-100" w:cs="MuseoSans-100"/>
          <w:sz w:val="20"/>
          <w:szCs w:val="20"/>
          <w:lang w:val="en-US"/>
        </w:rPr>
      </w:pPr>
    </w:p>
    <w:p w:rsidR="00CD2938" w:rsidRDefault="00CD2938" w:rsidP="00420AD1">
      <w:pPr>
        <w:pStyle w:val="ListParagraph"/>
        <w:numPr>
          <w:ilvl w:val="1"/>
          <w:numId w:val="5"/>
        </w:numPr>
        <w:adjustRightInd w:val="0"/>
        <w:rPr>
          <w:rFonts w:ascii="MuseoSans-100" w:hAnsi="MuseoSans-100" w:cs="MuseoSans-100"/>
          <w:sz w:val="20"/>
          <w:szCs w:val="20"/>
          <w:lang w:val="en-US"/>
        </w:rPr>
      </w:pPr>
      <w:r w:rsidRPr="00CD2938">
        <w:rPr>
          <w:rFonts w:ascii="MuseoSans-100" w:hAnsi="MuseoSans-100" w:cs="MuseoSans-100"/>
          <w:sz w:val="20"/>
          <w:szCs w:val="20"/>
          <w:lang w:val="en-US"/>
        </w:rPr>
        <w:t xml:space="preserve">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w:t>
      </w:r>
      <w:proofErr w:type="spellStart"/>
      <w:r w:rsidRPr="00CD2938">
        <w:rPr>
          <w:rFonts w:ascii="MuseoSans-100" w:hAnsi="MuseoSans-100" w:cs="MuseoSans-100"/>
          <w:sz w:val="20"/>
          <w:szCs w:val="20"/>
          <w:lang w:val="en-US"/>
        </w:rPr>
        <w:t>Disapplying</w:t>
      </w:r>
      <w:proofErr w:type="spellEnd"/>
      <w:r w:rsidRPr="00CD2938">
        <w:rPr>
          <w:rFonts w:ascii="MuseoSans-100" w:hAnsi="MuseoSans-100" w:cs="MuseoSans-100"/>
          <w:sz w:val="20"/>
          <w:szCs w:val="20"/>
          <w:lang w:val="en-US"/>
        </w:rPr>
        <w:t xml:space="preserve"> Pre-Emption Rights most recently published by the Pre- Emption Group prior to the date of this Notice, </w:t>
      </w:r>
    </w:p>
    <w:p w:rsidR="00CD2938" w:rsidRPr="00CD2938" w:rsidRDefault="00CD2938" w:rsidP="00CD2938">
      <w:pPr>
        <w:pStyle w:val="ListParagraph"/>
        <w:adjustRightInd w:val="0"/>
        <w:ind w:left="678" w:hanging="284"/>
        <w:rPr>
          <w:rFonts w:ascii="MuseoSans-100" w:hAnsi="MuseoSans-100" w:cs="MuseoSans-100"/>
          <w:sz w:val="20"/>
          <w:szCs w:val="20"/>
          <w:lang w:val="en-US"/>
        </w:rPr>
      </w:pPr>
    </w:p>
    <w:p w:rsidR="00DF6B6C" w:rsidRPr="00CD2938" w:rsidRDefault="00CD2938" w:rsidP="00CD2938">
      <w:pPr>
        <w:pStyle w:val="ListParagraph"/>
        <w:adjustRightInd w:val="0"/>
        <w:spacing w:line="240" w:lineRule="auto"/>
        <w:ind w:left="0"/>
        <w:rPr>
          <w:rFonts w:ascii="MuseoSans-100" w:hAnsi="MuseoSans-100" w:cs="MuseoSans-100"/>
          <w:b/>
          <w:sz w:val="20"/>
          <w:szCs w:val="20"/>
          <w:lang w:val="en-US"/>
        </w:rPr>
      </w:pPr>
      <w:proofErr w:type="gramStart"/>
      <w:r w:rsidRPr="00CD2938">
        <w:rPr>
          <w:rFonts w:ascii="MuseoSans-100" w:hAnsi="MuseoSans-100" w:cs="MuseoSans-100"/>
          <w:sz w:val="20"/>
          <w:szCs w:val="20"/>
        </w:rPr>
        <w:t>provided that this authority shall (unless previously revoked or renewed) expire at the end of the next AGM or at the close of business on 30 June 2022, whichever is the earlier, but so that the Company may, before such expiry, make offers and enter into agreements which would, or might, require equity securities to be allotted and treasury shares to be sold after the authority given by this resolution has expired and the Directors may allot equity securities and sell treasury shares under any such offer or agreement as if the authority had not expired.</w:t>
      </w:r>
      <w:proofErr w:type="gramEnd"/>
    </w:p>
    <w:p w:rsidR="00CD2938" w:rsidRPr="00DF6B6C" w:rsidRDefault="00CD2938" w:rsidP="00CD2938">
      <w:pPr>
        <w:pStyle w:val="ListParagraph"/>
        <w:adjustRightInd w:val="0"/>
        <w:spacing w:line="240" w:lineRule="auto"/>
        <w:ind w:left="0"/>
        <w:rPr>
          <w:rFonts w:ascii="MuseoSans-100" w:hAnsi="MuseoSans-100" w:cs="MuseoSans-100"/>
          <w:b/>
          <w:sz w:val="20"/>
          <w:szCs w:val="20"/>
          <w:lang w:val="en-US"/>
        </w:rPr>
      </w:pPr>
    </w:p>
    <w:p w:rsidR="00DF6B6C" w:rsidRDefault="00DF6B6C" w:rsidP="00DF6B6C">
      <w:pPr>
        <w:pStyle w:val="ListParagraph"/>
        <w:adjustRightInd w:val="0"/>
        <w:ind w:left="0"/>
        <w:rPr>
          <w:rFonts w:ascii="MuseoSans-100" w:hAnsi="MuseoSans-100" w:cs="MuseoSans-100"/>
          <w:b/>
          <w:sz w:val="20"/>
          <w:szCs w:val="20"/>
          <w:u w:val="single"/>
        </w:rPr>
      </w:pPr>
      <w:r w:rsidRPr="00DF6B6C">
        <w:rPr>
          <w:rFonts w:ascii="MuseoSans-100" w:hAnsi="MuseoSans-100" w:cs="MuseoSans-100"/>
          <w:b/>
          <w:sz w:val="20"/>
          <w:szCs w:val="20"/>
          <w:u w:val="single"/>
        </w:rPr>
        <w:t>Notice of General Meetings</w:t>
      </w:r>
    </w:p>
    <w:p w:rsidR="00DF6B6C" w:rsidRPr="00DF6B6C" w:rsidRDefault="00DF6B6C" w:rsidP="00DF6B6C">
      <w:pPr>
        <w:pStyle w:val="ListParagraph"/>
        <w:adjustRightInd w:val="0"/>
        <w:ind w:left="0"/>
        <w:rPr>
          <w:rFonts w:ascii="MuseoSans-100" w:hAnsi="MuseoSans-100" w:cs="MuseoSans-100"/>
          <w:b/>
          <w:sz w:val="20"/>
          <w:szCs w:val="20"/>
          <w:u w:val="single"/>
        </w:rPr>
      </w:pPr>
    </w:p>
    <w:p w:rsidR="00DF6B6C" w:rsidRPr="00F634C5" w:rsidRDefault="00420AD1" w:rsidP="00DF6B6C">
      <w:pPr>
        <w:pStyle w:val="ListParagraph"/>
        <w:numPr>
          <w:ilvl w:val="0"/>
          <w:numId w:val="5"/>
        </w:numPr>
        <w:adjustRightInd w:val="0"/>
        <w:spacing w:line="240" w:lineRule="auto"/>
        <w:ind w:left="0"/>
        <w:rPr>
          <w:rFonts w:ascii="MuseoSans-100" w:hAnsi="MuseoSans-100" w:cs="MuseoSans-100"/>
          <w:sz w:val="20"/>
          <w:szCs w:val="20"/>
          <w:lang w:val="en-US"/>
        </w:rPr>
      </w:pPr>
      <w:r>
        <w:rPr>
          <w:rFonts w:ascii="MuseoSans-100" w:hAnsi="MuseoSans-100" w:cs="MuseoSans-100"/>
          <w:sz w:val="20"/>
          <w:szCs w:val="20"/>
          <w:lang w:val="en-US"/>
        </w:rPr>
        <w:t>Resolution 23</w:t>
      </w:r>
      <w:r w:rsidR="005974D7" w:rsidRPr="00F634C5">
        <w:rPr>
          <w:rFonts w:ascii="MuseoSans-100" w:hAnsi="MuseoSans-100" w:cs="MuseoSans-100"/>
          <w:sz w:val="20"/>
          <w:szCs w:val="20"/>
          <w:lang w:val="en-US"/>
        </w:rPr>
        <w:t xml:space="preserve"> -</w:t>
      </w:r>
      <w:r w:rsidR="00DF6B6C" w:rsidRPr="00F634C5">
        <w:rPr>
          <w:rFonts w:ascii="MuseoSans-100" w:hAnsi="MuseoSans-100" w:cs="MuseoSans-100"/>
          <w:sz w:val="20"/>
          <w:szCs w:val="20"/>
          <w:lang w:val="en-US"/>
        </w:rPr>
        <w:t>THAT a general meeting of the Company (other than an annual general meeting) may be called on not less than 14 clear days’ notice.</w:t>
      </w:r>
    </w:p>
    <w:p w:rsidR="00F53875" w:rsidRPr="00F53875" w:rsidRDefault="00F53875" w:rsidP="00E5715A">
      <w:pPr>
        <w:pStyle w:val="ListParagraph"/>
        <w:autoSpaceDE w:val="0"/>
        <w:autoSpaceDN w:val="0"/>
        <w:adjustRightInd w:val="0"/>
        <w:spacing w:after="0" w:line="240" w:lineRule="auto"/>
        <w:ind w:left="0"/>
        <w:rPr>
          <w:rFonts w:ascii="MuseoSans-100" w:hAnsi="MuseoSans-100" w:cs="MuseoSans-100"/>
          <w:sz w:val="17"/>
          <w:szCs w:val="17"/>
          <w:lang w:val="en-US"/>
        </w:rPr>
      </w:pPr>
    </w:p>
    <w:p w:rsidR="00F53875" w:rsidRPr="00F53875" w:rsidRDefault="00F53875" w:rsidP="00F53875">
      <w:pPr>
        <w:autoSpaceDE w:val="0"/>
        <w:autoSpaceDN w:val="0"/>
        <w:adjustRightInd w:val="0"/>
        <w:spacing w:after="0" w:line="240" w:lineRule="auto"/>
        <w:rPr>
          <w:rFonts w:ascii="MuseoSans-100" w:hAnsi="MuseoSans-100" w:cs="MuseoSans-100"/>
          <w:sz w:val="17"/>
          <w:szCs w:val="17"/>
          <w:lang w:val="en-US"/>
        </w:rPr>
      </w:pPr>
    </w:p>
    <w:p w:rsidR="00F53875" w:rsidRPr="00F53875" w:rsidRDefault="00F53875" w:rsidP="00F53875">
      <w:pPr>
        <w:autoSpaceDE w:val="0"/>
        <w:autoSpaceDN w:val="0"/>
        <w:adjustRightInd w:val="0"/>
        <w:spacing w:after="0" w:line="240" w:lineRule="auto"/>
        <w:rPr>
          <w:rFonts w:ascii="MuseoSans-100" w:hAnsi="MuseoSans-100" w:cs="MuseoSans-100"/>
          <w:sz w:val="17"/>
          <w:szCs w:val="17"/>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r w:rsidRPr="00DF6B6C">
        <w:rPr>
          <w:rFonts w:ascii="MuseoSans-100" w:hAnsi="MuseoSans-100" w:cs="MuseoSans-100"/>
          <w:b/>
          <w:sz w:val="20"/>
          <w:szCs w:val="20"/>
          <w:lang w:val="en-US"/>
        </w:rPr>
        <w:t xml:space="preserve">Signed </w:t>
      </w:r>
    </w:p>
    <w:p w:rsidR="00F74D66" w:rsidRDefault="00F74D66" w:rsidP="002F2B5B">
      <w:pPr>
        <w:autoSpaceDE w:val="0"/>
        <w:autoSpaceDN w:val="0"/>
        <w:adjustRightInd w:val="0"/>
        <w:spacing w:after="0" w:line="240" w:lineRule="auto"/>
        <w:rPr>
          <w:rFonts w:ascii="MuseoSans-100" w:hAnsi="MuseoSans-100" w:cs="MuseoSans-100"/>
          <w:sz w:val="17"/>
          <w:szCs w:val="17"/>
        </w:rPr>
      </w:pPr>
    </w:p>
    <w:p w:rsidR="00F74D66" w:rsidRDefault="00FF57D9" w:rsidP="002F2B5B">
      <w:pPr>
        <w:autoSpaceDE w:val="0"/>
        <w:autoSpaceDN w:val="0"/>
        <w:adjustRightInd w:val="0"/>
        <w:spacing w:after="0" w:line="240" w:lineRule="auto"/>
        <w:rPr>
          <w:rFonts w:ascii="MuseoSans-100" w:hAnsi="MuseoSans-100" w:cs="MuseoSans-100"/>
          <w:sz w:val="17"/>
          <w:szCs w:val="17"/>
        </w:rPr>
      </w:pPr>
      <w:r w:rsidRPr="009720B8">
        <w:rPr>
          <w:noProof/>
          <w:lang w:eastAsia="en-GB"/>
        </w:rPr>
        <w:drawing>
          <wp:inline distT="0" distB="0" distL="0" distR="0">
            <wp:extent cx="1647825" cy="495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rsidR="00F74D66" w:rsidRDefault="00F74D66" w:rsidP="002F2B5B">
      <w:pPr>
        <w:autoSpaceDE w:val="0"/>
        <w:autoSpaceDN w:val="0"/>
        <w:adjustRightInd w:val="0"/>
        <w:spacing w:after="0" w:line="240" w:lineRule="auto"/>
        <w:rPr>
          <w:rFonts w:ascii="MuseoSans-100" w:hAnsi="MuseoSans-100" w:cs="MuseoSans-100"/>
          <w:sz w:val="17"/>
          <w:szCs w:val="17"/>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p>
    <w:p w:rsidR="00F74D66" w:rsidRPr="00DF6B6C" w:rsidRDefault="00F53875" w:rsidP="002F2B5B">
      <w:pPr>
        <w:autoSpaceDE w:val="0"/>
        <w:autoSpaceDN w:val="0"/>
        <w:adjustRightInd w:val="0"/>
        <w:spacing w:after="0" w:line="240" w:lineRule="auto"/>
        <w:rPr>
          <w:rFonts w:ascii="MuseoSans-100" w:hAnsi="MuseoSans-100" w:cs="MuseoSans-100"/>
          <w:b/>
          <w:sz w:val="20"/>
          <w:szCs w:val="20"/>
          <w:lang w:val="en-US"/>
        </w:rPr>
      </w:pPr>
      <w:r w:rsidRPr="00DF6B6C">
        <w:rPr>
          <w:rFonts w:ascii="MuseoSans-100" w:hAnsi="MuseoSans-100" w:cs="MuseoSans-100"/>
          <w:b/>
          <w:sz w:val="20"/>
          <w:szCs w:val="20"/>
          <w:lang w:val="en-US"/>
        </w:rPr>
        <w:t xml:space="preserve">Melissa Conway </w:t>
      </w:r>
      <w:r w:rsidR="00F74D66" w:rsidRPr="00DF6B6C">
        <w:rPr>
          <w:rFonts w:ascii="MuseoSans-100" w:hAnsi="MuseoSans-100" w:cs="MuseoSans-100"/>
          <w:b/>
          <w:sz w:val="20"/>
          <w:szCs w:val="20"/>
          <w:lang w:val="en-US"/>
        </w:rPr>
        <w:t xml:space="preserve"> </w:t>
      </w: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p>
    <w:p w:rsidR="00F74D66" w:rsidRPr="00DF6B6C" w:rsidRDefault="00F74D66" w:rsidP="002F2B5B">
      <w:pPr>
        <w:autoSpaceDE w:val="0"/>
        <w:autoSpaceDN w:val="0"/>
        <w:adjustRightInd w:val="0"/>
        <w:spacing w:after="0" w:line="240" w:lineRule="auto"/>
        <w:rPr>
          <w:rFonts w:ascii="MuseoSans-100" w:hAnsi="MuseoSans-100" w:cs="MuseoSans-100"/>
          <w:b/>
          <w:sz w:val="20"/>
          <w:szCs w:val="20"/>
          <w:lang w:val="en-US"/>
        </w:rPr>
      </w:pPr>
      <w:r w:rsidRPr="00DF6B6C">
        <w:rPr>
          <w:rFonts w:ascii="MuseoSans-100" w:hAnsi="MuseoSans-100" w:cs="MuseoSans-100"/>
          <w:b/>
          <w:sz w:val="20"/>
          <w:szCs w:val="20"/>
          <w:lang w:val="en-US"/>
        </w:rPr>
        <w:t xml:space="preserve">Company Secretary </w:t>
      </w:r>
      <w:r w:rsidRPr="00DF6B6C">
        <w:rPr>
          <w:rFonts w:ascii="MuseoSans-100" w:hAnsi="MuseoSans-100" w:cs="MuseoSans-100"/>
          <w:b/>
          <w:sz w:val="20"/>
          <w:szCs w:val="20"/>
          <w:lang w:val="en-US"/>
        </w:rPr>
        <w:tab/>
      </w:r>
      <w:r>
        <w:rPr>
          <w:rFonts w:ascii="MuseoSans-100" w:hAnsi="MuseoSans-100" w:cs="MuseoSans-100"/>
          <w:sz w:val="17"/>
          <w:szCs w:val="17"/>
        </w:rPr>
        <w:tab/>
      </w:r>
      <w:r>
        <w:rPr>
          <w:rFonts w:ascii="MuseoSans-100" w:hAnsi="MuseoSans-100" w:cs="MuseoSans-100"/>
          <w:sz w:val="17"/>
          <w:szCs w:val="17"/>
        </w:rPr>
        <w:tab/>
      </w:r>
      <w:r>
        <w:rPr>
          <w:rFonts w:ascii="MuseoSans-100" w:hAnsi="MuseoSans-100" w:cs="MuseoSans-100"/>
          <w:sz w:val="17"/>
          <w:szCs w:val="17"/>
        </w:rPr>
        <w:tab/>
      </w:r>
      <w:r>
        <w:rPr>
          <w:rFonts w:ascii="MuseoSans-100" w:hAnsi="MuseoSans-100" w:cs="MuseoSans-100"/>
          <w:sz w:val="17"/>
          <w:szCs w:val="17"/>
        </w:rPr>
        <w:tab/>
      </w:r>
      <w:r>
        <w:rPr>
          <w:rFonts w:ascii="MuseoSans-100" w:hAnsi="MuseoSans-100" w:cs="MuseoSans-100"/>
          <w:sz w:val="17"/>
          <w:szCs w:val="17"/>
        </w:rPr>
        <w:tab/>
      </w:r>
      <w:r w:rsidRPr="00DF6B6C">
        <w:rPr>
          <w:rFonts w:ascii="MuseoSans-100" w:hAnsi="MuseoSans-100" w:cs="MuseoSans-100"/>
          <w:b/>
          <w:sz w:val="20"/>
          <w:szCs w:val="20"/>
          <w:lang w:val="en-US"/>
        </w:rPr>
        <w:t xml:space="preserve">Date: </w:t>
      </w:r>
      <w:r w:rsidR="00CD2938">
        <w:rPr>
          <w:rFonts w:ascii="MuseoSans-100" w:hAnsi="MuseoSans-100" w:cs="MuseoSans-100"/>
          <w:b/>
          <w:sz w:val="20"/>
          <w:szCs w:val="20"/>
          <w:lang w:val="en-US"/>
        </w:rPr>
        <w:t>18 May 2021</w:t>
      </w:r>
    </w:p>
    <w:sectPr w:rsidR="00F74D66" w:rsidRPr="00DF6B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useo Sans 500">
    <w:altName w:val="Times New Roman"/>
    <w:charset w:val="00"/>
    <w:family w:val="modern"/>
    <w:pitch w:val="variable"/>
  </w:font>
  <w:font w:name="Museo Sans 100">
    <w:altName w:val="Arial"/>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Sans-700">
    <w:panose1 w:val="00000000000000000000"/>
    <w:charset w:val="00"/>
    <w:family w:val="swiss"/>
    <w:notTrueType/>
    <w:pitch w:val="default"/>
    <w:sig w:usb0="00000003" w:usb1="00000000" w:usb2="00000000" w:usb3="00000000" w:csb0="00000001" w:csb1="00000000"/>
  </w:font>
  <w:font w:name="MuseoSans-10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987"/>
    <w:multiLevelType w:val="hybridMultilevel"/>
    <w:tmpl w:val="35E854E4"/>
    <w:lvl w:ilvl="0" w:tplc="3A8A47BA">
      <w:start w:val="1"/>
      <w:numFmt w:val="lowerLetter"/>
      <w:lvlText w:val="%1."/>
      <w:lvlJc w:val="left"/>
      <w:pPr>
        <w:ind w:left="393" w:hanging="284"/>
      </w:pPr>
      <w:rPr>
        <w:rFonts w:ascii="Tahoma" w:eastAsia="Tahoma" w:hAnsi="Tahoma" w:cs="Tahoma" w:hint="default"/>
        <w:spacing w:val="0"/>
        <w:w w:val="78"/>
        <w:sz w:val="17"/>
        <w:szCs w:val="17"/>
      </w:rPr>
    </w:lvl>
    <w:lvl w:ilvl="1" w:tplc="16369C5E">
      <w:start w:val="1"/>
      <w:numFmt w:val="decimal"/>
      <w:lvlText w:val="%2."/>
      <w:lvlJc w:val="left"/>
      <w:pPr>
        <w:ind w:left="393" w:hanging="284"/>
      </w:pPr>
      <w:rPr>
        <w:rFonts w:ascii="Arial" w:eastAsia="Arial" w:hAnsi="Arial" w:cs="Arial" w:hint="default"/>
        <w:spacing w:val="0"/>
        <w:w w:val="89"/>
        <w:sz w:val="17"/>
        <w:szCs w:val="17"/>
      </w:rPr>
    </w:lvl>
    <w:lvl w:ilvl="2" w:tplc="2C3E8F50">
      <w:start w:val="1"/>
      <w:numFmt w:val="lowerLetter"/>
      <w:lvlText w:val="%3)"/>
      <w:lvlJc w:val="left"/>
      <w:pPr>
        <w:ind w:left="678" w:hanging="284"/>
      </w:pPr>
      <w:rPr>
        <w:rFonts w:ascii="Tahoma" w:eastAsia="Tahoma" w:hAnsi="Tahoma" w:cs="Tahoma" w:hint="default"/>
        <w:spacing w:val="-1"/>
        <w:w w:val="72"/>
        <w:sz w:val="17"/>
        <w:szCs w:val="17"/>
      </w:rPr>
    </w:lvl>
    <w:lvl w:ilvl="3" w:tplc="51C8EC5E">
      <w:start w:val="1"/>
      <w:numFmt w:val="lowerRoman"/>
      <w:lvlText w:val="(%4)"/>
      <w:lvlJc w:val="left"/>
      <w:pPr>
        <w:ind w:left="960" w:hanging="284"/>
      </w:pPr>
      <w:rPr>
        <w:rFonts w:ascii="Tahoma" w:eastAsia="Tahoma" w:hAnsi="Tahoma" w:cs="Tahoma" w:hint="default"/>
        <w:w w:val="72"/>
        <w:sz w:val="17"/>
        <w:szCs w:val="17"/>
      </w:rPr>
    </w:lvl>
    <w:lvl w:ilvl="4" w:tplc="63BECB54">
      <w:numFmt w:val="bullet"/>
      <w:lvlText w:val="•"/>
      <w:lvlJc w:val="left"/>
      <w:pPr>
        <w:ind w:left="3321" w:hanging="284"/>
      </w:pPr>
      <w:rPr>
        <w:rFonts w:hint="default"/>
      </w:rPr>
    </w:lvl>
    <w:lvl w:ilvl="5" w:tplc="D9D8C2D0">
      <w:numFmt w:val="bullet"/>
      <w:lvlText w:val="•"/>
      <w:lvlJc w:val="left"/>
      <w:pPr>
        <w:ind w:left="4502" w:hanging="284"/>
      </w:pPr>
      <w:rPr>
        <w:rFonts w:hint="default"/>
      </w:rPr>
    </w:lvl>
    <w:lvl w:ilvl="6" w:tplc="4266A018">
      <w:numFmt w:val="bullet"/>
      <w:lvlText w:val="•"/>
      <w:lvlJc w:val="left"/>
      <w:pPr>
        <w:ind w:left="5682" w:hanging="284"/>
      </w:pPr>
      <w:rPr>
        <w:rFonts w:hint="default"/>
      </w:rPr>
    </w:lvl>
    <w:lvl w:ilvl="7" w:tplc="2092DE1C">
      <w:numFmt w:val="bullet"/>
      <w:lvlText w:val="•"/>
      <w:lvlJc w:val="left"/>
      <w:pPr>
        <w:ind w:left="6863" w:hanging="284"/>
      </w:pPr>
      <w:rPr>
        <w:rFonts w:hint="default"/>
      </w:rPr>
    </w:lvl>
    <w:lvl w:ilvl="8" w:tplc="628277B0">
      <w:numFmt w:val="bullet"/>
      <w:lvlText w:val="•"/>
      <w:lvlJc w:val="left"/>
      <w:pPr>
        <w:ind w:left="8044" w:hanging="284"/>
      </w:pPr>
      <w:rPr>
        <w:rFonts w:hint="default"/>
      </w:rPr>
    </w:lvl>
  </w:abstractNum>
  <w:abstractNum w:abstractNumId="1" w15:restartNumberingAfterBreak="0">
    <w:nsid w:val="0FE33081"/>
    <w:multiLevelType w:val="hybridMultilevel"/>
    <w:tmpl w:val="B0983194"/>
    <w:lvl w:ilvl="0" w:tplc="79789694">
      <w:start w:val="1"/>
      <w:numFmt w:val="decimal"/>
      <w:lvlText w:val="%1."/>
      <w:lvlJc w:val="left"/>
      <w:pPr>
        <w:ind w:left="393" w:hanging="284"/>
      </w:pPr>
      <w:rPr>
        <w:rFonts w:ascii="Museo Sans 500" w:eastAsia="Museo Sans 500" w:hAnsi="Museo Sans 500" w:cs="Museo Sans 500" w:hint="default"/>
        <w:spacing w:val="-12"/>
        <w:w w:val="100"/>
        <w:sz w:val="17"/>
        <w:szCs w:val="17"/>
      </w:rPr>
    </w:lvl>
    <w:lvl w:ilvl="1" w:tplc="5880B9D2">
      <w:start w:val="1"/>
      <w:numFmt w:val="lowerLetter"/>
      <w:lvlText w:val="%2)"/>
      <w:lvlJc w:val="left"/>
      <w:pPr>
        <w:ind w:left="678" w:hanging="284"/>
      </w:pPr>
      <w:rPr>
        <w:rFonts w:ascii="Museo Sans 100" w:eastAsia="Museo Sans 100" w:hAnsi="Museo Sans 100" w:cs="Museo Sans 100" w:hint="default"/>
        <w:spacing w:val="-3"/>
        <w:w w:val="100"/>
        <w:sz w:val="17"/>
        <w:szCs w:val="17"/>
      </w:rPr>
    </w:lvl>
    <w:lvl w:ilvl="2" w:tplc="3BC2080A">
      <w:start w:val="1"/>
      <w:numFmt w:val="lowerRoman"/>
      <w:lvlText w:val="(%3)"/>
      <w:lvlJc w:val="left"/>
      <w:pPr>
        <w:ind w:left="960" w:hanging="284"/>
      </w:pPr>
      <w:rPr>
        <w:rFonts w:ascii="Museo Sans 100" w:eastAsia="Museo Sans 100" w:hAnsi="Museo Sans 100" w:cs="Museo Sans 100" w:hint="default"/>
        <w:spacing w:val="-2"/>
        <w:w w:val="100"/>
        <w:sz w:val="17"/>
        <w:szCs w:val="17"/>
      </w:rPr>
    </w:lvl>
    <w:lvl w:ilvl="3" w:tplc="D3086750">
      <w:numFmt w:val="bullet"/>
      <w:lvlText w:val="•"/>
      <w:lvlJc w:val="left"/>
      <w:pPr>
        <w:ind w:left="2140" w:hanging="284"/>
      </w:pPr>
      <w:rPr>
        <w:rFonts w:hint="default"/>
      </w:rPr>
    </w:lvl>
    <w:lvl w:ilvl="4" w:tplc="00A65B6C">
      <w:numFmt w:val="bullet"/>
      <w:lvlText w:val="•"/>
      <w:lvlJc w:val="left"/>
      <w:pPr>
        <w:ind w:left="3321" w:hanging="284"/>
      </w:pPr>
      <w:rPr>
        <w:rFonts w:hint="default"/>
      </w:rPr>
    </w:lvl>
    <w:lvl w:ilvl="5" w:tplc="D72AF82E">
      <w:numFmt w:val="bullet"/>
      <w:lvlText w:val="•"/>
      <w:lvlJc w:val="left"/>
      <w:pPr>
        <w:ind w:left="4502" w:hanging="284"/>
      </w:pPr>
      <w:rPr>
        <w:rFonts w:hint="default"/>
      </w:rPr>
    </w:lvl>
    <w:lvl w:ilvl="6" w:tplc="B07294CE">
      <w:numFmt w:val="bullet"/>
      <w:lvlText w:val="•"/>
      <w:lvlJc w:val="left"/>
      <w:pPr>
        <w:ind w:left="5682" w:hanging="284"/>
      </w:pPr>
      <w:rPr>
        <w:rFonts w:hint="default"/>
      </w:rPr>
    </w:lvl>
    <w:lvl w:ilvl="7" w:tplc="4254072E">
      <w:numFmt w:val="bullet"/>
      <w:lvlText w:val="•"/>
      <w:lvlJc w:val="left"/>
      <w:pPr>
        <w:ind w:left="6863" w:hanging="284"/>
      </w:pPr>
      <w:rPr>
        <w:rFonts w:hint="default"/>
      </w:rPr>
    </w:lvl>
    <w:lvl w:ilvl="8" w:tplc="AE24481A">
      <w:numFmt w:val="bullet"/>
      <w:lvlText w:val="•"/>
      <w:lvlJc w:val="left"/>
      <w:pPr>
        <w:ind w:left="8044" w:hanging="284"/>
      </w:pPr>
      <w:rPr>
        <w:rFonts w:hint="default"/>
      </w:rPr>
    </w:lvl>
  </w:abstractNum>
  <w:abstractNum w:abstractNumId="2" w15:restartNumberingAfterBreak="0">
    <w:nsid w:val="16F146BD"/>
    <w:multiLevelType w:val="hybridMultilevel"/>
    <w:tmpl w:val="9E26846E"/>
    <w:lvl w:ilvl="0" w:tplc="E346A3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D78ED"/>
    <w:multiLevelType w:val="hybridMultilevel"/>
    <w:tmpl w:val="66A09092"/>
    <w:lvl w:ilvl="0" w:tplc="1D106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E5CD6"/>
    <w:multiLevelType w:val="hybridMultilevel"/>
    <w:tmpl w:val="1130DD96"/>
    <w:lvl w:ilvl="0" w:tplc="4F9C7352">
      <w:start w:val="1"/>
      <w:numFmt w:val="decimal"/>
      <w:lvlText w:val="%1."/>
      <w:lvlJc w:val="left"/>
      <w:pPr>
        <w:ind w:left="393" w:hanging="284"/>
      </w:pPr>
      <w:rPr>
        <w:rFonts w:ascii="Museo Sans 500" w:eastAsia="Museo Sans 500" w:hAnsi="Museo Sans 500" w:cs="Museo Sans 500" w:hint="default"/>
        <w:spacing w:val="-12"/>
        <w:w w:val="100"/>
        <w:sz w:val="20"/>
        <w:szCs w:val="20"/>
      </w:rPr>
    </w:lvl>
    <w:lvl w:ilvl="1" w:tplc="5880B9D2">
      <w:start w:val="1"/>
      <w:numFmt w:val="lowerLetter"/>
      <w:lvlText w:val="%2)"/>
      <w:lvlJc w:val="left"/>
      <w:pPr>
        <w:ind w:left="678" w:hanging="284"/>
      </w:pPr>
      <w:rPr>
        <w:rFonts w:ascii="Museo Sans 100" w:eastAsia="Museo Sans 100" w:hAnsi="Museo Sans 100" w:cs="Museo Sans 100" w:hint="default"/>
        <w:spacing w:val="-3"/>
        <w:w w:val="100"/>
        <w:sz w:val="17"/>
        <w:szCs w:val="17"/>
      </w:rPr>
    </w:lvl>
    <w:lvl w:ilvl="2" w:tplc="3BC2080A">
      <w:start w:val="1"/>
      <w:numFmt w:val="lowerRoman"/>
      <w:lvlText w:val="(%3)"/>
      <w:lvlJc w:val="left"/>
      <w:pPr>
        <w:ind w:left="960" w:hanging="284"/>
      </w:pPr>
      <w:rPr>
        <w:rFonts w:ascii="Museo Sans 100" w:eastAsia="Museo Sans 100" w:hAnsi="Museo Sans 100" w:cs="Museo Sans 100" w:hint="default"/>
        <w:spacing w:val="-2"/>
        <w:w w:val="100"/>
        <w:sz w:val="17"/>
        <w:szCs w:val="17"/>
      </w:rPr>
    </w:lvl>
    <w:lvl w:ilvl="3" w:tplc="D3086750">
      <w:numFmt w:val="bullet"/>
      <w:lvlText w:val="•"/>
      <w:lvlJc w:val="left"/>
      <w:pPr>
        <w:ind w:left="2140" w:hanging="284"/>
      </w:pPr>
      <w:rPr>
        <w:rFonts w:hint="default"/>
      </w:rPr>
    </w:lvl>
    <w:lvl w:ilvl="4" w:tplc="00A65B6C">
      <w:numFmt w:val="bullet"/>
      <w:lvlText w:val="•"/>
      <w:lvlJc w:val="left"/>
      <w:pPr>
        <w:ind w:left="3321" w:hanging="284"/>
      </w:pPr>
      <w:rPr>
        <w:rFonts w:hint="default"/>
      </w:rPr>
    </w:lvl>
    <w:lvl w:ilvl="5" w:tplc="D72AF82E">
      <w:numFmt w:val="bullet"/>
      <w:lvlText w:val="•"/>
      <w:lvlJc w:val="left"/>
      <w:pPr>
        <w:ind w:left="4502" w:hanging="284"/>
      </w:pPr>
      <w:rPr>
        <w:rFonts w:hint="default"/>
      </w:rPr>
    </w:lvl>
    <w:lvl w:ilvl="6" w:tplc="B07294CE">
      <w:numFmt w:val="bullet"/>
      <w:lvlText w:val="•"/>
      <w:lvlJc w:val="left"/>
      <w:pPr>
        <w:ind w:left="5682" w:hanging="284"/>
      </w:pPr>
      <w:rPr>
        <w:rFonts w:hint="default"/>
      </w:rPr>
    </w:lvl>
    <w:lvl w:ilvl="7" w:tplc="4254072E">
      <w:numFmt w:val="bullet"/>
      <w:lvlText w:val="•"/>
      <w:lvlJc w:val="left"/>
      <w:pPr>
        <w:ind w:left="6863" w:hanging="284"/>
      </w:pPr>
      <w:rPr>
        <w:rFonts w:hint="default"/>
      </w:rPr>
    </w:lvl>
    <w:lvl w:ilvl="8" w:tplc="AE24481A">
      <w:numFmt w:val="bullet"/>
      <w:lvlText w:val="•"/>
      <w:lvlJc w:val="left"/>
      <w:pPr>
        <w:ind w:left="8044" w:hanging="284"/>
      </w:pPr>
      <w:rPr>
        <w:rFonts w:hint="default"/>
      </w:rPr>
    </w:lvl>
  </w:abstractNum>
  <w:abstractNum w:abstractNumId="5" w15:restartNumberingAfterBreak="0">
    <w:nsid w:val="703A43D9"/>
    <w:multiLevelType w:val="hybridMultilevel"/>
    <w:tmpl w:val="2FB80E14"/>
    <w:lvl w:ilvl="0" w:tplc="68B8C02A">
      <w:start w:val="1"/>
      <w:numFmt w:val="lowerLetter"/>
      <w:lvlText w:val="%1."/>
      <w:lvlJc w:val="left"/>
      <w:pPr>
        <w:ind w:left="676" w:hanging="284"/>
      </w:pPr>
      <w:rPr>
        <w:rFonts w:ascii="Tahoma" w:eastAsia="Tahoma" w:hAnsi="Tahoma" w:cs="Tahoma" w:hint="default"/>
        <w:spacing w:val="0"/>
        <w:w w:val="78"/>
        <w:sz w:val="17"/>
        <w:szCs w:val="17"/>
      </w:rPr>
    </w:lvl>
    <w:lvl w:ilvl="1" w:tplc="B35EB3B6">
      <w:numFmt w:val="bullet"/>
      <w:lvlText w:val="•"/>
      <w:lvlJc w:val="left"/>
      <w:pPr>
        <w:ind w:left="1652" w:hanging="284"/>
      </w:pPr>
      <w:rPr>
        <w:rFonts w:hint="default"/>
      </w:rPr>
    </w:lvl>
    <w:lvl w:ilvl="2" w:tplc="E2963C00">
      <w:numFmt w:val="bullet"/>
      <w:lvlText w:val="•"/>
      <w:lvlJc w:val="left"/>
      <w:pPr>
        <w:ind w:left="2625" w:hanging="284"/>
      </w:pPr>
      <w:rPr>
        <w:rFonts w:hint="default"/>
      </w:rPr>
    </w:lvl>
    <w:lvl w:ilvl="3" w:tplc="424CF350">
      <w:numFmt w:val="bullet"/>
      <w:lvlText w:val="•"/>
      <w:lvlJc w:val="left"/>
      <w:pPr>
        <w:ind w:left="3597" w:hanging="284"/>
      </w:pPr>
      <w:rPr>
        <w:rFonts w:hint="default"/>
      </w:rPr>
    </w:lvl>
    <w:lvl w:ilvl="4" w:tplc="EA10FB30">
      <w:numFmt w:val="bullet"/>
      <w:lvlText w:val="•"/>
      <w:lvlJc w:val="left"/>
      <w:pPr>
        <w:ind w:left="4570" w:hanging="284"/>
      </w:pPr>
      <w:rPr>
        <w:rFonts w:hint="default"/>
      </w:rPr>
    </w:lvl>
    <w:lvl w:ilvl="5" w:tplc="FCDE7262">
      <w:numFmt w:val="bullet"/>
      <w:lvlText w:val="•"/>
      <w:lvlJc w:val="left"/>
      <w:pPr>
        <w:ind w:left="5542" w:hanging="284"/>
      </w:pPr>
      <w:rPr>
        <w:rFonts w:hint="default"/>
      </w:rPr>
    </w:lvl>
    <w:lvl w:ilvl="6" w:tplc="B7AA7692">
      <w:numFmt w:val="bullet"/>
      <w:lvlText w:val="•"/>
      <w:lvlJc w:val="left"/>
      <w:pPr>
        <w:ind w:left="6515" w:hanging="284"/>
      </w:pPr>
      <w:rPr>
        <w:rFonts w:hint="default"/>
      </w:rPr>
    </w:lvl>
    <w:lvl w:ilvl="7" w:tplc="5BF066D8">
      <w:numFmt w:val="bullet"/>
      <w:lvlText w:val="•"/>
      <w:lvlJc w:val="left"/>
      <w:pPr>
        <w:ind w:left="7487" w:hanging="284"/>
      </w:pPr>
      <w:rPr>
        <w:rFonts w:hint="default"/>
      </w:rPr>
    </w:lvl>
    <w:lvl w:ilvl="8" w:tplc="EFFC195A">
      <w:numFmt w:val="bullet"/>
      <w:lvlText w:val="•"/>
      <w:lvlJc w:val="left"/>
      <w:pPr>
        <w:ind w:left="8460" w:hanging="284"/>
      </w:pPr>
      <w:rPr>
        <w:rFont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E6"/>
    <w:rsid w:val="0011297A"/>
    <w:rsid w:val="001747E5"/>
    <w:rsid w:val="002F2B5B"/>
    <w:rsid w:val="00420AD1"/>
    <w:rsid w:val="005974D7"/>
    <w:rsid w:val="005B2A7C"/>
    <w:rsid w:val="005B6A63"/>
    <w:rsid w:val="00653774"/>
    <w:rsid w:val="00721270"/>
    <w:rsid w:val="0079598D"/>
    <w:rsid w:val="00810193"/>
    <w:rsid w:val="00895DE1"/>
    <w:rsid w:val="008F355D"/>
    <w:rsid w:val="009A26FC"/>
    <w:rsid w:val="00A16A6C"/>
    <w:rsid w:val="00A304E5"/>
    <w:rsid w:val="00A936FF"/>
    <w:rsid w:val="00AF7245"/>
    <w:rsid w:val="00B441E6"/>
    <w:rsid w:val="00B6521B"/>
    <w:rsid w:val="00B71BBE"/>
    <w:rsid w:val="00CA44C4"/>
    <w:rsid w:val="00CD2938"/>
    <w:rsid w:val="00CD747F"/>
    <w:rsid w:val="00DF6B6C"/>
    <w:rsid w:val="00E5715A"/>
    <w:rsid w:val="00EB1AE7"/>
    <w:rsid w:val="00F53875"/>
    <w:rsid w:val="00F634C5"/>
    <w:rsid w:val="00F74D66"/>
    <w:rsid w:val="00FC0E2D"/>
    <w:rsid w:val="00FC1954"/>
    <w:rsid w:val="00FE3ECE"/>
    <w:rsid w:val="00FF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C07AF-E871-4585-B788-9A55CA0C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21B"/>
    <w:pPr>
      <w:ind w:left="720"/>
      <w:contextualSpacing/>
    </w:pPr>
  </w:style>
  <w:style w:type="paragraph" w:customStyle="1" w:styleId="Body">
    <w:name w:val="Body"/>
    <w:link w:val="BodyChar"/>
    <w:rsid w:val="0079598D"/>
    <w:pPr>
      <w:spacing w:after="140" w:line="290" w:lineRule="auto"/>
      <w:jc w:val="both"/>
    </w:pPr>
    <w:rPr>
      <w:rFonts w:ascii="Arial" w:eastAsia="Times New Roman" w:hAnsi="Arial" w:cs="Times New Roman"/>
      <w:kern w:val="20"/>
      <w:sz w:val="20"/>
      <w:szCs w:val="20"/>
    </w:rPr>
  </w:style>
  <w:style w:type="paragraph" w:styleId="Title">
    <w:name w:val="Title"/>
    <w:basedOn w:val="Normal"/>
    <w:next w:val="Body"/>
    <w:link w:val="TitleChar"/>
    <w:qFormat/>
    <w:rsid w:val="0079598D"/>
    <w:pPr>
      <w:keepNext/>
      <w:keepLines/>
      <w:spacing w:after="240" w:line="290" w:lineRule="auto"/>
      <w:jc w:val="both"/>
    </w:pPr>
    <w:rPr>
      <w:rFonts w:ascii="Arial" w:eastAsia="Times New Roman" w:hAnsi="Arial" w:cs="Times New Roman"/>
      <w:b/>
      <w:kern w:val="20"/>
      <w:sz w:val="25"/>
      <w:szCs w:val="20"/>
    </w:rPr>
  </w:style>
  <w:style w:type="character" w:customStyle="1" w:styleId="TitleChar">
    <w:name w:val="Title Char"/>
    <w:basedOn w:val="DefaultParagraphFont"/>
    <w:link w:val="Title"/>
    <w:rsid w:val="0079598D"/>
    <w:rPr>
      <w:rFonts w:ascii="Arial" w:eastAsia="Times New Roman" w:hAnsi="Arial" w:cs="Times New Roman"/>
      <w:b/>
      <w:kern w:val="20"/>
      <w:sz w:val="25"/>
      <w:szCs w:val="20"/>
    </w:rPr>
  </w:style>
  <w:style w:type="character" w:customStyle="1" w:styleId="BodyChar">
    <w:name w:val="Body Char"/>
    <w:basedOn w:val="DefaultParagraphFont"/>
    <w:link w:val="Body"/>
    <w:locked/>
    <w:rsid w:val="0079598D"/>
    <w:rPr>
      <w:rFonts w:ascii="Arial" w:eastAsia="Times New Roman" w:hAnsi="Arial" w:cs="Times New Roman"/>
      <w:kern w:val="20"/>
      <w:sz w:val="20"/>
      <w:szCs w:val="20"/>
    </w:rPr>
  </w:style>
  <w:style w:type="paragraph" w:customStyle="1" w:styleId="Titleitalic">
    <w:name w:val="Title italic"/>
    <w:basedOn w:val="Normal"/>
    <w:rsid w:val="0079598D"/>
    <w:pPr>
      <w:keepNext/>
      <w:keepLines/>
      <w:spacing w:after="240" w:line="288" w:lineRule="auto"/>
      <w:jc w:val="center"/>
      <w:outlineLvl w:val="0"/>
    </w:pPr>
    <w:rPr>
      <w:rFonts w:ascii="Times New Roman" w:eastAsia="Times New Roman" w:hAnsi="Times New Roman" w:cs="Times New Roman"/>
      <w:i/>
      <w:kern w:val="20"/>
      <w:sz w:val="20"/>
      <w:szCs w:val="20"/>
    </w:rPr>
  </w:style>
  <w:style w:type="paragraph" w:customStyle="1" w:styleId="Title16">
    <w:name w:val="Title16"/>
    <w:basedOn w:val="Normal"/>
    <w:rsid w:val="0079598D"/>
    <w:pPr>
      <w:keepNext/>
      <w:keepLines/>
      <w:spacing w:after="120" w:line="288" w:lineRule="auto"/>
      <w:jc w:val="center"/>
      <w:outlineLvl w:val="0"/>
    </w:pPr>
    <w:rPr>
      <w:rFonts w:ascii="Times New Roman" w:eastAsia="Times New Roman" w:hAnsi="Times New Roman" w:cs="Times New Roman"/>
      <w:b/>
      <w:kern w:val="2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Metro Bank</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Conway</dc:creator>
  <cp:keywords/>
  <dc:description/>
  <cp:lastModifiedBy>Alina Vasiliuk</cp:lastModifiedBy>
  <cp:revision>11</cp:revision>
  <dcterms:created xsi:type="dcterms:W3CDTF">2019-05-21T17:27:00Z</dcterms:created>
  <dcterms:modified xsi:type="dcterms:W3CDTF">2021-05-17T15:10:00Z</dcterms:modified>
</cp:coreProperties>
</file>