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5C218" w14:textId="2CDB8C4A" w:rsidR="00885082" w:rsidRPr="001D51E2" w:rsidRDefault="00885082">
      <w:pPr>
        <w:rPr>
          <w:rFonts w:cstheme="minorHAnsi"/>
          <w:color w:val="000000" w:themeColor="text1"/>
        </w:rPr>
      </w:pPr>
    </w:p>
    <w:p w14:paraId="33096006" w14:textId="368645C8" w:rsidR="001D51E2" w:rsidRPr="00D43CDB" w:rsidRDefault="00D43CDB" w:rsidP="00D43CDB">
      <w:pPr>
        <w:pStyle w:val="BasicParagraph"/>
        <w:suppressAutoHyphens/>
        <w:jc w:val="center"/>
        <w:rPr>
          <w:rFonts w:asciiTheme="minorHAnsi" w:hAnsiTheme="minorHAnsi" w:cstheme="minorHAnsi"/>
          <w:b/>
          <w:bCs/>
          <w:color w:val="000000" w:themeColor="text1"/>
          <w:sz w:val="28"/>
          <w:szCs w:val="28"/>
          <w:lang w:val="en-US"/>
        </w:rPr>
      </w:pPr>
      <w:r w:rsidRPr="00D43CDB">
        <w:rPr>
          <w:rFonts w:asciiTheme="minorHAnsi" w:hAnsiTheme="minorHAnsi" w:cstheme="minorHAnsi"/>
          <w:b/>
          <w:bCs/>
          <w:color w:val="000000" w:themeColor="text1"/>
          <w:sz w:val="28"/>
          <w:szCs w:val="28"/>
          <w:lang w:val="en-US"/>
        </w:rPr>
        <w:t>Develop North PLC</w:t>
      </w:r>
    </w:p>
    <w:p w14:paraId="18C2C63D" w14:textId="77777777" w:rsidR="001D51E2" w:rsidRPr="001D51E2" w:rsidRDefault="001D51E2" w:rsidP="00D43CDB">
      <w:pPr>
        <w:pStyle w:val="BasicParagraph"/>
        <w:tabs>
          <w:tab w:val="left" w:pos="380"/>
          <w:tab w:val="left" w:pos="620"/>
        </w:tabs>
        <w:suppressAutoHyphens/>
        <w:jc w:val="center"/>
        <w:rPr>
          <w:rFonts w:asciiTheme="minorHAnsi" w:hAnsiTheme="minorHAnsi" w:cstheme="minorHAnsi"/>
          <w:color w:val="000000" w:themeColor="text1"/>
          <w:sz w:val="22"/>
          <w:szCs w:val="22"/>
          <w:lang w:val="en-US"/>
        </w:rPr>
      </w:pPr>
    </w:p>
    <w:p w14:paraId="350A7451" w14:textId="6870F868" w:rsidR="001D51E2" w:rsidRPr="001D51E2" w:rsidRDefault="00D43CDB" w:rsidP="00D43CDB">
      <w:pPr>
        <w:pStyle w:val="BasicParagraph"/>
        <w:tabs>
          <w:tab w:val="left" w:pos="380"/>
          <w:tab w:val="left" w:pos="620"/>
        </w:tabs>
        <w:suppressAutoHyphens/>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(Incorporated in England and Wales with registered number 1039</w:t>
      </w:r>
      <w:r w:rsidR="005D45B5">
        <w:rPr>
          <w:rFonts w:asciiTheme="minorHAnsi" w:hAnsiTheme="minorHAnsi" w:cstheme="minorHAnsi"/>
          <w:color w:val="000000" w:themeColor="text1"/>
          <w:sz w:val="22"/>
          <w:szCs w:val="22"/>
          <w:lang w:val="en-US"/>
        </w:rPr>
        <w:t>5804</w:t>
      </w:r>
      <w:r>
        <w:rPr>
          <w:rFonts w:asciiTheme="minorHAnsi" w:hAnsiTheme="minorHAnsi" w:cstheme="minorHAnsi"/>
          <w:color w:val="000000" w:themeColor="text1"/>
          <w:sz w:val="22"/>
          <w:szCs w:val="22"/>
          <w:lang w:val="en-US"/>
        </w:rPr>
        <w:t xml:space="preserve"> and registered as an investment company under section 833 of the Companies Act 2006)</w:t>
      </w:r>
    </w:p>
    <w:p w14:paraId="2E20D6DB" w14:textId="77777777" w:rsidR="00D43CDB" w:rsidRDefault="00D43CDB" w:rsidP="008A59D9">
      <w:pPr>
        <w:pStyle w:val="BasicParagraph"/>
        <w:tabs>
          <w:tab w:val="left" w:pos="380"/>
          <w:tab w:val="left" w:pos="620"/>
        </w:tabs>
        <w:suppressAutoHyphens/>
        <w:spacing w:line="240" w:lineRule="auto"/>
        <w:jc w:val="both"/>
        <w:rPr>
          <w:rFonts w:asciiTheme="minorHAnsi" w:hAnsiTheme="minorHAnsi" w:cstheme="minorHAnsi"/>
          <w:color w:val="000000" w:themeColor="text1"/>
          <w:sz w:val="22"/>
          <w:szCs w:val="22"/>
          <w:lang w:val="en-US"/>
        </w:rPr>
      </w:pPr>
    </w:p>
    <w:p w14:paraId="724036DD" w14:textId="076718B0" w:rsidR="00C854BD" w:rsidRDefault="00925B19" w:rsidP="001D51E2">
      <w:pPr>
        <w:pStyle w:val="BasicParagraph"/>
        <w:tabs>
          <w:tab w:val="left" w:pos="380"/>
          <w:tab w:val="left" w:pos="620"/>
        </w:tabs>
        <w:suppressAutoHyphens/>
        <w:spacing w:after="113"/>
        <w:jc w:val="both"/>
        <w:rPr>
          <w:rFonts w:asciiTheme="minorHAnsi" w:hAnsiTheme="minorHAnsi" w:cstheme="minorHAnsi"/>
          <w:b/>
          <w:bCs/>
          <w:color w:val="000000" w:themeColor="text1"/>
          <w:sz w:val="22"/>
          <w:szCs w:val="22"/>
          <w:lang w:val="en-US"/>
        </w:rPr>
      </w:pPr>
      <w:r>
        <w:rPr>
          <w:rFonts w:asciiTheme="minorHAnsi" w:hAnsiTheme="minorHAnsi" w:cstheme="minorHAnsi"/>
          <w:b/>
          <w:bCs/>
          <w:color w:val="000000" w:themeColor="text1"/>
          <w:sz w:val="22"/>
          <w:szCs w:val="22"/>
          <w:lang w:val="en-US"/>
        </w:rPr>
        <w:t>Resolutions</w:t>
      </w:r>
      <w:r w:rsidR="00D43CDB">
        <w:rPr>
          <w:rFonts w:asciiTheme="minorHAnsi" w:hAnsiTheme="minorHAnsi" w:cstheme="minorHAnsi"/>
          <w:b/>
          <w:bCs/>
          <w:color w:val="000000" w:themeColor="text1"/>
          <w:sz w:val="22"/>
          <w:szCs w:val="22"/>
          <w:lang w:val="en-US"/>
        </w:rPr>
        <w:t xml:space="preserve"> passed</w:t>
      </w:r>
      <w:r>
        <w:rPr>
          <w:rFonts w:asciiTheme="minorHAnsi" w:hAnsiTheme="minorHAnsi" w:cstheme="minorHAnsi"/>
          <w:b/>
          <w:bCs/>
          <w:color w:val="000000" w:themeColor="text1"/>
          <w:sz w:val="22"/>
          <w:szCs w:val="22"/>
          <w:lang w:val="en-US"/>
        </w:rPr>
        <w:t xml:space="preserve"> as Special Business</w:t>
      </w:r>
      <w:r w:rsidR="00D43CDB">
        <w:rPr>
          <w:rFonts w:asciiTheme="minorHAnsi" w:hAnsiTheme="minorHAnsi" w:cstheme="minorHAnsi"/>
          <w:b/>
          <w:bCs/>
          <w:color w:val="000000" w:themeColor="text1"/>
          <w:sz w:val="22"/>
          <w:szCs w:val="22"/>
          <w:lang w:val="en-US"/>
        </w:rPr>
        <w:t xml:space="preserve"> at the Annual General Meetin</w:t>
      </w:r>
      <w:r w:rsidR="00C854BD">
        <w:rPr>
          <w:rFonts w:asciiTheme="minorHAnsi" w:hAnsiTheme="minorHAnsi" w:cstheme="minorHAnsi"/>
          <w:b/>
          <w:bCs/>
          <w:color w:val="000000" w:themeColor="text1"/>
          <w:sz w:val="22"/>
          <w:szCs w:val="22"/>
          <w:lang w:val="en-US"/>
        </w:rPr>
        <w:t xml:space="preserve">g held on </w:t>
      </w:r>
      <w:r w:rsidR="00337ADB">
        <w:rPr>
          <w:rFonts w:asciiTheme="minorHAnsi" w:hAnsiTheme="minorHAnsi" w:cstheme="minorHAnsi"/>
          <w:b/>
          <w:bCs/>
          <w:color w:val="000000" w:themeColor="text1"/>
          <w:sz w:val="22"/>
          <w:szCs w:val="22"/>
          <w:lang w:val="en-US"/>
        </w:rPr>
        <w:t>30 April 2026</w:t>
      </w:r>
    </w:p>
    <w:p w14:paraId="3DDFC40E" w14:textId="77777777" w:rsidR="00925B19" w:rsidRPr="00925B19" w:rsidRDefault="00925B19"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r w:rsidRPr="00925B19">
        <w:rPr>
          <w:rFonts w:asciiTheme="minorHAnsi" w:hAnsiTheme="minorHAnsi" w:cstheme="minorHAnsi"/>
          <w:color w:val="000000" w:themeColor="text1"/>
          <w:sz w:val="22"/>
          <w:szCs w:val="22"/>
          <w:lang w:val="en-US"/>
        </w:rPr>
        <w:t>Passed as an Ordinary Resolution:</w:t>
      </w:r>
    </w:p>
    <w:p w14:paraId="24F51551" w14:textId="6646E462" w:rsidR="00925B19" w:rsidRPr="00925B19" w:rsidRDefault="00DE52DF"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12</w:t>
      </w:r>
      <w:r w:rsidR="00925B19" w:rsidRPr="00925B19">
        <w:rPr>
          <w:rFonts w:asciiTheme="minorHAnsi" w:hAnsiTheme="minorHAnsi" w:cstheme="minorHAnsi"/>
          <w:color w:val="000000" w:themeColor="text1"/>
          <w:sz w:val="22"/>
          <w:szCs w:val="22"/>
          <w:lang w:val="en-US"/>
        </w:rPr>
        <w:t xml:space="preserve">. Authority to allot shares </w:t>
      </w:r>
    </w:p>
    <w:p w14:paraId="6B44EB03" w14:textId="24B819D7" w:rsidR="00925B19" w:rsidRDefault="00925B19"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r w:rsidRPr="00925B19">
        <w:rPr>
          <w:rFonts w:asciiTheme="minorHAnsi" w:hAnsiTheme="minorHAnsi" w:cstheme="minorHAnsi"/>
          <w:color w:val="000000" w:themeColor="text1"/>
          <w:sz w:val="22"/>
          <w:szCs w:val="22"/>
          <w:lang w:val="en-US"/>
        </w:rPr>
        <w:tab/>
        <w:t>THAT, in accordance with section 551 of the Companies Act 2006 (the “CA 2006”), the board of directors of the Company (or a duly constituted committee of the directors of the Company) (the “Directors”) be generally and unconditionally authorised to allot shares in the Company or grant rights to subscribe for or to convert any security into shares in the Company up to an aggregate nominal amount of £49,956 provided that this authority shall, unless renewed, varied or rev</w:t>
      </w:r>
      <w:r w:rsidR="00DE52DF">
        <w:rPr>
          <w:rFonts w:asciiTheme="minorHAnsi" w:hAnsiTheme="minorHAnsi" w:cstheme="minorHAnsi"/>
          <w:color w:val="000000" w:themeColor="text1"/>
          <w:sz w:val="22"/>
          <w:szCs w:val="22"/>
          <w:lang w:val="en-US"/>
        </w:rPr>
        <w:t>oked by the Company, expire on 30 July 2027</w:t>
      </w:r>
      <w:r w:rsidRPr="00925B19">
        <w:rPr>
          <w:rFonts w:asciiTheme="minorHAnsi" w:hAnsiTheme="minorHAnsi" w:cstheme="minorHAnsi"/>
          <w:color w:val="000000" w:themeColor="text1"/>
          <w:sz w:val="22"/>
          <w:szCs w:val="22"/>
          <w:lang w:val="en-US"/>
        </w:rPr>
        <w:t xml:space="preserve"> or, if earlier, the date of the next annual general meeting of the Company save that the Company may, before such expiry, make offers or agreements which would or might require shares in the Company to be allotted or rights to subscribe for or to convert any security into shares in the Company to be granted and the Directors may allot shares in the Company or grant rights to subscribe for or to convert any security into shares in the Company in pursuance of such offer or agreement notwithstanding that the authority conferred by this resolution has expired. This resolution revokes and replaces all unexercised authorities previously granted to the Directors to allot shares in the Company or grant rights to subscribe for or to convert any security into shares in the Company but without prejudice to any allotment of shares or grant of rights already made, offered or agreed to be made pursuant to such authorities</w:t>
      </w:r>
      <w:r w:rsidRPr="00D041E9">
        <w:rPr>
          <w:rFonts w:asciiTheme="minorHAnsi" w:hAnsiTheme="minorHAnsi" w:cstheme="minorHAnsi"/>
          <w:color w:val="000000" w:themeColor="text1"/>
          <w:sz w:val="22"/>
          <w:szCs w:val="22"/>
          <w:lang w:val="en-US"/>
        </w:rPr>
        <w:t xml:space="preserve"> </w:t>
      </w:r>
    </w:p>
    <w:p w14:paraId="63D73CE4" w14:textId="77777777" w:rsidR="00925B19" w:rsidRDefault="00925B19"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Passed as Special Resolutions: </w:t>
      </w:r>
    </w:p>
    <w:p w14:paraId="32F0AA06" w14:textId="59ADB095" w:rsidR="00D041E9" w:rsidRPr="00D041E9" w:rsidRDefault="00DE52DF"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13</w:t>
      </w:r>
      <w:r w:rsidR="00D041E9" w:rsidRPr="00D041E9">
        <w:rPr>
          <w:rFonts w:asciiTheme="minorHAnsi" w:hAnsiTheme="minorHAnsi" w:cstheme="minorHAnsi"/>
          <w:color w:val="000000" w:themeColor="text1"/>
          <w:sz w:val="22"/>
          <w:szCs w:val="22"/>
          <w:lang w:val="en-US"/>
        </w:rPr>
        <w:t xml:space="preserve">. Disapplication of pre-emption rights </w:t>
      </w:r>
    </w:p>
    <w:p w14:paraId="7CE9C124" w14:textId="043547D3" w:rsidR="00D041E9" w:rsidRPr="00D041E9" w:rsidRDefault="00D041E9"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ab/>
      </w:r>
      <w:r w:rsidRPr="00D041E9">
        <w:rPr>
          <w:rFonts w:asciiTheme="minorHAnsi" w:hAnsiTheme="minorHAnsi" w:cstheme="minorHAnsi"/>
          <w:color w:val="000000" w:themeColor="text1"/>
          <w:sz w:val="22"/>
          <w:szCs w:val="22"/>
          <w:lang w:val="en-US"/>
        </w:rPr>
        <w:t>THAT, subject</w:t>
      </w:r>
      <w:r w:rsidR="00DE52DF">
        <w:rPr>
          <w:rFonts w:asciiTheme="minorHAnsi" w:hAnsiTheme="minorHAnsi" w:cstheme="minorHAnsi"/>
          <w:color w:val="000000" w:themeColor="text1"/>
          <w:sz w:val="22"/>
          <w:szCs w:val="22"/>
          <w:lang w:val="en-US"/>
        </w:rPr>
        <w:t xml:space="preserve"> to the passing of resolution 12</w:t>
      </w:r>
      <w:r w:rsidRPr="00D041E9">
        <w:rPr>
          <w:rFonts w:asciiTheme="minorHAnsi" w:hAnsiTheme="minorHAnsi" w:cstheme="minorHAnsi"/>
          <w:color w:val="000000" w:themeColor="text1"/>
          <w:sz w:val="22"/>
          <w:szCs w:val="22"/>
          <w:lang w:val="en-US"/>
        </w:rPr>
        <w:t xml:space="preserve"> and in accordance with section 570 of the CA 2006, the Directors be authorised to allot equity securities (as defined in section 560 of the CA 2006) for cash under the auth</w:t>
      </w:r>
      <w:r w:rsidR="00DE52DF">
        <w:rPr>
          <w:rFonts w:asciiTheme="minorHAnsi" w:hAnsiTheme="minorHAnsi" w:cstheme="minorHAnsi"/>
          <w:color w:val="000000" w:themeColor="text1"/>
          <w:sz w:val="22"/>
          <w:szCs w:val="22"/>
          <w:lang w:val="en-US"/>
        </w:rPr>
        <w:t>ority conferred by resolution 12</w:t>
      </w:r>
      <w:r w:rsidRPr="00D041E9">
        <w:rPr>
          <w:rFonts w:asciiTheme="minorHAnsi" w:hAnsiTheme="minorHAnsi" w:cstheme="minorHAnsi"/>
          <w:color w:val="000000" w:themeColor="text1"/>
          <w:sz w:val="22"/>
          <w:szCs w:val="22"/>
          <w:lang w:val="en-US"/>
        </w:rPr>
        <w:t xml:space="preserve"> and/or to sell ordinary shares of one pence each in the capital of the Company held by the Company as treasury shares as if section 561 of the CA 2006 did not apply to any such allotment or sale, provi</w:t>
      </w:r>
      <w:r w:rsidR="002A4094">
        <w:rPr>
          <w:rFonts w:asciiTheme="minorHAnsi" w:hAnsiTheme="minorHAnsi" w:cstheme="minorHAnsi"/>
          <w:color w:val="000000" w:themeColor="text1"/>
          <w:sz w:val="22"/>
          <w:szCs w:val="22"/>
          <w:lang w:val="en-US"/>
        </w:rPr>
        <w:t>ded that such authority shall</w:t>
      </w:r>
      <w:r w:rsidRPr="00D041E9">
        <w:rPr>
          <w:rFonts w:asciiTheme="minorHAnsi" w:hAnsiTheme="minorHAnsi" w:cstheme="minorHAnsi"/>
          <w:color w:val="000000" w:themeColor="text1"/>
          <w:sz w:val="22"/>
          <w:szCs w:val="22"/>
          <w:lang w:val="en-US"/>
        </w:rPr>
        <w:t xml:space="preserve"> be limited to the allotment of equity securities or sale of treasury shares up to an aggregate nominal amount of £49,956. The authority granted by this resolution will, unless renewed, varied or revoked by the Company, expire at the conclusion of the Company’s next annual general meeting after this resolution is passed or, if earlier, at the close of business on</w:t>
      </w:r>
      <w:r w:rsidR="00DE52DF">
        <w:rPr>
          <w:rFonts w:asciiTheme="minorHAnsi" w:hAnsiTheme="minorHAnsi" w:cstheme="minorHAnsi"/>
          <w:color w:val="000000" w:themeColor="text1"/>
          <w:sz w:val="22"/>
          <w:szCs w:val="22"/>
          <w:lang w:val="en-US"/>
        </w:rPr>
        <w:t xml:space="preserve"> 30 July 2027</w:t>
      </w:r>
      <w:r w:rsidRPr="00D041E9">
        <w:rPr>
          <w:rFonts w:asciiTheme="minorHAnsi" w:hAnsiTheme="minorHAnsi" w:cstheme="minorHAnsi"/>
          <w:color w:val="000000" w:themeColor="text1"/>
          <w:sz w:val="22"/>
          <w:szCs w:val="22"/>
          <w:lang w:val="en-US"/>
        </w:rPr>
        <w:t xml:space="preserve">, save that the Company may, before such expiry make offers or agreements which would or might require equity securities to be allotted (or treasury shares to be sold) after the authority expires and the Directors may allot equity securities (or sell treasury shares) in pursuance of any such offer or agreement as if the authority had not expired. This resolution revokes and replaces all unexercised powers previously granted to the Directors to allot equity securities or sell treasury shares as if section 561 of the CA 2006 did not apply but without prejudice to any allotment of equity securities or sale of treasury shares already made or agreed to be made pursuant to such authorities. </w:t>
      </w:r>
    </w:p>
    <w:p w14:paraId="77511128" w14:textId="22D8315E" w:rsidR="009F39E2" w:rsidRDefault="00DE52DF"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14</w:t>
      </w:r>
      <w:r w:rsidR="00D041E9" w:rsidRPr="00D041E9">
        <w:rPr>
          <w:rFonts w:asciiTheme="minorHAnsi" w:hAnsiTheme="minorHAnsi" w:cstheme="minorHAnsi"/>
          <w:color w:val="000000" w:themeColor="text1"/>
          <w:sz w:val="22"/>
          <w:szCs w:val="22"/>
          <w:lang w:val="en-US"/>
        </w:rPr>
        <w:t xml:space="preserve">. That the Company be authorised generally and unconditionally, in accordance with Section 701 of the Companies Act 2006 (the “Act”), to make market purchases (within the meaning of Section 693(4) of the Act) of ordinary shares of £0.01 each (“Ordinary Shares”) provided that: </w:t>
      </w:r>
    </w:p>
    <w:p w14:paraId="7827D1F0" w14:textId="77777777" w:rsidR="009F39E2" w:rsidRDefault="00D041E9"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r w:rsidRPr="00D041E9">
        <w:rPr>
          <w:rFonts w:asciiTheme="minorHAnsi" w:hAnsiTheme="minorHAnsi" w:cstheme="minorHAnsi"/>
          <w:color w:val="000000" w:themeColor="text1"/>
          <w:sz w:val="22"/>
          <w:szCs w:val="22"/>
          <w:lang w:val="en-US"/>
        </w:rPr>
        <w:t xml:space="preserve">a. the maximum number of Ordinary Shares authorised to be purchased is 3,744,232; </w:t>
      </w:r>
    </w:p>
    <w:p w14:paraId="6A1A395A" w14:textId="77777777" w:rsidR="009F39E2" w:rsidRDefault="00D041E9"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r w:rsidRPr="00D041E9">
        <w:rPr>
          <w:rFonts w:asciiTheme="minorHAnsi" w:hAnsiTheme="minorHAnsi" w:cstheme="minorHAnsi"/>
          <w:color w:val="000000" w:themeColor="text1"/>
          <w:sz w:val="22"/>
          <w:szCs w:val="22"/>
          <w:lang w:val="en-US"/>
        </w:rPr>
        <w:t xml:space="preserve">b. the minimum price which may be paid for an Ordinary Share is £0.01; and </w:t>
      </w:r>
    </w:p>
    <w:p w14:paraId="110AD6F3" w14:textId="77777777" w:rsidR="009F39E2" w:rsidRDefault="00D041E9"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r w:rsidRPr="00D041E9">
        <w:rPr>
          <w:rFonts w:asciiTheme="minorHAnsi" w:hAnsiTheme="minorHAnsi" w:cstheme="minorHAnsi"/>
          <w:color w:val="000000" w:themeColor="text1"/>
          <w:sz w:val="22"/>
          <w:szCs w:val="22"/>
          <w:lang w:val="en-US"/>
        </w:rPr>
        <w:t xml:space="preserve">c. the maximum price which may be paid for an Ordinary Share must not be more than the higher of: </w:t>
      </w:r>
    </w:p>
    <w:p w14:paraId="52C3A1CB" w14:textId="77777777" w:rsidR="009F39E2" w:rsidRDefault="00D041E9"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r w:rsidRPr="00D041E9">
        <w:rPr>
          <w:rFonts w:asciiTheme="minorHAnsi" w:hAnsiTheme="minorHAnsi" w:cstheme="minorHAnsi"/>
          <w:color w:val="000000" w:themeColor="text1"/>
          <w:sz w:val="22"/>
          <w:szCs w:val="22"/>
          <w:lang w:val="en-US"/>
        </w:rPr>
        <w:lastRenderedPageBreak/>
        <w:t>(</w:t>
      </w:r>
      <w:proofErr w:type="spellStart"/>
      <w:r w:rsidRPr="00D041E9">
        <w:rPr>
          <w:rFonts w:asciiTheme="minorHAnsi" w:hAnsiTheme="minorHAnsi" w:cstheme="minorHAnsi"/>
          <w:color w:val="000000" w:themeColor="text1"/>
          <w:sz w:val="22"/>
          <w:szCs w:val="22"/>
          <w:lang w:val="en-US"/>
        </w:rPr>
        <w:t>i</w:t>
      </w:r>
      <w:proofErr w:type="spellEnd"/>
      <w:r w:rsidRPr="00D041E9">
        <w:rPr>
          <w:rFonts w:asciiTheme="minorHAnsi" w:hAnsiTheme="minorHAnsi" w:cstheme="minorHAnsi"/>
          <w:color w:val="000000" w:themeColor="text1"/>
          <w:sz w:val="22"/>
          <w:szCs w:val="22"/>
          <w:lang w:val="en-US"/>
        </w:rPr>
        <w:t xml:space="preserve">) 5 per cent. above the average of the mid-market value of the Ordinary Shares for the five business days before the purchase is made; or </w:t>
      </w:r>
    </w:p>
    <w:p w14:paraId="6DBDEF9A" w14:textId="77777777" w:rsidR="009F39E2" w:rsidRDefault="00D041E9"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r w:rsidRPr="00D041E9">
        <w:rPr>
          <w:rFonts w:asciiTheme="minorHAnsi" w:hAnsiTheme="minorHAnsi" w:cstheme="minorHAnsi"/>
          <w:color w:val="000000" w:themeColor="text1"/>
          <w:sz w:val="22"/>
          <w:szCs w:val="22"/>
          <w:lang w:val="en-US"/>
        </w:rPr>
        <w:t xml:space="preserve">(ii) the higher of the last independent trade and the highest current independent bid for Ordinary Shares. </w:t>
      </w:r>
    </w:p>
    <w:p w14:paraId="4E4EBDFE" w14:textId="0BDF0C8E" w:rsidR="00D041E9" w:rsidRPr="00D041E9" w:rsidRDefault="009F39E2"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ab/>
      </w:r>
      <w:r w:rsidR="00D041E9" w:rsidRPr="00D041E9">
        <w:rPr>
          <w:rFonts w:asciiTheme="minorHAnsi" w:hAnsiTheme="minorHAnsi" w:cstheme="minorHAnsi"/>
          <w:color w:val="000000" w:themeColor="text1"/>
          <w:sz w:val="22"/>
          <w:szCs w:val="22"/>
          <w:lang w:val="en-US"/>
        </w:rPr>
        <w:t xml:space="preserve">The authority conferred by this resolution will expire on the earlier of the conclusion of the next Annual General Meeting of the Company and 15 months from the passing of this resolution save that the Company may, before the expiry of the authority granted by this resolution, enter into a contract to purchase Ordinary Shares which will or may be executed wholly or partly after the expiry of such authority. </w:t>
      </w:r>
    </w:p>
    <w:p w14:paraId="69C0DA93" w14:textId="427E3068" w:rsidR="008A59D9" w:rsidRDefault="009F39E2"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r>
        <w:rPr>
          <w:rFonts w:asciiTheme="minorHAnsi" w:hAnsiTheme="minorHAnsi" w:cstheme="minorHAnsi"/>
          <w:noProof/>
          <w:color w:val="000000" w:themeColor="text1"/>
          <w:sz w:val="22"/>
          <w:szCs w:val="22"/>
          <w:lang w:val="en-ZA" w:eastAsia="en-ZA"/>
        </w:rPr>
        <w:drawing>
          <wp:anchor distT="0" distB="0" distL="114300" distR="114300" simplePos="0" relativeHeight="251658240" behindDoc="1" locked="0" layoutInCell="1" allowOverlap="1" wp14:anchorId="353B2DB4" wp14:editId="71B1A8FC">
            <wp:simplePos x="0" y="0"/>
            <wp:positionH relativeFrom="margin">
              <wp:align>left</wp:align>
            </wp:positionH>
            <wp:positionV relativeFrom="paragraph">
              <wp:posOffset>304165</wp:posOffset>
            </wp:positionV>
            <wp:extent cx="1390650" cy="675640"/>
            <wp:effectExtent l="0" t="0" r="0" b="0"/>
            <wp:wrapNone/>
            <wp:docPr id="2" name="Picture 2" descr="A black line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line of lines&#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0650" cy="675640"/>
                    </a:xfrm>
                    <a:prstGeom prst="rect">
                      <a:avLst/>
                    </a:prstGeom>
                  </pic:spPr>
                </pic:pic>
              </a:graphicData>
            </a:graphic>
            <wp14:sizeRelH relativeFrom="page">
              <wp14:pctWidth>0</wp14:pctWidth>
            </wp14:sizeRelH>
            <wp14:sizeRelV relativeFrom="page">
              <wp14:pctHeight>0</wp14:pctHeight>
            </wp14:sizeRelV>
          </wp:anchor>
        </w:drawing>
      </w:r>
      <w:r w:rsidR="00DE52DF">
        <w:rPr>
          <w:rFonts w:asciiTheme="minorHAnsi" w:hAnsiTheme="minorHAnsi" w:cstheme="minorHAnsi"/>
          <w:color w:val="000000" w:themeColor="text1"/>
          <w:sz w:val="22"/>
          <w:szCs w:val="22"/>
          <w:lang w:val="en-US"/>
        </w:rPr>
        <w:t>15</w:t>
      </w:r>
      <w:r w:rsidR="00D041E9" w:rsidRPr="00D041E9">
        <w:rPr>
          <w:rFonts w:asciiTheme="minorHAnsi" w:hAnsiTheme="minorHAnsi" w:cstheme="minorHAnsi"/>
          <w:color w:val="000000" w:themeColor="text1"/>
          <w:sz w:val="22"/>
          <w:szCs w:val="22"/>
          <w:lang w:val="en-US"/>
        </w:rPr>
        <w:t>. That a general meeting of the Company, other than an Annual General Meeting, may be called on not less than 14 clear days’ notice.</w:t>
      </w:r>
    </w:p>
    <w:p w14:paraId="590E1979" w14:textId="0732B8D8" w:rsidR="008A59D9" w:rsidRPr="001D51E2" w:rsidRDefault="008A59D9" w:rsidP="001D51E2">
      <w:pPr>
        <w:pStyle w:val="BasicParagraph"/>
        <w:tabs>
          <w:tab w:val="left" w:pos="620"/>
        </w:tabs>
        <w:suppressAutoHyphens/>
        <w:spacing w:after="113"/>
        <w:ind w:left="340" w:hanging="340"/>
        <w:jc w:val="both"/>
        <w:rPr>
          <w:rFonts w:asciiTheme="minorHAnsi" w:hAnsiTheme="minorHAnsi" w:cstheme="minorHAnsi"/>
          <w:color w:val="000000" w:themeColor="text1"/>
          <w:sz w:val="22"/>
          <w:szCs w:val="22"/>
          <w:lang w:val="en-US"/>
        </w:rPr>
      </w:pPr>
    </w:p>
    <w:p w14:paraId="7C662FAA" w14:textId="2FA01A71" w:rsidR="001D51E2" w:rsidRPr="008A59D9" w:rsidRDefault="008A59D9" w:rsidP="008A59D9">
      <w:pPr>
        <w:pStyle w:val="BasicParagraph"/>
        <w:suppressAutoHyphens/>
        <w:spacing w:before="170"/>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 xml:space="preserve">On behalf of </w:t>
      </w:r>
      <w:r w:rsidR="00925988">
        <w:rPr>
          <w:rFonts w:asciiTheme="minorHAnsi" w:hAnsiTheme="minorHAnsi" w:cstheme="minorHAnsi"/>
          <w:color w:val="000000" w:themeColor="text1"/>
          <w:sz w:val="22"/>
          <w:szCs w:val="22"/>
          <w:lang w:val="en-US"/>
        </w:rPr>
        <w:t>Apex Fund</w:t>
      </w:r>
      <w:r w:rsidR="001D51E2" w:rsidRPr="008A59D9">
        <w:rPr>
          <w:rFonts w:asciiTheme="minorHAnsi" w:hAnsiTheme="minorHAnsi" w:cstheme="minorHAnsi"/>
          <w:color w:val="000000" w:themeColor="text1"/>
          <w:sz w:val="22"/>
          <w:szCs w:val="22"/>
          <w:lang w:val="en-US"/>
        </w:rPr>
        <w:t xml:space="preserve"> Administration Services</w:t>
      </w:r>
      <w:r w:rsidR="00925988">
        <w:rPr>
          <w:rFonts w:asciiTheme="minorHAnsi" w:hAnsiTheme="minorHAnsi" w:cstheme="minorHAnsi"/>
          <w:color w:val="000000" w:themeColor="text1"/>
          <w:sz w:val="22"/>
          <w:szCs w:val="22"/>
          <w:lang w:val="en-US"/>
        </w:rPr>
        <w:t xml:space="preserve"> (UK)</w:t>
      </w:r>
      <w:r w:rsidR="001D51E2" w:rsidRPr="008A59D9">
        <w:rPr>
          <w:rFonts w:asciiTheme="minorHAnsi" w:hAnsiTheme="minorHAnsi" w:cstheme="minorHAnsi"/>
          <w:color w:val="000000" w:themeColor="text1"/>
          <w:sz w:val="22"/>
          <w:szCs w:val="22"/>
          <w:lang w:val="en-US"/>
        </w:rPr>
        <w:t xml:space="preserve"> Limited </w:t>
      </w:r>
    </w:p>
    <w:p w14:paraId="773F914E" w14:textId="77777777" w:rsidR="001D51E2" w:rsidRPr="008A59D9" w:rsidRDefault="001D51E2" w:rsidP="001D51E2">
      <w:pPr>
        <w:pStyle w:val="BasicParagraph"/>
        <w:suppressAutoHyphens/>
        <w:spacing w:after="113"/>
        <w:rPr>
          <w:rFonts w:asciiTheme="minorHAnsi" w:hAnsiTheme="minorHAnsi" w:cstheme="minorHAnsi"/>
          <w:color w:val="000000" w:themeColor="text1"/>
          <w:sz w:val="22"/>
          <w:szCs w:val="22"/>
          <w:lang w:val="en-US"/>
        </w:rPr>
      </w:pPr>
      <w:r w:rsidRPr="008A59D9">
        <w:rPr>
          <w:rFonts w:asciiTheme="minorHAnsi" w:hAnsiTheme="minorHAnsi" w:cstheme="minorHAnsi"/>
          <w:color w:val="000000" w:themeColor="text1"/>
          <w:sz w:val="22"/>
          <w:szCs w:val="22"/>
          <w:lang w:val="en-US"/>
        </w:rPr>
        <w:t>Company Secretary</w:t>
      </w:r>
      <w:bookmarkStart w:id="0" w:name="_GoBack"/>
      <w:bookmarkEnd w:id="0"/>
    </w:p>
    <w:p w14:paraId="5CB6439D" w14:textId="192A99BA" w:rsidR="001D51E2" w:rsidRPr="008A59D9" w:rsidRDefault="001D51E2" w:rsidP="001D51E2">
      <w:pPr>
        <w:pStyle w:val="BasicParagraph"/>
        <w:suppressAutoHyphens/>
        <w:rPr>
          <w:rFonts w:asciiTheme="minorHAnsi" w:hAnsiTheme="minorHAnsi" w:cstheme="minorHAnsi"/>
          <w:color w:val="000000" w:themeColor="text1"/>
          <w:sz w:val="22"/>
          <w:szCs w:val="22"/>
          <w:lang w:val="en-US"/>
        </w:rPr>
      </w:pPr>
      <w:r w:rsidRPr="008A59D9">
        <w:rPr>
          <w:rFonts w:asciiTheme="minorHAnsi" w:hAnsiTheme="minorHAnsi" w:cstheme="minorHAnsi"/>
          <w:color w:val="000000" w:themeColor="text1"/>
          <w:sz w:val="22"/>
          <w:szCs w:val="22"/>
          <w:lang w:val="en-US"/>
        </w:rPr>
        <w:t>Registered office:</w:t>
      </w:r>
      <w:r w:rsidR="008A59D9" w:rsidRPr="008A59D9">
        <w:rPr>
          <w:rFonts w:asciiTheme="minorHAnsi" w:hAnsiTheme="minorHAnsi" w:cstheme="minorHAnsi"/>
          <w:color w:val="000000" w:themeColor="text1"/>
          <w:sz w:val="22"/>
          <w:szCs w:val="22"/>
          <w:lang w:val="en-US"/>
        </w:rPr>
        <w:t xml:space="preserve"> </w:t>
      </w:r>
      <w:r w:rsidR="002A4094" w:rsidRPr="002A4094">
        <w:rPr>
          <w:rFonts w:asciiTheme="minorHAnsi" w:hAnsiTheme="minorHAnsi" w:cstheme="minorHAnsi"/>
          <w:color w:val="000000" w:themeColor="text1"/>
          <w:sz w:val="22"/>
          <w:szCs w:val="22"/>
          <w:lang w:val="en-US"/>
        </w:rPr>
        <w:t>The Key Bath Lane, Newcastle Helix, Newcastle Upon Tyne, England, NE4 5TQ</w:t>
      </w:r>
    </w:p>
    <w:p w14:paraId="7DA1B544" w14:textId="056ED695" w:rsidR="001D51E2" w:rsidRPr="008A59D9" w:rsidRDefault="00DE52DF">
      <w:pPr>
        <w:rPr>
          <w:rFonts w:cstheme="minorHAnsi"/>
          <w:color w:val="000000" w:themeColor="text1"/>
          <w:sz w:val="22"/>
          <w:szCs w:val="22"/>
        </w:rPr>
      </w:pPr>
      <w:r>
        <w:rPr>
          <w:rFonts w:cstheme="minorHAnsi"/>
          <w:color w:val="000000" w:themeColor="text1"/>
          <w:sz w:val="22"/>
          <w:szCs w:val="22"/>
        </w:rPr>
        <w:t>30 April 2026</w:t>
      </w:r>
    </w:p>
    <w:sectPr w:rsidR="001D51E2" w:rsidRPr="008A59D9" w:rsidSect="006C36D6">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charset w:val="00"/>
    <w:family w:val="roman"/>
    <w:pitch w:val="variable"/>
    <w:sig w:usb0="E00002AF" w:usb1="5000E07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E2"/>
    <w:rsid w:val="001D51E2"/>
    <w:rsid w:val="002A4094"/>
    <w:rsid w:val="00337ADB"/>
    <w:rsid w:val="005D45B5"/>
    <w:rsid w:val="006C36D6"/>
    <w:rsid w:val="008079A8"/>
    <w:rsid w:val="00885082"/>
    <w:rsid w:val="008A59D9"/>
    <w:rsid w:val="00925988"/>
    <w:rsid w:val="00925B19"/>
    <w:rsid w:val="009F39E2"/>
    <w:rsid w:val="00C854BD"/>
    <w:rsid w:val="00D041E9"/>
    <w:rsid w:val="00D12AE7"/>
    <w:rsid w:val="00D43CDB"/>
    <w:rsid w:val="00DE52DF"/>
    <w:rsid w:val="00F70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4E64"/>
  <w15:chartTrackingRefBased/>
  <w15:docId w15:val="{C1A96876-F560-9F41-9659-0DF10F94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1D51E2"/>
    <w:pPr>
      <w:autoSpaceDE w:val="0"/>
      <w:autoSpaceDN w:val="0"/>
      <w:adjustRightInd w:val="0"/>
      <w:spacing w:line="288" w:lineRule="auto"/>
      <w:textAlignment w:val="center"/>
    </w:pPr>
    <w:rPr>
      <w:rFonts w:ascii="Minion Pro" w:hAnsi="Minion Pro" w:cs="Minion Pro"/>
      <w:color w:val="000000"/>
    </w:rPr>
  </w:style>
  <w:style w:type="paragraph" w:customStyle="1" w:styleId="BasicParagraph">
    <w:name w:val="[Basic Paragraph]"/>
    <w:basedOn w:val="NoParagraphStyle"/>
    <w:uiPriority w:val="99"/>
    <w:rsid w:val="001D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edinburgh</dc:creator>
  <cp:keywords/>
  <dc:description/>
  <cp:lastModifiedBy>Shivani Dalvi</cp:lastModifiedBy>
  <cp:revision>6</cp:revision>
  <cp:lastPrinted>2023-04-28T19:54:00Z</cp:lastPrinted>
  <dcterms:created xsi:type="dcterms:W3CDTF">2025-04-30T15:59:00Z</dcterms:created>
  <dcterms:modified xsi:type="dcterms:W3CDTF">2026-04-30T13:45:00Z</dcterms:modified>
</cp:coreProperties>
</file>